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397A" w14:textId="77777777" w:rsidR="00071916" w:rsidRDefault="00071916" w:rsidP="00C744A5">
      <w:pPr>
        <w:rPr>
          <w:b/>
        </w:rPr>
      </w:pPr>
      <w:r>
        <w:rPr>
          <w:rFonts w:cs="Arial"/>
        </w:rPr>
        <w:t xml:space="preserve">                                                                                                              </w:t>
      </w:r>
      <w:bookmarkStart w:id="0" w:name="_MON_1224533670"/>
      <w:bookmarkEnd w:id="0"/>
      <w:bookmarkStart w:id="1" w:name="_MON_1224533926"/>
      <w:bookmarkEnd w:id="1"/>
      <w:r>
        <w:rPr>
          <w:rFonts w:cs="Arial"/>
        </w:rPr>
        <w:object w:dxaOrig="2340" w:dyaOrig="1475" w14:anchorId="34C93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3.5pt" o:ole="">
            <v:imagedata r:id="rId8" o:title=""/>
          </v:shape>
          <o:OLEObject Type="Embed" ProgID="Word.Document.8" ShapeID="_x0000_i1025" DrawAspect="Content" ObjectID="_1699269643" r:id="rId9">
            <o:FieldCodes>\s</o:FieldCodes>
          </o:OLEObject>
        </w:object>
      </w:r>
    </w:p>
    <w:p w14:paraId="4945D73C" w14:textId="7C26756F" w:rsidR="00071916" w:rsidRDefault="00071916" w:rsidP="00071916">
      <w:pPr>
        <w:spacing w:line="276" w:lineRule="auto"/>
        <w:rPr>
          <w:b/>
          <w:sz w:val="28"/>
          <w:szCs w:val="28"/>
          <w:u w:val="single"/>
        </w:rPr>
      </w:pPr>
      <w:r w:rsidRPr="002D0B43">
        <w:rPr>
          <w:b/>
          <w:sz w:val="28"/>
          <w:szCs w:val="28"/>
          <w:u w:val="single"/>
        </w:rPr>
        <w:t xml:space="preserve">Waltham Forest Council - Accommodation </w:t>
      </w:r>
      <w:r>
        <w:rPr>
          <w:b/>
          <w:sz w:val="28"/>
          <w:szCs w:val="28"/>
          <w:u w:val="single"/>
        </w:rPr>
        <w:t>Acquisitions</w:t>
      </w:r>
      <w:r w:rsidRPr="002D0B43">
        <w:rPr>
          <w:b/>
          <w:sz w:val="28"/>
          <w:szCs w:val="28"/>
          <w:u w:val="single"/>
        </w:rPr>
        <w:t xml:space="preserve"> Policy</w:t>
      </w:r>
      <w:r w:rsidR="003C6B33">
        <w:rPr>
          <w:b/>
          <w:sz w:val="28"/>
          <w:szCs w:val="28"/>
          <w:u w:val="single"/>
        </w:rPr>
        <w:t>- April 2021</w:t>
      </w:r>
    </w:p>
    <w:p w14:paraId="175EF171" w14:textId="77777777" w:rsidR="005C60ED" w:rsidRPr="005C60ED" w:rsidRDefault="005C60ED" w:rsidP="00D355A4">
      <w:pPr>
        <w:jc w:val="both"/>
        <w:rPr>
          <w:u w:val="single"/>
        </w:rPr>
      </w:pPr>
      <w:r w:rsidRPr="005C60ED">
        <w:rPr>
          <w:u w:val="single"/>
        </w:rPr>
        <w:t xml:space="preserve">1.0 Introduction </w:t>
      </w:r>
    </w:p>
    <w:p w14:paraId="30612AF5" w14:textId="2E444A88" w:rsidR="00D355A4" w:rsidRPr="005C60ED" w:rsidRDefault="00071916" w:rsidP="008646A6">
      <w:pPr>
        <w:ind w:left="426" w:hanging="426"/>
        <w:jc w:val="both"/>
      </w:pPr>
      <w:r w:rsidRPr="005C60ED">
        <w:t xml:space="preserve">1.1 </w:t>
      </w:r>
      <w:r w:rsidR="005328C2" w:rsidRPr="005C60ED">
        <w:t xml:space="preserve">This document sets out </w:t>
      </w:r>
      <w:r w:rsidR="00093C27" w:rsidRPr="005C60ED">
        <w:t xml:space="preserve">the </w:t>
      </w:r>
      <w:r w:rsidRPr="005C60ED">
        <w:t xml:space="preserve">Council’s </w:t>
      </w:r>
      <w:r w:rsidR="00093C27" w:rsidRPr="005C60ED">
        <w:t xml:space="preserve">policy for the </w:t>
      </w:r>
      <w:r w:rsidR="00D355A4" w:rsidRPr="005C60ED">
        <w:t>acquisition of privately owned properties for use as accommodation for households towards whom a duty to secure accommodation has been accepted under the Housing Act 1996.</w:t>
      </w:r>
    </w:p>
    <w:p w14:paraId="1AB9C79B" w14:textId="400C839C" w:rsidR="005328C2" w:rsidRDefault="00071916" w:rsidP="008646A6">
      <w:pPr>
        <w:ind w:left="426" w:hanging="426"/>
        <w:jc w:val="both"/>
        <w:rPr>
          <w:i/>
        </w:rPr>
      </w:pPr>
      <w:r>
        <w:t>1.2 This document shou</w:t>
      </w:r>
      <w:r w:rsidR="00D355A4">
        <w:t xml:space="preserve">ld be read in conjunction with the </w:t>
      </w:r>
      <w:r>
        <w:t xml:space="preserve">Council’s </w:t>
      </w:r>
      <w:bookmarkStart w:id="2" w:name="_Hlk63788745"/>
      <w:bookmarkStart w:id="3" w:name="_Hlk63790448"/>
      <w:r>
        <w:t>Temporary Accommodation</w:t>
      </w:r>
      <w:r w:rsidR="00727E4E">
        <w:t xml:space="preserve"> and Private Rented Sector Offer</w:t>
      </w:r>
      <w:r>
        <w:t xml:space="preserve"> </w:t>
      </w:r>
      <w:bookmarkEnd w:id="2"/>
      <w:r>
        <w:t>Allocation Polic</w:t>
      </w:r>
      <w:r w:rsidR="00727E4E">
        <w:t>ies</w:t>
      </w:r>
      <w:bookmarkEnd w:id="3"/>
      <w:r w:rsidR="00727E4E">
        <w:t>.</w:t>
      </w:r>
      <w:r>
        <w:t xml:space="preserve"> </w:t>
      </w:r>
      <w:r w:rsidR="00EC7C46" w:rsidRPr="00D355A4">
        <w:rPr>
          <w:i/>
        </w:rPr>
        <w:t xml:space="preserve"> </w:t>
      </w:r>
    </w:p>
    <w:p w14:paraId="642B4D8A" w14:textId="4BF9F0B7" w:rsidR="00071916" w:rsidRDefault="00071916" w:rsidP="008646A6">
      <w:pPr>
        <w:ind w:left="426" w:hanging="426"/>
        <w:jc w:val="both"/>
      </w:pPr>
      <w:r>
        <w:t xml:space="preserve">1.3 The Council does not have sufficient units of accommodation within its own owned and managed stock, and as a result we depend on the supply of privately owned properties to meet our obligations to provide accommodation to homeless households. Changes to the local housing market and other factors largely outside the Council’s control have made it increasingly difficult to obtain </w:t>
      </w:r>
      <w:r w:rsidR="00727E4E">
        <w:t xml:space="preserve">suitable </w:t>
      </w:r>
      <w:r>
        <w:t>properties</w:t>
      </w:r>
      <w:r w:rsidR="00727E4E">
        <w:t>, which meet the required standards,</w:t>
      </w:r>
      <w:r>
        <w:t xml:space="preserve"> in the borough </w:t>
      </w:r>
      <w:r w:rsidR="00727E4E">
        <w:t>or</w:t>
      </w:r>
      <w:r>
        <w:t xml:space="preserve"> in surrounding areas. This policy is intended to ensure that </w:t>
      </w:r>
      <w:proofErr w:type="gramStart"/>
      <w:r w:rsidR="005C60ED">
        <w:t>sufficient numbers of</w:t>
      </w:r>
      <w:proofErr w:type="gramEnd"/>
      <w:r w:rsidR="005C60ED">
        <w:t xml:space="preserve"> suitable properties are obtained for the anticipated demand for accommodation. The policy, and associated demand projections, will be reviewed </w:t>
      </w:r>
      <w:r w:rsidR="00E45698">
        <w:t>periodically as required</w:t>
      </w:r>
      <w:r w:rsidR="005C60ED">
        <w:t xml:space="preserve">.   </w:t>
      </w:r>
    </w:p>
    <w:p w14:paraId="6C4A84DE" w14:textId="77777777" w:rsidR="00942F57" w:rsidRDefault="00942F57" w:rsidP="008646A6">
      <w:pPr>
        <w:ind w:left="426" w:hanging="426"/>
        <w:jc w:val="both"/>
        <w:rPr>
          <w:i/>
        </w:rPr>
      </w:pPr>
    </w:p>
    <w:p w14:paraId="01D81B68" w14:textId="77777777" w:rsidR="00D355A4" w:rsidRDefault="005C60ED" w:rsidP="00D355A4">
      <w:pPr>
        <w:jc w:val="both"/>
        <w:rPr>
          <w:u w:val="single"/>
        </w:rPr>
      </w:pPr>
      <w:r>
        <w:rPr>
          <w:u w:val="single"/>
        </w:rPr>
        <w:t xml:space="preserve">2.0 </w:t>
      </w:r>
      <w:r w:rsidR="00D355A4" w:rsidRPr="00D355A4">
        <w:rPr>
          <w:u w:val="single"/>
        </w:rPr>
        <w:t>Key principles</w:t>
      </w:r>
    </w:p>
    <w:p w14:paraId="5AA027D7" w14:textId="77777777" w:rsidR="00D355A4" w:rsidRDefault="005C60ED" w:rsidP="008646A6">
      <w:pPr>
        <w:ind w:left="426" w:hanging="426"/>
        <w:jc w:val="both"/>
      </w:pPr>
      <w:r>
        <w:t xml:space="preserve">2.1 </w:t>
      </w:r>
      <w:r w:rsidR="00D355A4">
        <w:t>The approach of the service to the acquisition of properties is informed by the following key principles</w:t>
      </w:r>
      <w:r w:rsidR="008646A6">
        <w:t>:</w:t>
      </w:r>
    </w:p>
    <w:p w14:paraId="4D2552C0" w14:textId="4E94739F" w:rsidR="00D355A4" w:rsidRDefault="00D355A4" w:rsidP="00D355A4">
      <w:pPr>
        <w:numPr>
          <w:ilvl w:val="0"/>
          <w:numId w:val="13"/>
        </w:numPr>
        <w:jc w:val="both"/>
      </w:pPr>
      <w:r>
        <w:t xml:space="preserve">The objective of the service is to procure sufficient units of </w:t>
      </w:r>
      <w:r w:rsidR="00727E4E">
        <w:t>accommodation</w:t>
      </w:r>
      <w:r w:rsidR="00942F57">
        <w:t xml:space="preserve"> </w:t>
      </w:r>
      <w:r>
        <w:t xml:space="preserve">to meet the anticipated demand for properties in each financial year. </w:t>
      </w:r>
    </w:p>
    <w:p w14:paraId="2BE472F5" w14:textId="77777777" w:rsidR="00D355A4" w:rsidRDefault="00D355A4" w:rsidP="00D355A4">
      <w:pPr>
        <w:numPr>
          <w:ilvl w:val="0"/>
          <w:numId w:val="13"/>
        </w:numPr>
        <w:jc w:val="both"/>
      </w:pPr>
      <w:r>
        <w:t>Where possible these units will be in the borough</w:t>
      </w:r>
      <w:r w:rsidR="009D729F">
        <w:t xml:space="preserve"> (“Zone A”)</w:t>
      </w:r>
      <w:r>
        <w:t>, however the service may acquire properties in a range of other location</w:t>
      </w:r>
      <w:r w:rsidR="0007632A">
        <w:t>s where it appears the supply of units in the borough will not be sufficient for the anticipated demand</w:t>
      </w:r>
      <w:r>
        <w:t>.</w:t>
      </w:r>
      <w:r w:rsidR="009D729F">
        <w:t xml:space="preserve"> </w:t>
      </w:r>
    </w:p>
    <w:p w14:paraId="761AE75C" w14:textId="7D96A8FD" w:rsidR="00D355A4" w:rsidRDefault="00D355A4" w:rsidP="00D355A4">
      <w:pPr>
        <w:numPr>
          <w:ilvl w:val="0"/>
          <w:numId w:val="13"/>
        </w:numPr>
        <w:jc w:val="both"/>
      </w:pPr>
      <w:r>
        <w:t xml:space="preserve"> Where there is a shortfall in the number </w:t>
      </w:r>
      <w:r w:rsidR="0007632A">
        <w:t>of `in borough’ units, the</w:t>
      </w:r>
      <w:r w:rsidR="00727E4E" w:rsidRPr="00727E4E">
        <w:t xml:space="preserve"> Temporary Accommodation and Private Rented Sector Offer </w:t>
      </w:r>
      <w:r w:rsidR="00E53165">
        <w:t>Al</w:t>
      </w:r>
      <w:r w:rsidR="00727E4E">
        <w:t>location policies</w:t>
      </w:r>
      <w:r w:rsidR="005C60ED">
        <w:t xml:space="preserve"> </w:t>
      </w:r>
      <w:r w:rsidR="0007632A">
        <w:t>will be applied to determine which households are offered those units and which households will be offered properties in other locations</w:t>
      </w:r>
      <w:r w:rsidR="00727E4E">
        <w:t>.</w:t>
      </w:r>
      <w:r w:rsidR="0007632A">
        <w:t xml:space="preserve"> </w:t>
      </w:r>
    </w:p>
    <w:p w14:paraId="012AA3C5" w14:textId="175D3368" w:rsidR="0007632A" w:rsidRDefault="00093C27" w:rsidP="00D06644">
      <w:pPr>
        <w:numPr>
          <w:ilvl w:val="0"/>
          <w:numId w:val="13"/>
        </w:numPr>
        <w:jc w:val="both"/>
      </w:pPr>
      <w:r>
        <w:t>In addressing the shortfall t</w:t>
      </w:r>
      <w:r w:rsidR="0007632A">
        <w:t xml:space="preserve">he service will endeavour to acquire units in </w:t>
      </w:r>
      <w:r w:rsidR="00E45698">
        <w:t>locations</w:t>
      </w:r>
      <w:r w:rsidR="0007632A">
        <w:t xml:space="preserve"> which are close to Waltham Forest</w:t>
      </w:r>
      <w:r w:rsidR="003D1327">
        <w:t xml:space="preserve"> </w:t>
      </w:r>
      <w:r w:rsidR="0007632A">
        <w:t>in order to minimise</w:t>
      </w:r>
      <w:r w:rsidR="007256A3">
        <w:t>,</w:t>
      </w:r>
      <w:r w:rsidR="0007632A">
        <w:t xml:space="preserve"> as far as possible</w:t>
      </w:r>
      <w:r w:rsidR="007256A3">
        <w:t>,</w:t>
      </w:r>
      <w:r w:rsidR="0007632A">
        <w:t xml:space="preserve"> </w:t>
      </w:r>
      <w:r w:rsidR="00E45698">
        <w:t>t</w:t>
      </w:r>
      <w:r w:rsidR="0007632A">
        <w:t xml:space="preserve">he distance between the borough itself and the location of </w:t>
      </w:r>
      <w:r w:rsidR="00727E4E">
        <w:t>accommodation</w:t>
      </w:r>
      <w:r w:rsidR="0007632A">
        <w:t xml:space="preserve"> being offered to households who cannot be accommodated within the borough</w:t>
      </w:r>
      <w:r w:rsidR="00D35366">
        <w:t xml:space="preserve">. </w:t>
      </w:r>
      <w:r w:rsidR="009B5801">
        <w:t xml:space="preserve">These `nearby </w:t>
      </w:r>
      <w:proofErr w:type="gramStart"/>
      <w:r w:rsidR="00E45698">
        <w:t>locations</w:t>
      </w:r>
      <w:r w:rsidR="009B5801">
        <w:t>’</w:t>
      </w:r>
      <w:proofErr w:type="gramEnd"/>
      <w:r w:rsidR="009B5801">
        <w:t xml:space="preserve"> are </w:t>
      </w:r>
      <w:r w:rsidR="00E45698" w:rsidRPr="00E45698">
        <w:t>Greater London</w:t>
      </w:r>
      <w:r w:rsidR="00727E4E">
        <w:t xml:space="preserve"> </w:t>
      </w:r>
      <w:r w:rsidR="00E45698" w:rsidRPr="00E45698">
        <w:t xml:space="preserve">and neighbouring districts </w:t>
      </w:r>
      <w:r w:rsidR="001712D0" w:rsidRPr="001712D0">
        <w:t>in Essex, Hertfordshire, Kent, Surrey, Berkshire and Buckinghamshire’</w:t>
      </w:r>
      <w:r w:rsidR="009D729F">
        <w:t xml:space="preserve"> (“Zone B”)</w:t>
      </w:r>
      <w:r w:rsidR="009B5801">
        <w:t>.</w:t>
      </w:r>
    </w:p>
    <w:p w14:paraId="5BD96D0B" w14:textId="40C20ACA" w:rsidR="0007632A" w:rsidRDefault="0007632A" w:rsidP="00D355A4">
      <w:pPr>
        <w:numPr>
          <w:ilvl w:val="0"/>
          <w:numId w:val="13"/>
        </w:numPr>
        <w:jc w:val="both"/>
      </w:pPr>
      <w:r>
        <w:t xml:space="preserve">Where the demand for accommodation is such that it is unlikely to be possible to acquire sufficient properties for all homeless households in Waltham Forest and in nearby </w:t>
      </w:r>
      <w:r w:rsidR="001712D0">
        <w:t>locations</w:t>
      </w:r>
      <w:r w:rsidR="00302CB1">
        <w:t>, the service may acquire properties in other locations</w:t>
      </w:r>
      <w:r w:rsidR="009D729F">
        <w:t xml:space="preserve"> (“Zone C”)</w:t>
      </w:r>
      <w:r w:rsidR="00302CB1">
        <w:t xml:space="preserve">, which can be offered to homeless households applying the approach set out in the </w:t>
      </w:r>
      <w:r w:rsidR="001712D0" w:rsidRPr="001712D0">
        <w:t xml:space="preserve">Temporary Accommodation and Private Rented Sector Offer </w:t>
      </w:r>
      <w:r w:rsidR="005C60ED">
        <w:t>Polic</w:t>
      </w:r>
      <w:r w:rsidR="001712D0">
        <w:t>ies.</w:t>
      </w:r>
      <w:r>
        <w:t xml:space="preserve">  </w:t>
      </w:r>
    </w:p>
    <w:p w14:paraId="3F392CD8" w14:textId="149DCFE8" w:rsidR="00093C27" w:rsidRDefault="00093C27" w:rsidP="00D355A4">
      <w:pPr>
        <w:numPr>
          <w:ilvl w:val="0"/>
          <w:numId w:val="13"/>
        </w:numPr>
        <w:jc w:val="both"/>
      </w:pPr>
      <w:r>
        <w:t>In making decisions on the acquisition of properties</w:t>
      </w:r>
      <w:r w:rsidR="00942F57">
        <w:t>,</w:t>
      </w:r>
      <w:r>
        <w:t xml:space="preserve"> the service may take into account the resources available for the provision of </w:t>
      </w:r>
      <w:r w:rsidR="001712D0">
        <w:t>accommodation</w:t>
      </w:r>
      <w:r>
        <w:t xml:space="preserve">, the difficulties of procuring sufficient units of </w:t>
      </w:r>
      <w:r w:rsidR="001712D0">
        <w:t>accommodation</w:t>
      </w:r>
      <w:r>
        <w:t xml:space="preserve"> at affordable prices in the borough, and the practicalities of acquiring accommodation in nearby </w:t>
      </w:r>
      <w:r w:rsidR="001712D0">
        <w:t>locations</w:t>
      </w:r>
      <w:r>
        <w:t>.</w:t>
      </w:r>
    </w:p>
    <w:p w14:paraId="0F7A245A" w14:textId="77777777" w:rsidR="00942F57" w:rsidRDefault="00942F57" w:rsidP="00A35391">
      <w:pPr>
        <w:ind w:left="720"/>
        <w:jc w:val="both"/>
      </w:pPr>
    </w:p>
    <w:p w14:paraId="5BD147EB" w14:textId="053DAECF" w:rsidR="00093C27" w:rsidRPr="00093C27" w:rsidRDefault="005C60ED" w:rsidP="00093C27">
      <w:pPr>
        <w:jc w:val="both"/>
        <w:rPr>
          <w:u w:val="single"/>
        </w:rPr>
      </w:pPr>
      <w:r>
        <w:rPr>
          <w:u w:val="single"/>
        </w:rPr>
        <w:t xml:space="preserve">3.0 </w:t>
      </w:r>
      <w:r w:rsidR="00514461">
        <w:rPr>
          <w:u w:val="single"/>
        </w:rPr>
        <w:t>A</w:t>
      </w:r>
      <w:r w:rsidR="00093C27" w:rsidRPr="00093C27">
        <w:rPr>
          <w:u w:val="single"/>
        </w:rPr>
        <w:t xml:space="preserve">ccommodation provision – general </w:t>
      </w:r>
    </w:p>
    <w:p w14:paraId="06C0D732" w14:textId="6DE92F4A" w:rsidR="001712D0" w:rsidRDefault="005C60ED" w:rsidP="008646A6">
      <w:pPr>
        <w:ind w:left="426" w:hanging="426"/>
        <w:jc w:val="both"/>
      </w:pPr>
      <w:r>
        <w:t xml:space="preserve">3.1 </w:t>
      </w:r>
      <w:r w:rsidR="00093C27">
        <w:t xml:space="preserve">The </w:t>
      </w:r>
      <w:r w:rsidR="00184F7E">
        <w:t xml:space="preserve">Housing Solutions </w:t>
      </w:r>
      <w:r w:rsidR="00093C27">
        <w:t xml:space="preserve">service </w:t>
      </w:r>
      <w:r>
        <w:t xml:space="preserve">currently </w:t>
      </w:r>
      <w:r w:rsidR="00093C27">
        <w:t xml:space="preserve">provides </w:t>
      </w:r>
      <w:r>
        <w:t xml:space="preserve">as much </w:t>
      </w:r>
      <w:r w:rsidR="00514461">
        <w:t>accommodation</w:t>
      </w:r>
      <w:r w:rsidR="00093C27">
        <w:t xml:space="preserve"> </w:t>
      </w:r>
      <w:r>
        <w:t xml:space="preserve">as possible </w:t>
      </w:r>
      <w:r w:rsidR="00093C27">
        <w:t>using properties which are already owned by the Council</w:t>
      </w:r>
      <w:r w:rsidR="00A35391">
        <w:t xml:space="preserve">. </w:t>
      </w:r>
      <w:r w:rsidR="00FE659A">
        <w:t xml:space="preserve">These include </w:t>
      </w:r>
      <w:proofErr w:type="gramStart"/>
      <w:r w:rsidR="00FE659A">
        <w:t>a number of</w:t>
      </w:r>
      <w:proofErr w:type="gramEnd"/>
      <w:r w:rsidR="00FE659A">
        <w:t xml:space="preserve"> hostels and converted street properties</w:t>
      </w:r>
      <w:r w:rsidR="001712D0">
        <w:t>,</w:t>
      </w:r>
      <w:r w:rsidR="00FE659A">
        <w:t xml:space="preserve"> which are used as temporary accommodation and located in the borough, and vacant general needs units on regeneration estates. </w:t>
      </w:r>
    </w:p>
    <w:p w14:paraId="03B19A9A" w14:textId="48367931" w:rsidR="00514461" w:rsidRDefault="005C60ED" w:rsidP="008646A6">
      <w:pPr>
        <w:ind w:left="426" w:hanging="426"/>
        <w:jc w:val="both"/>
      </w:pPr>
      <w:r>
        <w:t xml:space="preserve">3.2 </w:t>
      </w:r>
      <w:r w:rsidR="001712D0">
        <w:t>I</w:t>
      </w:r>
      <w:r>
        <w:t xml:space="preserve">t is not currently possible to envisage any circumstances where the number of households requiring </w:t>
      </w:r>
      <w:r w:rsidR="00514461">
        <w:t>accommodation</w:t>
      </w:r>
      <w:r>
        <w:t xml:space="preserve"> would reduce to </w:t>
      </w:r>
      <w:r w:rsidR="00CB4637">
        <w:t xml:space="preserve">such an extent </w:t>
      </w:r>
      <w:r w:rsidR="00723A72">
        <w:t xml:space="preserve">that </w:t>
      </w:r>
      <w:r w:rsidR="00514461">
        <w:t xml:space="preserve">the acquisition of </w:t>
      </w:r>
      <w:r w:rsidR="00723A72">
        <w:t xml:space="preserve">privately owned properties </w:t>
      </w:r>
      <w:r w:rsidR="00514461">
        <w:t>is</w:t>
      </w:r>
      <w:r w:rsidR="00723A72">
        <w:t xml:space="preserve"> </w:t>
      </w:r>
      <w:r w:rsidR="00CB4637">
        <w:t>no longer required</w:t>
      </w:r>
      <w:r w:rsidR="00723A72">
        <w:t xml:space="preserve"> </w:t>
      </w:r>
      <w:proofErr w:type="gramStart"/>
      <w:r w:rsidR="00184F7E">
        <w:t>in order to</w:t>
      </w:r>
      <w:proofErr w:type="gramEnd"/>
      <w:r w:rsidR="00184F7E">
        <w:t xml:space="preserve"> fulfil </w:t>
      </w:r>
      <w:r w:rsidR="00723A72">
        <w:t xml:space="preserve">the </w:t>
      </w:r>
      <w:r w:rsidR="00184F7E">
        <w:t xml:space="preserve">Council’s </w:t>
      </w:r>
      <w:r w:rsidR="00723A72">
        <w:t xml:space="preserve">duties. </w:t>
      </w:r>
    </w:p>
    <w:p w14:paraId="32097310" w14:textId="1096331B" w:rsidR="00942F57" w:rsidRDefault="00184F7E" w:rsidP="008646A6">
      <w:pPr>
        <w:ind w:left="426" w:hanging="426"/>
        <w:jc w:val="both"/>
      </w:pPr>
      <w:r>
        <w:t xml:space="preserve"> </w:t>
      </w:r>
    </w:p>
    <w:p w14:paraId="2F8FF844" w14:textId="6D33562B" w:rsidR="00EF1E3A" w:rsidRDefault="00184F7E" w:rsidP="00093C27">
      <w:pPr>
        <w:jc w:val="both"/>
        <w:rPr>
          <w:u w:val="single"/>
        </w:rPr>
      </w:pPr>
      <w:r>
        <w:rPr>
          <w:u w:val="single"/>
        </w:rPr>
        <w:t xml:space="preserve">4.0 </w:t>
      </w:r>
      <w:r w:rsidR="00EF1E3A" w:rsidRPr="00EF1E3A">
        <w:rPr>
          <w:u w:val="single"/>
        </w:rPr>
        <w:t xml:space="preserve">Anticipated demand for accommodation </w:t>
      </w:r>
    </w:p>
    <w:p w14:paraId="41341F2C" w14:textId="657D94C6" w:rsidR="001712D0" w:rsidRDefault="00184F7E" w:rsidP="008646A6">
      <w:pPr>
        <w:ind w:left="284" w:hanging="284"/>
        <w:jc w:val="both"/>
      </w:pPr>
      <w:r>
        <w:t xml:space="preserve">4.1 </w:t>
      </w:r>
      <w:r w:rsidR="00EF1E3A">
        <w:t xml:space="preserve">The number of households requiring </w:t>
      </w:r>
      <w:r w:rsidR="001712D0">
        <w:t>housing assistance</w:t>
      </w:r>
      <w:r w:rsidR="00EF1E3A">
        <w:t xml:space="preserve"> is unlikely to reduce </w:t>
      </w:r>
      <w:r>
        <w:t xml:space="preserve">significantly </w:t>
      </w:r>
      <w:r w:rsidR="00EF1E3A">
        <w:t xml:space="preserve">in the </w:t>
      </w:r>
      <w:r w:rsidR="005635D0">
        <w:t>near future</w:t>
      </w:r>
      <w:r w:rsidR="00EF1E3A">
        <w:t xml:space="preserve"> for a range of reasons</w:t>
      </w:r>
      <w:r>
        <w:t>, including the limited supply of permanent accommodation and the continuing high level of</w:t>
      </w:r>
      <w:r w:rsidR="008646A6">
        <w:t xml:space="preserve"> </w:t>
      </w:r>
      <w:r>
        <w:t xml:space="preserve">homeless presentations by households with a local connection to the borough. </w:t>
      </w:r>
    </w:p>
    <w:p w14:paraId="079CA5FE" w14:textId="532412C7" w:rsidR="00D35366" w:rsidRDefault="00822BEA" w:rsidP="008646A6">
      <w:pPr>
        <w:ind w:left="284" w:hanging="284"/>
        <w:jc w:val="both"/>
      </w:pPr>
      <w:r>
        <w:t xml:space="preserve">4.2 </w:t>
      </w:r>
      <w:r w:rsidR="00EF1E3A">
        <w:t>Given th</w:t>
      </w:r>
      <w:r w:rsidR="005635D0">
        <w:t>e</w:t>
      </w:r>
      <w:r w:rsidR="00EF1E3A">
        <w:t xml:space="preserve"> level of demand it is </w:t>
      </w:r>
      <w:r>
        <w:t xml:space="preserve">certain </w:t>
      </w:r>
      <w:r w:rsidR="00EF1E3A">
        <w:t xml:space="preserve">that the service will </w:t>
      </w:r>
      <w:r>
        <w:t xml:space="preserve">not </w:t>
      </w:r>
      <w:r w:rsidR="00EF1E3A">
        <w:t xml:space="preserve">be able to meet the need for accommodation </w:t>
      </w:r>
      <w:r>
        <w:t xml:space="preserve">using only properties </w:t>
      </w:r>
      <w:r w:rsidR="00EF1E3A">
        <w:t>within the borough</w:t>
      </w:r>
      <w:r>
        <w:t xml:space="preserve">. </w:t>
      </w:r>
      <w:r w:rsidR="00EF1E3A">
        <w:t>There are also very sever</w:t>
      </w:r>
      <w:r>
        <w:t xml:space="preserve">e </w:t>
      </w:r>
      <w:r w:rsidR="00EF1E3A">
        <w:t>challenges in acquiring properties in ne</w:t>
      </w:r>
      <w:r w:rsidR="001712D0">
        <w:t>arby locations</w:t>
      </w:r>
      <w:r w:rsidR="00EF1E3A">
        <w:t xml:space="preserve">, most of which are experiencing steeply rising property prices, increasing private sector rents, and other trends the effect of which is to reduce the number of properties in the borough or in </w:t>
      </w:r>
      <w:r w:rsidR="001712D0">
        <w:t>nearby locations</w:t>
      </w:r>
      <w:r w:rsidR="00D35366">
        <w:t xml:space="preserve"> </w:t>
      </w:r>
      <w:r w:rsidR="00EF1E3A">
        <w:t>which may become available for use</w:t>
      </w:r>
      <w:r w:rsidR="008C4A25">
        <w:t xml:space="preserve"> by the </w:t>
      </w:r>
      <w:r w:rsidR="007256A3">
        <w:t>Council</w:t>
      </w:r>
      <w:r w:rsidR="00D35366">
        <w:t>.</w:t>
      </w:r>
    </w:p>
    <w:p w14:paraId="1F98ADEF" w14:textId="75C44814" w:rsidR="00D35366" w:rsidRDefault="00822BEA" w:rsidP="008646A6">
      <w:pPr>
        <w:ind w:left="284" w:hanging="284"/>
        <w:jc w:val="both"/>
      </w:pPr>
      <w:r>
        <w:t xml:space="preserve">4.3 </w:t>
      </w:r>
      <w:r w:rsidR="00D35366">
        <w:t xml:space="preserve">On this basis the acquisitions policy assumes that it will be necessary to procure properties in a range of locations beyond the borough itself and </w:t>
      </w:r>
      <w:r w:rsidR="008C4A25">
        <w:t>nearby locations</w:t>
      </w:r>
      <w:r w:rsidR="00D35366">
        <w:t>. All properties procured under the policy will be as close to the borough as is reasonably p</w:t>
      </w:r>
      <w:r>
        <w:t xml:space="preserve">racticable, </w:t>
      </w:r>
      <w:r w:rsidR="00D35366">
        <w:t xml:space="preserve">given the financial constraints within which the service operates and the practical difficulties which can prevent units being procured in the borough or nearby </w:t>
      </w:r>
      <w:r w:rsidR="001712D0">
        <w:t>locations</w:t>
      </w:r>
      <w:r w:rsidR="00D35366">
        <w:t>.</w:t>
      </w:r>
    </w:p>
    <w:p w14:paraId="3F556731" w14:textId="77777777" w:rsidR="00942F57" w:rsidRPr="008646A6" w:rsidRDefault="00942F57" w:rsidP="008646A6">
      <w:pPr>
        <w:ind w:left="284" w:hanging="284"/>
        <w:jc w:val="both"/>
      </w:pPr>
    </w:p>
    <w:p w14:paraId="4A649393" w14:textId="77777777" w:rsidR="00D35366" w:rsidRPr="008646A6" w:rsidRDefault="00822BEA" w:rsidP="00093C27">
      <w:pPr>
        <w:jc w:val="both"/>
      </w:pPr>
      <w:r w:rsidRPr="008646A6">
        <w:t xml:space="preserve">5.0 </w:t>
      </w:r>
      <w:r w:rsidRPr="00A35391">
        <w:rPr>
          <w:u w:val="single"/>
        </w:rPr>
        <w:t>I</w:t>
      </w:r>
      <w:r w:rsidR="00D35366" w:rsidRPr="00A35391">
        <w:rPr>
          <w:u w:val="single"/>
        </w:rPr>
        <w:t>nstructions to suppliers</w:t>
      </w:r>
    </w:p>
    <w:p w14:paraId="0F7E40E7" w14:textId="060E14AA" w:rsidR="00B4184D" w:rsidRDefault="00822BEA" w:rsidP="008646A6">
      <w:pPr>
        <w:ind w:left="426" w:hanging="426"/>
        <w:jc w:val="both"/>
      </w:pPr>
      <w:r>
        <w:t xml:space="preserve">5.1 </w:t>
      </w:r>
      <w:r w:rsidR="00B4184D">
        <w:t xml:space="preserve">As the procurement of individual properties is vested in the </w:t>
      </w:r>
      <w:r w:rsidR="006D6F03">
        <w:t>suppliers and landlords</w:t>
      </w:r>
      <w:r w:rsidR="00B4184D">
        <w:t xml:space="preserve"> working on the service’s behalf, the service must ensure that the suppliers’ actions are compliant with the acquisitions policy. </w:t>
      </w:r>
    </w:p>
    <w:p w14:paraId="798C90DE" w14:textId="653B78B9" w:rsidR="00B4184D" w:rsidRPr="00B4184D" w:rsidRDefault="00822BEA" w:rsidP="008646A6">
      <w:pPr>
        <w:ind w:left="426" w:hanging="426"/>
        <w:jc w:val="both"/>
      </w:pPr>
      <w:r>
        <w:t xml:space="preserve">5.2 </w:t>
      </w:r>
      <w:r w:rsidR="00B4184D">
        <w:t xml:space="preserve">The decision whether to use a particular property which is being offered by a supplier is made by the service and must be informed by applying the key principles of </w:t>
      </w:r>
      <w:r w:rsidR="00AE22E4">
        <w:t>the acquisitions</w:t>
      </w:r>
      <w:r w:rsidR="00B4184D">
        <w:t xml:space="preserve"> policy. </w:t>
      </w:r>
    </w:p>
    <w:p w14:paraId="209E8245" w14:textId="12E8E68E" w:rsidR="00822BEA" w:rsidRDefault="00FE659A" w:rsidP="008646A6">
      <w:pPr>
        <w:ind w:left="426" w:hanging="426"/>
        <w:jc w:val="both"/>
      </w:pPr>
      <w:r>
        <w:t xml:space="preserve">5.3 The </w:t>
      </w:r>
      <w:r w:rsidR="006D6F03">
        <w:t xml:space="preserve">suppliers </w:t>
      </w:r>
      <w:r>
        <w:t xml:space="preserve">who procure </w:t>
      </w:r>
      <w:r w:rsidR="006D6F03">
        <w:t>accommodation</w:t>
      </w:r>
      <w:r>
        <w:t xml:space="preserve"> on the service’s behalf are </w:t>
      </w:r>
      <w:r w:rsidR="007256A3">
        <w:t xml:space="preserve">made </w:t>
      </w:r>
      <w:r>
        <w:t xml:space="preserve">aware of the Council’s requirements and of </w:t>
      </w:r>
      <w:r w:rsidR="007256A3">
        <w:t>this policy.</w:t>
      </w:r>
      <w:r>
        <w:t xml:space="preserve"> </w:t>
      </w:r>
    </w:p>
    <w:p w14:paraId="7BF86103" w14:textId="5718A198" w:rsidR="000E73D0" w:rsidRDefault="00822BEA" w:rsidP="008646A6">
      <w:pPr>
        <w:ind w:left="426" w:hanging="426"/>
        <w:jc w:val="both"/>
      </w:pPr>
      <w:r>
        <w:t xml:space="preserve">5.4 </w:t>
      </w:r>
      <w:r w:rsidR="006D6F03">
        <w:t>Suppliers</w:t>
      </w:r>
      <w:r>
        <w:t xml:space="preserve"> are </w:t>
      </w:r>
      <w:r w:rsidR="006D6F03">
        <w:t>requested</w:t>
      </w:r>
      <w:r>
        <w:t xml:space="preserve"> to</w:t>
      </w:r>
      <w:r w:rsidR="009D729F">
        <w:t xml:space="preserve"> procure</w:t>
      </w:r>
      <w:r>
        <w:t xml:space="preserve"> </w:t>
      </w:r>
      <w:r w:rsidR="000E73D0">
        <w:t>as many properties as possible in the borough</w:t>
      </w:r>
      <w:r w:rsidR="003932D3">
        <w:t>,</w:t>
      </w:r>
      <w:r>
        <w:t xml:space="preserve"> to procure properties in n</w:t>
      </w:r>
      <w:r w:rsidR="000E73D0">
        <w:t xml:space="preserve">earby </w:t>
      </w:r>
      <w:r w:rsidR="005635D0">
        <w:t>locations</w:t>
      </w:r>
      <w:r>
        <w:t xml:space="preserve"> wherever possible</w:t>
      </w:r>
      <w:r w:rsidR="007256A3">
        <w:t>,</w:t>
      </w:r>
      <w:r>
        <w:t xml:space="preserve"> </w:t>
      </w:r>
      <w:r w:rsidR="000E73D0">
        <w:t xml:space="preserve">and to procure properties as close to the borough as possible when considering other areas. </w:t>
      </w:r>
    </w:p>
    <w:p w14:paraId="02AEA907" w14:textId="66FC27DF" w:rsidR="00D277F5" w:rsidRDefault="00822BEA" w:rsidP="008646A6">
      <w:pPr>
        <w:ind w:left="426" w:hanging="426"/>
        <w:jc w:val="both"/>
      </w:pPr>
      <w:r>
        <w:t xml:space="preserve">5.5 </w:t>
      </w:r>
      <w:r w:rsidR="00D277F5">
        <w:t xml:space="preserve">Where it may be possible for suppliers to deliver cost-effective arrangements for </w:t>
      </w:r>
      <w:r w:rsidR="006D6F03">
        <w:t>accommodation</w:t>
      </w:r>
      <w:r w:rsidR="00D277F5">
        <w:t xml:space="preserve"> in other areas, managers in the service are authorised to approve these arrangements where it appears clear that </w:t>
      </w:r>
    </w:p>
    <w:p w14:paraId="01972B9E" w14:textId="7AFF9474" w:rsidR="00D277F5" w:rsidRDefault="00D277F5" w:rsidP="00D277F5">
      <w:pPr>
        <w:numPr>
          <w:ilvl w:val="0"/>
          <w:numId w:val="14"/>
        </w:numPr>
        <w:jc w:val="both"/>
      </w:pPr>
      <w:r>
        <w:t xml:space="preserve">On the basis of trends in supply </w:t>
      </w:r>
      <w:r w:rsidR="003D1327">
        <w:t xml:space="preserve">and demand </w:t>
      </w:r>
      <w:r>
        <w:t xml:space="preserve">the service cannot be confident of comprehensively meeting its obligations to homeless households using only the properties likely to be acquired in the borough and in nearby </w:t>
      </w:r>
      <w:r w:rsidR="006D6F03">
        <w:t>locations</w:t>
      </w:r>
      <w:r w:rsidR="00A35391">
        <w:t xml:space="preserve"> (Zones A and B)</w:t>
      </w:r>
      <w:r>
        <w:t xml:space="preserve">, and </w:t>
      </w:r>
    </w:p>
    <w:p w14:paraId="1F70F71D" w14:textId="77777777" w:rsidR="00D277F5" w:rsidRDefault="00D277F5" w:rsidP="00D277F5">
      <w:pPr>
        <w:numPr>
          <w:ilvl w:val="0"/>
          <w:numId w:val="14"/>
        </w:numPr>
        <w:jc w:val="both"/>
      </w:pPr>
      <w:r>
        <w:t xml:space="preserve">It is likely there will also be a shortfall in the number of available units located in areas between the borough and nearby areas </w:t>
      </w:r>
      <w:r w:rsidR="00942F57">
        <w:t xml:space="preserve">(Zones A and B) </w:t>
      </w:r>
      <w:r>
        <w:t>and the location of the potential acquisition</w:t>
      </w:r>
      <w:r w:rsidR="00942F57">
        <w:t xml:space="preserve"> and</w:t>
      </w:r>
    </w:p>
    <w:p w14:paraId="4BC4CC2D" w14:textId="0E90C5B5" w:rsidR="002577AE" w:rsidRDefault="00822BEA" w:rsidP="00A35391">
      <w:pPr>
        <w:numPr>
          <w:ilvl w:val="0"/>
          <w:numId w:val="14"/>
        </w:numPr>
        <w:jc w:val="both"/>
      </w:pPr>
      <w:r>
        <w:t xml:space="preserve">The properties in question </w:t>
      </w:r>
      <w:r w:rsidR="002577AE">
        <w:t>meet the physical standards set out in the Council’</w:t>
      </w:r>
      <w:r w:rsidR="006D6F03">
        <w:t>s</w:t>
      </w:r>
      <w:r w:rsidR="002577AE">
        <w:t xml:space="preserve"> specification for </w:t>
      </w:r>
      <w:r w:rsidR="006D6F03">
        <w:t>accommodation</w:t>
      </w:r>
      <w:r w:rsidR="002577AE">
        <w:t xml:space="preserve"> procurement, and </w:t>
      </w:r>
    </w:p>
    <w:p w14:paraId="57D9AD54" w14:textId="62FD7CA8" w:rsidR="00D277F5" w:rsidRDefault="00D277F5" w:rsidP="00D277F5">
      <w:pPr>
        <w:numPr>
          <w:ilvl w:val="0"/>
          <w:numId w:val="14"/>
        </w:numPr>
        <w:jc w:val="both"/>
      </w:pPr>
      <w:r>
        <w:t xml:space="preserve">The properties being offered represent good value for money </w:t>
      </w:r>
      <w:r w:rsidR="002577AE">
        <w:t xml:space="preserve">when considered in the context </w:t>
      </w:r>
      <w:r>
        <w:t xml:space="preserve">of the service’s overall expenditure on </w:t>
      </w:r>
      <w:r w:rsidR="006D6F03">
        <w:t>accommodation</w:t>
      </w:r>
      <w:r>
        <w:t>.</w:t>
      </w:r>
    </w:p>
    <w:p w14:paraId="54DB62E7" w14:textId="4F3D6ADB" w:rsidR="00D277F5" w:rsidRDefault="002577AE" w:rsidP="008646A6">
      <w:pPr>
        <w:ind w:left="284" w:hanging="284"/>
        <w:jc w:val="both"/>
      </w:pPr>
      <w:r>
        <w:t xml:space="preserve">5.6 </w:t>
      </w:r>
      <w:r w:rsidR="00D277F5">
        <w:t xml:space="preserve">Where units are acquired in other areas </w:t>
      </w:r>
      <w:r>
        <w:t xml:space="preserve">by applying the above </w:t>
      </w:r>
      <w:r w:rsidR="00D277F5">
        <w:t xml:space="preserve">criteria, the </w:t>
      </w:r>
      <w:r w:rsidR="006D6F03" w:rsidRPr="006D6F03">
        <w:t>Temporary Accommodation and Private Rented Sector Offer Allocations Policies</w:t>
      </w:r>
      <w:r w:rsidR="006D6F03">
        <w:t xml:space="preserve"> </w:t>
      </w:r>
      <w:r w:rsidR="00D277F5">
        <w:t xml:space="preserve">will be applied </w:t>
      </w:r>
      <w:r>
        <w:t xml:space="preserve">in the process of matching each individual </w:t>
      </w:r>
      <w:r w:rsidR="00AE22E4">
        <w:t>property to</w:t>
      </w:r>
      <w:r w:rsidR="00D277F5">
        <w:t xml:space="preserve"> </w:t>
      </w:r>
      <w:r>
        <w:t xml:space="preserve">a homeless household. Each property will only be </w:t>
      </w:r>
      <w:r w:rsidR="00D277F5">
        <w:t xml:space="preserve">offered </w:t>
      </w:r>
      <w:r>
        <w:t xml:space="preserve">to an applicant </w:t>
      </w:r>
      <w:r w:rsidR="00D277F5">
        <w:t>whe</w:t>
      </w:r>
      <w:r>
        <w:t xml:space="preserve">n </w:t>
      </w:r>
      <w:r w:rsidR="00D277F5">
        <w:t xml:space="preserve">the service has satisfied itself that </w:t>
      </w:r>
      <w:r>
        <w:t xml:space="preserve">it is </w:t>
      </w:r>
      <w:r w:rsidR="00D277F5">
        <w:t xml:space="preserve">suitable for </w:t>
      </w:r>
      <w:r>
        <w:t xml:space="preserve">the homeless </w:t>
      </w:r>
      <w:r w:rsidR="00D277F5">
        <w:t>household</w:t>
      </w:r>
      <w:r>
        <w:t xml:space="preserve">, taking account </w:t>
      </w:r>
      <w:r w:rsidR="006D6F03">
        <w:t xml:space="preserve">of </w:t>
      </w:r>
      <w:r>
        <w:t>the household</w:t>
      </w:r>
      <w:r w:rsidR="00942F57">
        <w:t>’</w:t>
      </w:r>
      <w:r>
        <w:t xml:space="preserve">s individual circumstances and the characteristics of the </w:t>
      </w:r>
      <w:r w:rsidR="00D277F5">
        <w:t>property</w:t>
      </w:r>
      <w:r w:rsidR="000B1355">
        <w:t>.</w:t>
      </w:r>
    </w:p>
    <w:p w14:paraId="7F6E2DA0" w14:textId="77777777" w:rsidR="00942F57" w:rsidRDefault="00942F57" w:rsidP="008646A6">
      <w:pPr>
        <w:ind w:left="284" w:hanging="284"/>
        <w:jc w:val="both"/>
      </w:pPr>
    </w:p>
    <w:p w14:paraId="40D9610A" w14:textId="77777777" w:rsidR="000E73D0" w:rsidRDefault="002577AE" w:rsidP="00093C27">
      <w:pPr>
        <w:jc w:val="both"/>
        <w:rPr>
          <w:u w:val="single"/>
        </w:rPr>
      </w:pPr>
      <w:r>
        <w:rPr>
          <w:u w:val="single"/>
        </w:rPr>
        <w:t xml:space="preserve">6.0 </w:t>
      </w:r>
      <w:r w:rsidR="000E73D0" w:rsidRPr="000E73D0">
        <w:rPr>
          <w:u w:val="single"/>
        </w:rPr>
        <w:t xml:space="preserve">Process for acquisitions </w:t>
      </w:r>
    </w:p>
    <w:p w14:paraId="6E6C97AB" w14:textId="67A24824" w:rsidR="00B4184D" w:rsidRDefault="002577AE" w:rsidP="008646A6">
      <w:pPr>
        <w:ind w:left="284" w:hanging="284"/>
        <w:jc w:val="both"/>
      </w:pPr>
      <w:r>
        <w:t xml:space="preserve">6.1 </w:t>
      </w:r>
      <w:r w:rsidR="000B1355">
        <w:t xml:space="preserve">The </w:t>
      </w:r>
      <w:r w:rsidR="00AE22E4">
        <w:t>process by</w:t>
      </w:r>
      <w:r w:rsidR="000B1355">
        <w:t xml:space="preserve"> which individual properties are offered to the service by suppliers is set out in the relevant Service Specification documents for each type of </w:t>
      </w:r>
      <w:r w:rsidR="00013567">
        <w:t xml:space="preserve">Accommodation procured </w:t>
      </w:r>
      <w:r w:rsidR="006D6F03">
        <w:t xml:space="preserve"> and in the procedures of the Accommodation Procurement Team</w:t>
      </w:r>
      <w:r w:rsidR="000B1355">
        <w:t>.</w:t>
      </w:r>
    </w:p>
    <w:p w14:paraId="57036F8F" w14:textId="4475AE6F" w:rsidR="000B1355" w:rsidRDefault="002577AE" w:rsidP="008646A6">
      <w:pPr>
        <w:ind w:left="284" w:hanging="284"/>
        <w:jc w:val="both"/>
      </w:pPr>
      <w:r>
        <w:t xml:space="preserve">6.2 </w:t>
      </w:r>
      <w:r w:rsidR="00B4184D">
        <w:t xml:space="preserve">Before agreeing to the use of a specific unit, officers in the service are responsible for ensuring a) that the </w:t>
      </w:r>
      <w:r w:rsidR="006D6F03">
        <w:t xml:space="preserve">relevant </w:t>
      </w:r>
      <w:r w:rsidR="00B4184D">
        <w:t xml:space="preserve">acquisitions process has been followed, and b) that the acquisition of the unit is consistent with the principles of the </w:t>
      </w:r>
      <w:r w:rsidR="006D6F03">
        <w:t>A</w:t>
      </w:r>
      <w:r w:rsidR="00B4184D">
        <w:t xml:space="preserve">cquisitions </w:t>
      </w:r>
      <w:r w:rsidR="006D6F03">
        <w:t>P</w:t>
      </w:r>
      <w:r w:rsidR="00B4184D">
        <w:t>olicy as set out above.</w:t>
      </w:r>
    </w:p>
    <w:p w14:paraId="39DBA547" w14:textId="77777777" w:rsidR="003D1327" w:rsidRDefault="002577AE" w:rsidP="008646A6">
      <w:pPr>
        <w:ind w:left="284" w:hanging="284"/>
        <w:jc w:val="both"/>
      </w:pPr>
      <w:r>
        <w:t xml:space="preserve">6.3 </w:t>
      </w:r>
      <w:r w:rsidR="003D1327">
        <w:t>Where there are not likely to be sufficient units in the borough and nearby boroughs to meet demand, officers in the service can authorise the acquisition of properties elsewhere in order that it will be possible to meet the service’s obligations</w:t>
      </w:r>
      <w:r w:rsidR="00933D4C">
        <w:t xml:space="preserve">. </w:t>
      </w:r>
    </w:p>
    <w:p w14:paraId="3A6076F3" w14:textId="4BB05F8A" w:rsidR="003D1327" w:rsidRDefault="002577AE" w:rsidP="008646A6">
      <w:pPr>
        <w:ind w:left="284" w:hanging="284"/>
        <w:jc w:val="both"/>
      </w:pPr>
      <w:r>
        <w:t xml:space="preserve">6.4 </w:t>
      </w:r>
      <w:r w:rsidR="00B4184D">
        <w:t xml:space="preserve">When properties have been acquired the service will </w:t>
      </w:r>
      <w:r w:rsidR="003D1327">
        <w:t xml:space="preserve">go on to </w:t>
      </w:r>
      <w:r w:rsidR="00B4184D">
        <w:t xml:space="preserve">consider which households should </w:t>
      </w:r>
      <w:proofErr w:type="gramStart"/>
      <w:r w:rsidR="00B4184D">
        <w:t>be</w:t>
      </w:r>
      <w:proofErr w:type="gramEnd"/>
      <w:r w:rsidR="00B4184D">
        <w:t xml:space="preserve"> offered them, applying the </w:t>
      </w:r>
      <w:r w:rsidR="006D6F03" w:rsidRPr="006D6F03">
        <w:t>Temporary Accommodation and Private Rented Sector Offer Allocations Policies</w:t>
      </w:r>
      <w:r>
        <w:t xml:space="preserve">. </w:t>
      </w:r>
    </w:p>
    <w:p w14:paraId="21C0202C" w14:textId="6D01132D" w:rsidR="00942F57" w:rsidRDefault="00942F57" w:rsidP="008646A6">
      <w:pPr>
        <w:ind w:left="284" w:hanging="284"/>
        <w:jc w:val="both"/>
      </w:pPr>
    </w:p>
    <w:p w14:paraId="5D498B40" w14:textId="77777777" w:rsidR="003932D3" w:rsidRDefault="003932D3" w:rsidP="008646A6">
      <w:pPr>
        <w:ind w:left="284" w:hanging="284"/>
        <w:jc w:val="both"/>
      </w:pPr>
    </w:p>
    <w:p w14:paraId="629EEDEE" w14:textId="77777777" w:rsidR="002577AE" w:rsidRDefault="00373C20" w:rsidP="00093C27">
      <w:pPr>
        <w:jc w:val="both"/>
        <w:rPr>
          <w:u w:val="single"/>
        </w:rPr>
      </w:pPr>
      <w:r w:rsidRPr="00373C20">
        <w:rPr>
          <w:u w:val="single"/>
        </w:rPr>
        <w:t xml:space="preserve">7.0 Financial considerations </w:t>
      </w:r>
    </w:p>
    <w:p w14:paraId="061ABB46" w14:textId="420B5717" w:rsidR="00373C20" w:rsidRDefault="00373C20" w:rsidP="008646A6">
      <w:pPr>
        <w:ind w:left="284" w:hanging="284"/>
        <w:jc w:val="both"/>
      </w:pPr>
      <w:r>
        <w:t xml:space="preserve">7.1 The difficulties experienced by the service in procuring </w:t>
      </w:r>
      <w:r w:rsidR="006D6F03">
        <w:t>accommodation</w:t>
      </w:r>
      <w:r>
        <w:t xml:space="preserve"> in the borough and in nearby </w:t>
      </w:r>
      <w:r w:rsidR="005635D0">
        <w:t>locations</w:t>
      </w:r>
      <w:r>
        <w:t xml:space="preserve"> are largely related to the wider housing market</w:t>
      </w:r>
      <w:r w:rsidR="007256A3">
        <w:t>,</w:t>
      </w:r>
      <w:r>
        <w:t xml:space="preserve"> the availability to owners and landlords of other options which are more financially attractive (including letting properties to households not dependent on Housing Benefit)</w:t>
      </w:r>
      <w:r w:rsidR="007256A3">
        <w:t xml:space="preserve"> and the financial constraints on the Council</w:t>
      </w:r>
      <w:r w:rsidR="006D6F03">
        <w:t>.</w:t>
      </w:r>
      <w:r>
        <w:t xml:space="preserve"> </w:t>
      </w:r>
      <w:r w:rsidR="003932D3">
        <w:t>Considering</w:t>
      </w:r>
      <w:r>
        <w:t xml:space="preserve"> this</w:t>
      </w:r>
      <w:r w:rsidR="009865FC">
        <w:t>,</w:t>
      </w:r>
      <w:r>
        <w:t xml:space="preserve"> the service keeps under review the rent charges and other financial incentives it offers to managing agents and property owners and will implement </w:t>
      </w:r>
      <w:r w:rsidR="003932D3">
        <w:t xml:space="preserve">changes </w:t>
      </w:r>
      <w:r>
        <w:t xml:space="preserve">in these incentives where there is a business case for doing so. </w:t>
      </w:r>
    </w:p>
    <w:p w14:paraId="4A8F30EA" w14:textId="4535CD7E" w:rsidR="00373C20" w:rsidRDefault="00373C20" w:rsidP="008646A6">
      <w:pPr>
        <w:ind w:left="284" w:hanging="284"/>
        <w:jc w:val="both"/>
      </w:pPr>
      <w:r>
        <w:t>7.2 The service is under an obligation to provide services within the budgetary limits set by the Council, and to seek value for money in all its dealings with third parties. For these reasons it is not possible for the Council to pay `asking rents’ for properties in the borough, or in any area, where to do so would create a severe financial imbalance between the maximum obtainable rent and the amount payable to the agent or owner. In seeking to provide suitable accommodation in the borough or as close to it as possible</w:t>
      </w:r>
      <w:r w:rsidR="003932D3">
        <w:t>,</w:t>
      </w:r>
      <w:r>
        <w:t xml:space="preserve"> the service </w:t>
      </w:r>
      <w:r w:rsidR="009865FC">
        <w:t xml:space="preserve">must have due regard to the Council’s financial responsibilities. </w:t>
      </w:r>
      <w:r>
        <w:t xml:space="preserve"> These considerations represent a significant impediment to obtaining as many units of </w:t>
      </w:r>
      <w:r w:rsidR="00514461">
        <w:t>accommodation</w:t>
      </w:r>
      <w:r>
        <w:t xml:space="preserve"> in the borough or nearby as would be desirable to fulfil the principles of the </w:t>
      </w:r>
      <w:r w:rsidR="003932D3">
        <w:t>A</w:t>
      </w:r>
      <w:r>
        <w:t xml:space="preserve">cquisitions </w:t>
      </w:r>
      <w:r w:rsidR="003932D3">
        <w:t>P</w:t>
      </w:r>
      <w:r>
        <w:t xml:space="preserve">olicy and the </w:t>
      </w:r>
      <w:r w:rsidR="00514461" w:rsidRPr="00514461">
        <w:t>Temporary Accommodation and Private Rented Sector Offer Allocation Policies</w:t>
      </w:r>
      <w:r>
        <w:t xml:space="preserve">.  </w:t>
      </w:r>
    </w:p>
    <w:p w14:paraId="72545B98" w14:textId="6CA7B7DE" w:rsidR="00AE22E4" w:rsidRDefault="00373C20" w:rsidP="008646A6">
      <w:pPr>
        <w:ind w:left="284" w:hanging="284"/>
        <w:jc w:val="both"/>
      </w:pPr>
      <w:r>
        <w:t xml:space="preserve">7.3 </w:t>
      </w:r>
      <w:r w:rsidR="00AE22E4">
        <w:t xml:space="preserve">Notwithstanding the constraints described above, the service and the </w:t>
      </w:r>
      <w:r w:rsidR="00514461">
        <w:t>suppliers</w:t>
      </w:r>
      <w:r w:rsidR="00AE22E4">
        <w:t xml:space="preserve"> with whom it works in partnership are committed to maximising the supply of properties in or near the borough. </w:t>
      </w:r>
      <w:r w:rsidR="009865FC">
        <w:t xml:space="preserve">This </w:t>
      </w:r>
      <w:r w:rsidR="00AE22E4">
        <w:t xml:space="preserve">policy reflects this aspiration while taking account of the difficulties in procuring sufficient units of </w:t>
      </w:r>
      <w:r w:rsidR="00514461">
        <w:t>accommodation</w:t>
      </w:r>
      <w:r w:rsidR="00AE22E4">
        <w:t xml:space="preserve"> in the borough and the practical and financial impediments in obtaining properties of a sufficiently high standard in nearby </w:t>
      </w:r>
      <w:r w:rsidR="00514461">
        <w:t>locations</w:t>
      </w:r>
      <w:r w:rsidR="00AE22E4">
        <w:t xml:space="preserve">. </w:t>
      </w:r>
    </w:p>
    <w:p w14:paraId="294AC736" w14:textId="4E8E1200" w:rsidR="002577AE" w:rsidRDefault="00AE22E4" w:rsidP="00FE659A">
      <w:pPr>
        <w:ind w:left="284" w:hanging="284"/>
        <w:jc w:val="both"/>
      </w:pPr>
      <w:r>
        <w:t>. 7.</w:t>
      </w:r>
      <w:r w:rsidR="00A35391">
        <w:t>4</w:t>
      </w:r>
      <w:r>
        <w:t xml:space="preserve"> In dealing with potential acquisitions under this policy, the service also has regard to the right of homeless applicants to request a review of the suitability of any accommodation </w:t>
      </w:r>
      <w:r w:rsidR="00514461">
        <w:t>offered</w:t>
      </w:r>
      <w:r>
        <w:t xml:space="preserve"> to them.  </w:t>
      </w:r>
    </w:p>
    <w:sectPr w:rsidR="002577AE" w:rsidSect="00A35391">
      <w:footerReference w:type="default" r:id="rId10"/>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2D092" w14:textId="77777777" w:rsidR="00C66652" w:rsidRDefault="00C66652">
      <w:r>
        <w:separator/>
      </w:r>
    </w:p>
  </w:endnote>
  <w:endnote w:type="continuationSeparator" w:id="0">
    <w:p w14:paraId="3B788979" w14:textId="77777777" w:rsidR="00C66652" w:rsidRDefault="00C6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62CE3" w14:textId="77777777" w:rsidR="0083666A" w:rsidRDefault="0083666A">
    <w:pPr>
      <w:pStyle w:val="Footer"/>
      <w:jc w:val="center"/>
    </w:pPr>
    <w:r>
      <w:fldChar w:fldCharType="begin"/>
    </w:r>
    <w:r>
      <w:instrText xml:space="preserve"> PAGE   \* MERGEFORMAT </w:instrText>
    </w:r>
    <w:r>
      <w:fldChar w:fldCharType="separate"/>
    </w:r>
    <w:r w:rsidR="002E4B10">
      <w:rPr>
        <w:noProof/>
      </w:rPr>
      <w:t>1</w:t>
    </w:r>
    <w:r>
      <w:rPr>
        <w:noProof/>
      </w:rPr>
      <w:fldChar w:fldCharType="end"/>
    </w:r>
  </w:p>
  <w:p w14:paraId="5334D9B4" w14:textId="77777777" w:rsidR="0070665E" w:rsidRDefault="0070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0B666" w14:textId="77777777" w:rsidR="00C66652" w:rsidRDefault="00C66652">
      <w:r>
        <w:separator/>
      </w:r>
    </w:p>
  </w:footnote>
  <w:footnote w:type="continuationSeparator" w:id="0">
    <w:p w14:paraId="539607A6" w14:textId="77777777" w:rsidR="00C66652" w:rsidRDefault="00C66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F5A"/>
    <w:multiLevelType w:val="hybridMultilevel"/>
    <w:tmpl w:val="ABDEF17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15:restartNumberingAfterBreak="0">
    <w:nsid w:val="06691BD6"/>
    <w:multiLevelType w:val="hybridMultilevel"/>
    <w:tmpl w:val="37AC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AA"/>
    <w:multiLevelType w:val="hybridMultilevel"/>
    <w:tmpl w:val="619E6222"/>
    <w:lvl w:ilvl="0" w:tplc="08090017">
      <w:start w:val="1"/>
      <w:numFmt w:val="lowerLetter"/>
      <w:lvlText w:val="%1)"/>
      <w:lvlJc w:val="left"/>
      <w:pPr>
        <w:tabs>
          <w:tab w:val="num" w:pos="1492"/>
        </w:tabs>
        <w:ind w:left="1492" w:hanging="360"/>
      </w:pPr>
    </w:lvl>
    <w:lvl w:ilvl="1" w:tplc="08090019" w:tentative="1">
      <w:start w:val="1"/>
      <w:numFmt w:val="lowerLetter"/>
      <w:lvlText w:val="%2."/>
      <w:lvlJc w:val="left"/>
      <w:pPr>
        <w:tabs>
          <w:tab w:val="num" w:pos="2212"/>
        </w:tabs>
        <w:ind w:left="2212" w:hanging="360"/>
      </w:pPr>
    </w:lvl>
    <w:lvl w:ilvl="2" w:tplc="0809001B" w:tentative="1">
      <w:start w:val="1"/>
      <w:numFmt w:val="lowerRoman"/>
      <w:lvlText w:val="%3."/>
      <w:lvlJc w:val="right"/>
      <w:pPr>
        <w:tabs>
          <w:tab w:val="num" w:pos="2932"/>
        </w:tabs>
        <w:ind w:left="2932" w:hanging="180"/>
      </w:pPr>
    </w:lvl>
    <w:lvl w:ilvl="3" w:tplc="0809000F" w:tentative="1">
      <w:start w:val="1"/>
      <w:numFmt w:val="decimal"/>
      <w:lvlText w:val="%4."/>
      <w:lvlJc w:val="left"/>
      <w:pPr>
        <w:tabs>
          <w:tab w:val="num" w:pos="3652"/>
        </w:tabs>
        <w:ind w:left="3652" w:hanging="360"/>
      </w:pPr>
    </w:lvl>
    <w:lvl w:ilvl="4" w:tplc="08090019" w:tentative="1">
      <w:start w:val="1"/>
      <w:numFmt w:val="lowerLetter"/>
      <w:lvlText w:val="%5."/>
      <w:lvlJc w:val="left"/>
      <w:pPr>
        <w:tabs>
          <w:tab w:val="num" w:pos="4372"/>
        </w:tabs>
        <w:ind w:left="4372" w:hanging="360"/>
      </w:pPr>
    </w:lvl>
    <w:lvl w:ilvl="5" w:tplc="0809001B" w:tentative="1">
      <w:start w:val="1"/>
      <w:numFmt w:val="lowerRoman"/>
      <w:lvlText w:val="%6."/>
      <w:lvlJc w:val="right"/>
      <w:pPr>
        <w:tabs>
          <w:tab w:val="num" w:pos="5092"/>
        </w:tabs>
        <w:ind w:left="5092" w:hanging="180"/>
      </w:pPr>
    </w:lvl>
    <w:lvl w:ilvl="6" w:tplc="0809000F" w:tentative="1">
      <w:start w:val="1"/>
      <w:numFmt w:val="decimal"/>
      <w:lvlText w:val="%7."/>
      <w:lvlJc w:val="left"/>
      <w:pPr>
        <w:tabs>
          <w:tab w:val="num" w:pos="5812"/>
        </w:tabs>
        <w:ind w:left="5812" w:hanging="360"/>
      </w:pPr>
    </w:lvl>
    <w:lvl w:ilvl="7" w:tplc="08090019" w:tentative="1">
      <w:start w:val="1"/>
      <w:numFmt w:val="lowerLetter"/>
      <w:lvlText w:val="%8."/>
      <w:lvlJc w:val="left"/>
      <w:pPr>
        <w:tabs>
          <w:tab w:val="num" w:pos="6532"/>
        </w:tabs>
        <w:ind w:left="6532" w:hanging="360"/>
      </w:pPr>
    </w:lvl>
    <w:lvl w:ilvl="8" w:tplc="0809001B" w:tentative="1">
      <w:start w:val="1"/>
      <w:numFmt w:val="lowerRoman"/>
      <w:lvlText w:val="%9."/>
      <w:lvlJc w:val="right"/>
      <w:pPr>
        <w:tabs>
          <w:tab w:val="num" w:pos="7252"/>
        </w:tabs>
        <w:ind w:left="7252" w:hanging="180"/>
      </w:pPr>
    </w:lvl>
  </w:abstractNum>
  <w:abstractNum w:abstractNumId="3" w15:restartNumberingAfterBreak="0">
    <w:nsid w:val="140363FF"/>
    <w:multiLevelType w:val="multilevel"/>
    <w:tmpl w:val="99B8CB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D1079"/>
    <w:multiLevelType w:val="hybridMultilevel"/>
    <w:tmpl w:val="E7543ACE"/>
    <w:lvl w:ilvl="0" w:tplc="AE3254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53E1E"/>
    <w:multiLevelType w:val="hybridMultilevel"/>
    <w:tmpl w:val="0A943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0932EE"/>
    <w:multiLevelType w:val="hybridMultilevel"/>
    <w:tmpl w:val="305EEECA"/>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7" w15:restartNumberingAfterBreak="0">
    <w:nsid w:val="44E67175"/>
    <w:multiLevelType w:val="hybridMultilevel"/>
    <w:tmpl w:val="E5E2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C08BF"/>
    <w:multiLevelType w:val="hybridMultilevel"/>
    <w:tmpl w:val="682E1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54DFE"/>
    <w:multiLevelType w:val="hybridMultilevel"/>
    <w:tmpl w:val="C3B0ACD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A4A0F3A"/>
    <w:multiLevelType w:val="hybridMultilevel"/>
    <w:tmpl w:val="8CECA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72A14"/>
    <w:multiLevelType w:val="multilevel"/>
    <w:tmpl w:val="73BC4ED0"/>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5348A7"/>
    <w:multiLevelType w:val="hybridMultilevel"/>
    <w:tmpl w:val="45FAEC98"/>
    <w:lvl w:ilvl="0" w:tplc="3856A3F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E1559"/>
    <w:multiLevelType w:val="hybridMultilevel"/>
    <w:tmpl w:val="6816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0"/>
  </w:num>
  <w:num w:numId="5">
    <w:abstractNumId w:val="3"/>
  </w:num>
  <w:num w:numId="6">
    <w:abstractNumId w:val="2"/>
  </w:num>
  <w:num w:numId="7">
    <w:abstractNumId w:val="9"/>
  </w:num>
  <w:num w:numId="8">
    <w:abstractNumId w:val="11"/>
  </w:num>
  <w:num w:numId="9">
    <w:abstractNumId w:val="13"/>
  </w:num>
  <w:num w:numId="10">
    <w:abstractNumId w:val="1"/>
  </w:num>
  <w:num w:numId="11">
    <w:abstractNumId w:val="6"/>
  </w:num>
  <w:num w:numId="12">
    <w:abstractNumId w:val="0"/>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34"/>
    <w:rsid w:val="00013567"/>
    <w:rsid w:val="00015BC3"/>
    <w:rsid w:val="000311E0"/>
    <w:rsid w:val="00045034"/>
    <w:rsid w:val="00071916"/>
    <w:rsid w:val="00074D0F"/>
    <w:rsid w:val="0007632A"/>
    <w:rsid w:val="000773E2"/>
    <w:rsid w:val="0008132A"/>
    <w:rsid w:val="00093C27"/>
    <w:rsid w:val="000B1355"/>
    <w:rsid w:val="000B3DF1"/>
    <w:rsid w:val="000C230D"/>
    <w:rsid w:val="000C6AE7"/>
    <w:rsid w:val="000E4F7F"/>
    <w:rsid w:val="000E73D0"/>
    <w:rsid w:val="000E7AC2"/>
    <w:rsid w:val="00102840"/>
    <w:rsid w:val="00121BD6"/>
    <w:rsid w:val="0012312E"/>
    <w:rsid w:val="001331D6"/>
    <w:rsid w:val="00140807"/>
    <w:rsid w:val="001478A7"/>
    <w:rsid w:val="001712D0"/>
    <w:rsid w:val="00184F7E"/>
    <w:rsid w:val="001C3FA4"/>
    <w:rsid w:val="001C57A9"/>
    <w:rsid w:val="0020253F"/>
    <w:rsid w:val="00212669"/>
    <w:rsid w:val="00242FD2"/>
    <w:rsid w:val="002577AE"/>
    <w:rsid w:val="002935A2"/>
    <w:rsid w:val="00294B7B"/>
    <w:rsid w:val="002C2307"/>
    <w:rsid w:val="002E4B10"/>
    <w:rsid w:val="002F1083"/>
    <w:rsid w:val="002F7F64"/>
    <w:rsid w:val="00302CB1"/>
    <w:rsid w:val="00335140"/>
    <w:rsid w:val="00342151"/>
    <w:rsid w:val="00373C20"/>
    <w:rsid w:val="0038335C"/>
    <w:rsid w:val="003932D3"/>
    <w:rsid w:val="00396882"/>
    <w:rsid w:val="003B5146"/>
    <w:rsid w:val="003C6B33"/>
    <w:rsid w:val="003D1327"/>
    <w:rsid w:val="004178F4"/>
    <w:rsid w:val="00424754"/>
    <w:rsid w:val="004268E8"/>
    <w:rsid w:val="0044603F"/>
    <w:rsid w:val="004509DF"/>
    <w:rsid w:val="0045658D"/>
    <w:rsid w:val="00497901"/>
    <w:rsid w:val="004B666B"/>
    <w:rsid w:val="004D517B"/>
    <w:rsid w:val="004F1D30"/>
    <w:rsid w:val="00503579"/>
    <w:rsid w:val="00514461"/>
    <w:rsid w:val="00525CC4"/>
    <w:rsid w:val="00525F93"/>
    <w:rsid w:val="005328C2"/>
    <w:rsid w:val="00532C8F"/>
    <w:rsid w:val="005453B9"/>
    <w:rsid w:val="00545767"/>
    <w:rsid w:val="00553329"/>
    <w:rsid w:val="00553C0C"/>
    <w:rsid w:val="005635D0"/>
    <w:rsid w:val="00570406"/>
    <w:rsid w:val="005823D1"/>
    <w:rsid w:val="0059382D"/>
    <w:rsid w:val="005A4D98"/>
    <w:rsid w:val="005C3034"/>
    <w:rsid w:val="005C60ED"/>
    <w:rsid w:val="005C63B1"/>
    <w:rsid w:val="005E36A3"/>
    <w:rsid w:val="006103C0"/>
    <w:rsid w:val="006208CE"/>
    <w:rsid w:val="00634889"/>
    <w:rsid w:val="00637E94"/>
    <w:rsid w:val="006A36D8"/>
    <w:rsid w:val="006A769E"/>
    <w:rsid w:val="006A7AAA"/>
    <w:rsid w:val="006B45BF"/>
    <w:rsid w:val="006D56B9"/>
    <w:rsid w:val="006D6F03"/>
    <w:rsid w:val="006F7285"/>
    <w:rsid w:val="00704847"/>
    <w:rsid w:val="007058CF"/>
    <w:rsid w:val="0070665E"/>
    <w:rsid w:val="007106D8"/>
    <w:rsid w:val="00723A72"/>
    <w:rsid w:val="007256A3"/>
    <w:rsid w:val="00726F71"/>
    <w:rsid w:val="00727E4E"/>
    <w:rsid w:val="007476D7"/>
    <w:rsid w:val="00761389"/>
    <w:rsid w:val="00766CEC"/>
    <w:rsid w:val="00774802"/>
    <w:rsid w:val="0079113D"/>
    <w:rsid w:val="007A4E78"/>
    <w:rsid w:val="007C1145"/>
    <w:rsid w:val="007C2653"/>
    <w:rsid w:val="007D0DB0"/>
    <w:rsid w:val="0080722B"/>
    <w:rsid w:val="008138E0"/>
    <w:rsid w:val="00817110"/>
    <w:rsid w:val="00817710"/>
    <w:rsid w:val="00822BEA"/>
    <w:rsid w:val="00834F77"/>
    <w:rsid w:val="0083666A"/>
    <w:rsid w:val="00860489"/>
    <w:rsid w:val="00861567"/>
    <w:rsid w:val="008646A6"/>
    <w:rsid w:val="008759F4"/>
    <w:rsid w:val="008B0447"/>
    <w:rsid w:val="008C11E4"/>
    <w:rsid w:val="008C4A25"/>
    <w:rsid w:val="008E112D"/>
    <w:rsid w:val="008E1B67"/>
    <w:rsid w:val="008F0EB0"/>
    <w:rsid w:val="00930020"/>
    <w:rsid w:val="00933D4C"/>
    <w:rsid w:val="00937B69"/>
    <w:rsid w:val="00942F57"/>
    <w:rsid w:val="0095455D"/>
    <w:rsid w:val="00954621"/>
    <w:rsid w:val="009719AB"/>
    <w:rsid w:val="009865FC"/>
    <w:rsid w:val="00992787"/>
    <w:rsid w:val="009932F8"/>
    <w:rsid w:val="009B5801"/>
    <w:rsid w:val="009D729F"/>
    <w:rsid w:val="009E792D"/>
    <w:rsid w:val="009F416E"/>
    <w:rsid w:val="00A03C8A"/>
    <w:rsid w:val="00A0482A"/>
    <w:rsid w:val="00A063AA"/>
    <w:rsid w:val="00A35391"/>
    <w:rsid w:val="00A42D2F"/>
    <w:rsid w:val="00A82994"/>
    <w:rsid w:val="00A82F7C"/>
    <w:rsid w:val="00A968FB"/>
    <w:rsid w:val="00AB6F98"/>
    <w:rsid w:val="00AD4E37"/>
    <w:rsid w:val="00AE22E4"/>
    <w:rsid w:val="00AF4533"/>
    <w:rsid w:val="00B20526"/>
    <w:rsid w:val="00B324BC"/>
    <w:rsid w:val="00B34777"/>
    <w:rsid w:val="00B4184D"/>
    <w:rsid w:val="00B458AC"/>
    <w:rsid w:val="00B7524E"/>
    <w:rsid w:val="00BC400C"/>
    <w:rsid w:val="00BC5DF7"/>
    <w:rsid w:val="00C0351B"/>
    <w:rsid w:val="00C304A1"/>
    <w:rsid w:val="00C5795D"/>
    <w:rsid w:val="00C617E1"/>
    <w:rsid w:val="00C66652"/>
    <w:rsid w:val="00C709F5"/>
    <w:rsid w:val="00C722D7"/>
    <w:rsid w:val="00C73834"/>
    <w:rsid w:val="00C744A5"/>
    <w:rsid w:val="00CA0FD5"/>
    <w:rsid w:val="00CB4637"/>
    <w:rsid w:val="00D031B5"/>
    <w:rsid w:val="00D06644"/>
    <w:rsid w:val="00D113BC"/>
    <w:rsid w:val="00D179F4"/>
    <w:rsid w:val="00D277F5"/>
    <w:rsid w:val="00D35366"/>
    <w:rsid w:val="00D355A4"/>
    <w:rsid w:val="00D4284A"/>
    <w:rsid w:val="00D42E04"/>
    <w:rsid w:val="00D51C6E"/>
    <w:rsid w:val="00D5274F"/>
    <w:rsid w:val="00D70F28"/>
    <w:rsid w:val="00D96303"/>
    <w:rsid w:val="00DA49B1"/>
    <w:rsid w:val="00DC711B"/>
    <w:rsid w:val="00DD058C"/>
    <w:rsid w:val="00DF072C"/>
    <w:rsid w:val="00DF59D2"/>
    <w:rsid w:val="00E11AE4"/>
    <w:rsid w:val="00E45698"/>
    <w:rsid w:val="00E47DA0"/>
    <w:rsid w:val="00E53165"/>
    <w:rsid w:val="00E544CF"/>
    <w:rsid w:val="00E60D27"/>
    <w:rsid w:val="00E658A4"/>
    <w:rsid w:val="00E76AAD"/>
    <w:rsid w:val="00E92465"/>
    <w:rsid w:val="00EC7C46"/>
    <w:rsid w:val="00EE75CA"/>
    <w:rsid w:val="00EF1E3A"/>
    <w:rsid w:val="00EF46A1"/>
    <w:rsid w:val="00F529AF"/>
    <w:rsid w:val="00F57C6C"/>
    <w:rsid w:val="00F82B73"/>
    <w:rsid w:val="00FB02EA"/>
    <w:rsid w:val="00FB23AB"/>
    <w:rsid w:val="00FB7E89"/>
    <w:rsid w:val="00FD06F4"/>
    <w:rsid w:val="00FE0C75"/>
    <w:rsid w:val="00FE140A"/>
    <w:rsid w:val="00FE4B94"/>
    <w:rsid w:val="00FE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92F6D"/>
  <w15:chartTrackingRefBased/>
  <w15:docId w15:val="{95B1AAEF-1980-4394-A5A8-AF91EB6D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034"/>
    <w:pPr>
      <w:spacing w:after="20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C6C"/>
    <w:rPr>
      <w:rFonts w:ascii="Tahoma" w:hAnsi="Tahoma" w:cs="Tahoma"/>
      <w:sz w:val="16"/>
      <w:szCs w:val="16"/>
    </w:rPr>
  </w:style>
  <w:style w:type="paragraph" w:styleId="FootnoteText">
    <w:name w:val="footnote text"/>
    <w:basedOn w:val="Normal"/>
    <w:semiHidden/>
    <w:rsid w:val="000B3DF1"/>
    <w:rPr>
      <w:sz w:val="20"/>
      <w:szCs w:val="20"/>
    </w:rPr>
  </w:style>
  <w:style w:type="character" w:styleId="FootnoteReference">
    <w:name w:val="footnote reference"/>
    <w:semiHidden/>
    <w:rsid w:val="000B3DF1"/>
    <w:rPr>
      <w:vertAlign w:val="superscript"/>
    </w:rPr>
  </w:style>
  <w:style w:type="character" w:styleId="Hyperlink">
    <w:name w:val="Hyperlink"/>
    <w:rsid w:val="00E60D27"/>
    <w:rPr>
      <w:color w:val="0000FF"/>
      <w:u w:val="single"/>
    </w:rPr>
  </w:style>
  <w:style w:type="character" w:styleId="CommentReference">
    <w:name w:val="annotation reference"/>
    <w:rsid w:val="004D517B"/>
    <w:rPr>
      <w:sz w:val="16"/>
      <w:szCs w:val="16"/>
    </w:rPr>
  </w:style>
  <w:style w:type="paragraph" w:styleId="CommentText">
    <w:name w:val="annotation text"/>
    <w:basedOn w:val="Normal"/>
    <w:link w:val="CommentTextChar"/>
    <w:rsid w:val="004D517B"/>
    <w:rPr>
      <w:sz w:val="20"/>
      <w:szCs w:val="20"/>
    </w:rPr>
  </w:style>
  <w:style w:type="character" w:customStyle="1" w:styleId="CommentTextChar">
    <w:name w:val="Comment Text Char"/>
    <w:link w:val="CommentText"/>
    <w:rsid w:val="004D517B"/>
    <w:rPr>
      <w:rFonts w:ascii="Calibri" w:hAnsi="Calibri"/>
      <w:lang w:eastAsia="en-US"/>
    </w:rPr>
  </w:style>
  <w:style w:type="paragraph" w:styleId="CommentSubject">
    <w:name w:val="annotation subject"/>
    <w:basedOn w:val="CommentText"/>
    <w:next w:val="CommentText"/>
    <w:link w:val="CommentSubjectChar"/>
    <w:rsid w:val="004D517B"/>
    <w:rPr>
      <w:b/>
      <w:bCs/>
    </w:rPr>
  </w:style>
  <w:style w:type="character" w:customStyle="1" w:styleId="CommentSubjectChar">
    <w:name w:val="Comment Subject Char"/>
    <w:link w:val="CommentSubject"/>
    <w:rsid w:val="004D517B"/>
    <w:rPr>
      <w:rFonts w:ascii="Calibri" w:hAnsi="Calibri"/>
      <w:b/>
      <w:bCs/>
      <w:lang w:eastAsia="en-US"/>
    </w:rPr>
  </w:style>
  <w:style w:type="paragraph" w:styleId="ListParagraph">
    <w:name w:val="List Paragraph"/>
    <w:basedOn w:val="Normal"/>
    <w:uiPriority w:val="34"/>
    <w:qFormat/>
    <w:rsid w:val="00140807"/>
    <w:pPr>
      <w:ind w:left="720"/>
    </w:pPr>
  </w:style>
  <w:style w:type="character" w:styleId="FollowedHyperlink">
    <w:name w:val="FollowedHyperlink"/>
    <w:rsid w:val="00634889"/>
    <w:rPr>
      <w:color w:val="800080"/>
      <w:u w:val="single"/>
    </w:rPr>
  </w:style>
  <w:style w:type="paragraph" w:styleId="Header">
    <w:name w:val="header"/>
    <w:basedOn w:val="Normal"/>
    <w:link w:val="HeaderChar"/>
    <w:uiPriority w:val="99"/>
    <w:rsid w:val="0070665E"/>
    <w:pPr>
      <w:tabs>
        <w:tab w:val="center" w:pos="4513"/>
        <w:tab w:val="right" w:pos="9026"/>
      </w:tabs>
    </w:pPr>
  </w:style>
  <w:style w:type="character" w:customStyle="1" w:styleId="HeaderChar">
    <w:name w:val="Header Char"/>
    <w:link w:val="Header"/>
    <w:uiPriority w:val="99"/>
    <w:rsid w:val="0070665E"/>
    <w:rPr>
      <w:rFonts w:ascii="Calibri" w:hAnsi="Calibri"/>
      <w:sz w:val="22"/>
      <w:szCs w:val="22"/>
      <w:lang w:eastAsia="en-US"/>
    </w:rPr>
  </w:style>
  <w:style w:type="paragraph" w:styleId="Footer">
    <w:name w:val="footer"/>
    <w:basedOn w:val="Normal"/>
    <w:link w:val="FooterChar"/>
    <w:uiPriority w:val="99"/>
    <w:rsid w:val="0070665E"/>
    <w:pPr>
      <w:tabs>
        <w:tab w:val="center" w:pos="4513"/>
        <w:tab w:val="right" w:pos="9026"/>
      </w:tabs>
    </w:pPr>
  </w:style>
  <w:style w:type="character" w:customStyle="1" w:styleId="FooterChar">
    <w:name w:val="Footer Char"/>
    <w:link w:val="Footer"/>
    <w:uiPriority w:val="99"/>
    <w:rsid w:val="0070665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88086">
      <w:bodyDiv w:val="1"/>
      <w:marLeft w:val="0"/>
      <w:marRight w:val="0"/>
      <w:marTop w:val="0"/>
      <w:marBottom w:val="0"/>
      <w:divBdr>
        <w:top w:val="none" w:sz="0" w:space="0" w:color="auto"/>
        <w:left w:val="none" w:sz="0" w:space="0" w:color="auto"/>
        <w:bottom w:val="none" w:sz="0" w:space="0" w:color="auto"/>
        <w:right w:val="none" w:sz="0" w:space="0" w:color="auto"/>
      </w:divBdr>
    </w:div>
    <w:div w:id="1318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2394-B80F-4EA7-B869-FE80CA3A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Emerging categories for Temporary Accommodation location offers (under s188 and/or s193 Housing Act 1996)</vt:lpstr>
    </vt:vector>
  </TitlesOfParts>
  <Company>LBWF</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categories for Temporary Accommodation location offers (under s188 and/or s193 Housing Act 1996)</dc:title>
  <dc:subject/>
  <dc:creator>TDewey</dc:creator>
  <cp:keywords/>
  <cp:lastModifiedBy>Dave Sambrook</cp:lastModifiedBy>
  <cp:revision>2</cp:revision>
  <cp:lastPrinted>2012-09-14T14:53:00Z</cp:lastPrinted>
  <dcterms:created xsi:type="dcterms:W3CDTF">2021-11-24T14:34:00Z</dcterms:created>
  <dcterms:modified xsi:type="dcterms:W3CDTF">2021-11-24T14:34:00Z</dcterms:modified>
</cp:coreProperties>
</file>