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22523" w14:textId="30EB023B" w:rsidR="009C7422" w:rsidRPr="00BD17CA" w:rsidRDefault="002B538C" w:rsidP="007745A7">
      <w:pPr>
        <w:spacing w:before="2" w:line="100" w:lineRule="exact"/>
        <w:rPr>
          <w:rFonts w:ascii="Arial" w:eastAsia="Arial" w:hAnsi="Arial" w:cs="Arial"/>
          <w:sz w:val="22"/>
          <w:szCs w:val="22"/>
        </w:rPr>
      </w:pPr>
      <w:r>
        <w:rPr>
          <w:rFonts w:ascii="Arial" w:hAnsi="Arial" w:cs="Arial"/>
          <w:sz w:val="22"/>
          <w:szCs w:val="22"/>
        </w:rPr>
        <w:pict w14:anchorId="6844CD8B">
          <v:shapetype id="_x0000_t202" coordsize="21600,21600" o:spt="202" path="m,l,21600r21600,l21600,xe">
            <v:stroke joinstyle="miter"/>
            <v:path gradientshapeok="t" o:connecttype="rect"/>
          </v:shapetype>
          <v:shape id="_x0000_s1034" type="#_x0000_t202" style="position:absolute;margin-left:548.35pt;margin-top:504.25pt;width:13.05pt;height:326.75pt;z-index:-251658752;mso-position-horizontal-relative:page;mso-position-vertical-relative:page" filled="f" stroked="f">
            <v:textbox style="layout-flow:vertical" inset="0,0,0,0">
              <w:txbxContent>
                <w:p w14:paraId="411D62F4" w14:textId="77777777" w:rsidR="005162D5" w:rsidRDefault="005162D5">
                  <w:pPr>
                    <w:spacing w:line="240" w:lineRule="exact"/>
                    <w:ind w:left="20" w:right="-33"/>
                    <w:rPr>
                      <w:rFonts w:ascii="Calibri" w:eastAsia="Calibri" w:hAnsi="Calibri" w:cs="Calibri"/>
                      <w:sz w:val="22"/>
                      <w:szCs w:val="22"/>
                    </w:rPr>
                  </w:pPr>
                  <w:r>
                    <w:rPr>
                      <w:rFonts w:ascii="Calibri" w:eastAsia="Calibri" w:hAnsi="Calibri" w:cs="Calibri"/>
                      <w:color w:val="FFFFFF"/>
                      <w:position w:val="1"/>
                      <w:sz w:val="22"/>
                      <w:szCs w:val="22"/>
                    </w:rPr>
                    <w:t>LO</w:t>
                  </w:r>
                  <w:r>
                    <w:rPr>
                      <w:rFonts w:ascii="Calibri" w:eastAsia="Calibri" w:hAnsi="Calibri" w:cs="Calibri"/>
                      <w:color w:val="FFFFFF"/>
                      <w:spacing w:val="-3"/>
                      <w:position w:val="1"/>
                      <w:sz w:val="22"/>
                      <w:szCs w:val="22"/>
                    </w:rPr>
                    <w:t>N</w:t>
                  </w:r>
                  <w:r>
                    <w:rPr>
                      <w:rFonts w:ascii="Calibri" w:eastAsia="Calibri" w:hAnsi="Calibri" w:cs="Calibri"/>
                      <w:color w:val="FFFFFF"/>
                      <w:position w:val="1"/>
                      <w:sz w:val="22"/>
                      <w:szCs w:val="22"/>
                    </w:rPr>
                    <w:t>DON</w:t>
                  </w:r>
                  <w:r>
                    <w:rPr>
                      <w:rFonts w:ascii="Calibri" w:eastAsia="Calibri" w:hAnsi="Calibri" w:cs="Calibri"/>
                      <w:color w:val="FFFFFF"/>
                      <w:spacing w:val="-1"/>
                      <w:position w:val="1"/>
                      <w:sz w:val="22"/>
                      <w:szCs w:val="22"/>
                    </w:rPr>
                    <w:t xml:space="preserve"> </w:t>
                  </w:r>
                  <w:r>
                    <w:rPr>
                      <w:rFonts w:ascii="Calibri" w:eastAsia="Calibri" w:hAnsi="Calibri" w:cs="Calibri"/>
                      <w:color w:val="FFFFFF"/>
                      <w:spacing w:val="-2"/>
                      <w:position w:val="1"/>
                      <w:sz w:val="22"/>
                      <w:szCs w:val="22"/>
                    </w:rPr>
                    <w:t>B</w:t>
                  </w:r>
                  <w:r>
                    <w:rPr>
                      <w:rFonts w:ascii="Calibri" w:eastAsia="Calibri" w:hAnsi="Calibri" w:cs="Calibri"/>
                      <w:color w:val="FFFFFF"/>
                      <w:position w:val="1"/>
                      <w:sz w:val="22"/>
                      <w:szCs w:val="22"/>
                    </w:rPr>
                    <w:t>ORO</w:t>
                  </w:r>
                  <w:r>
                    <w:rPr>
                      <w:rFonts w:ascii="Calibri" w:eastAsia="Calibri" w:hAnsi="Calibri" w:cs="Calibri"/>
                      <w:color w:val="FFFFFF"/>
                      <w:spacing w:val="-3"/>
                      <w:position w:val="1"/>
                      <w:sz w:val="22"/>
                      <w:szCs w:val="22"/>
                    </w:rPr>
                    <w:t>U</w:t>
                  </w:r>
                  <w:r>
                    <w:rPr>
                      <w:rFonts w:ascii="Calibri" w:eastAsia="Calibri" w:hAnsi="Calibri" w:cs="Calibri"/>
                      <w:color w:val="FFFFFF"/>
                      <w:position w:val="1"/>
                      <w:sz w:val="22"/>
                      <w:szCs w:val="22"/>
                    </w:rPr>
                    <w:t>GH</w:t>
                  </w:r>
                  <w:r>
                    <w:rPr>
                      <w:rFonts w:ascii="Calibri" w:eastAsia="Calibri" w:hAnsi="Calibri" w:cs="Calibri"/>
                      <w:color w:val="FFFFFF"/>
                      <w:spacing w:val="-1"/>
                      <w:position w:val="1"/>
                      <w:sz w:val="22"/>
                      <w:szCs w:val="22"/>
                    </w:rPr>
                    <w:t xml:space="preserve"> </w:t>
                  </w:r>
                  <w:r>
                    <w:rPr>
                      <w:rFonts w:ascii="Calibri" w:eastAsia="Calibri" w:hAnsi="Calibri" w:cs="Calibri"/>
                      <w:color w:val="FFFFFF"/>
                      <w:position w:val="1"/>
                      <w:sz w:val="22"/>
                      <w:szCs w:val="22"/>
                    </w:rPr>
                    <w:t>OF</w:t>
                  </w:r>
                  <w:r>
                    <w:rPr>
                      <w:rFonts w:ascii="Calibri" w:eastAsia="Calibri" w:hAnsi="Calibri" w:cs="Calibri"/>
                      <w:color w:val="FFFFFF"/>
                      <w:spacing w:val="-2"/>
                      <w:position w:val="1"/>
                      <w:sz w:val="22"/>
                      <w:szCs w:val="22"/>
                    </w:rPr>
                    <w:t xml:space="preserve"> </w:t>
                  </w:r>
                  <w:r>
                    <w:rPr>
                      <w:rFonts w:ascii="Calibri" w:eastAsia="Calibri" w:hAnsi="Calibri" w:cs="Calibri"/>
                      <w:color w:val="FFFFFF"/>
                      <w:position w:val="1"/>
                      <w:sz w:val="22"/>
                      <w:szCs w:val="22"/>
                    </w:rPr>
                    <w:t>W</w:t>
                  </w:r>
                  <w:r>
                    <w:rPr>
                      <w:rFonts w:ascii="Calibri" w:eastAsia="Calibri" w:hAnsi="Calibri" w:cs="Calibri"/>
                      <w:color w:val="FFFFFF"/>
                      <w:spacing w:val="-1"/>
                      <w:position w:val="1"/>
                      <w:sz w:val="22"/>
                      <w:szCs w:val="22"/>
                    </w:rPr>
                    <w:t>A</w:t>
                  </w:r>
                  <w:r>
                    <w:rPr>
                      <w:rFonts w:ascii="Calibri" w:eastAsia="Calibri" w:hAnsi="Calibri" w:cs="Calibri"/>
                      <w:color w:val="FFFFFF"/>
                      <w:position w:val="1"/>
                      <w:sz w:val="22"/>
                      <w:szCs w:val="22"/>
                    </w:rPr>
                    <w:t>L</w:t>
                  </w:r>
                  <w:r>
                    <w:rPr>
                      <w:rFonts w:ascii="Calibri" w:eastAsia="Calibri" w:hAnsi="Calibri" w:cs="Calibri"/>
                      <w:color w:val="FFFFFF"/>
                      <w:spacing w:val="1"/>
                      <w:position w:val="1"/>
                      <w:sz w:val="22"/>
                      <w:szCs w:val="22"/>
                    </w:rPr>
                    <w:t>T</w:t>
                  </w:r>
                  <w:r>
                    <w:rPr>
                      <w:rFonts w:ascii="Calibri" w:eastAsia="Calibri" w:hAnsi="Calibri" w:cs="Calibri"/>
                      <w:color w:val="FFFFFF"/>
                      <w:spacing w:val="-1"/>
                      <w:position w:val="1"/>
                      <w:sz w:val="22"/>
                      <w:szCs w:val="22"/>
                    </w:rPr>
                    <w:t>H</w:t>
                  </w:r>
                  <w:r>
                    <w:rPr>
                      <w:rFonts w:ascii="Calibri" w:eastAsia="Calibri" w:hAnsi="Calibri" w:cs="Calibri"/>
                      <w:color w:val="FFFFFF"/>
                      <w:spacing w:val="-3"/>
                      <w:position w:val="1"/>
                      <w:sz w:val="22"/>
                      <w:szCs w:val="22"/>
                    </w:rPr>
                    <w:t>A</w:t>
                  </w:r>
                  <w:r>
                    <w:rPr>
                      <w:rFonts w:ascii="Calibri" w:eastAsia="Calibri" w:hAnsi="Calibri" w:cs="Calibri"/>
                      <w:color w:val="FFFFFF"/>
                      <w:position w:val="1"/>
                      <w:sz w:val="22"/>
                      <w:szCs w:val="22"/>
                    </w:rPr>
                    <w:t>M</w:t>
                  </w:r>
                  <w:r>
                    <w:rPr>
                      <w:rFonts w:ascii="Calibri" w:eastAsia="Calibri" w:hAnsi="Calibri" w:cs="Calibri"/>
                      <w:color w:val="FFFFFF"/>
                      <w:spacing w:val="1"/>
                      <w:position w:val="1"/>
                      <w:sz w:val="22"/>
                      <w:szCs w:val="22"/>
                    </w:rPr>
                    <w:t xml:space="preserve"> </w:t>
                  </w:r>
                  <w:r>
                    <w:rPr>
                      <w:rFonts w:ascii="Calibri" w:eastAsia="Calibri" w:hAnsi="Calibri" w:cs="Calibri"/>
                      <w:color w:val="FFFFFF"/>
                      <w:spacing w:val="-1"/>
                      <w:position w:val="1"/>
                      <w:sz w:val="22"/>
                      <w:szCs w:val="22"/>
                    </w:rPr>
                    <w:t>F</w:t>
                  </w:r>
                  <w:r>
                    <w:rPr>
                      <w:rFonts w:ascii="Calibri" w:eastAsia="Calibri" w:hAnsi="Calibri" w:cs="Calibri"/>
                      <w:color w:val="FFFFFF"/>
                      <w:position w:val="1"/>
                      <w:sz w:val="22"/>
                      <w:szCs w:val="22"/>
                    </w:rPr>
                    <w:t>O</w:t>
                  </w:r>
                  <w:r>
                    <w:rPr>
                      <w:rFonts w:ascii="Calibri" w:eastAsia="Calibri" w:hAnsi="Calibri" w:cs="Calibri"/>
                      <w:color w:val="FFFFFF"/>
                      <w:spacing w:val="-3"/>
                      <w:position w:val="1"/>
                      <w:sz w:val="22"/>
                      <w:szCs w:val="22"/>
                    </w:rPr>
                    <w:t>R</w:t>
                  </w:r>
                  <w:r>
                    <w:rPr>
                      <w:rFonts w:ascii="Calibri" w:eastAsia="Calibri" w:hAnsi="Calibri" w:cs="Calibri"/>
                      <w:color w:val="FFFFFF"/>
                      <w:position w:val="1"/>
                      <w:sz w:val="22"/>
                      <w:szCs w:val="22"/>
                    </w:rPr>
                    <w:t>E</w:t>
                  </w:r>
                  <w:r>
                    <w:rPr>
                      <w:rFonts w:ascii="Calibri" w:eastAsia="Calibri" w:hAnsi="Calibri" w:cs="Calibri"/>
                      <w:color w:val="FFFFFF"/>
                      <w:spacing w:val="-1"/>
                      <w:position w:val="1"/>
                      <w:sz w:val="22"/>
                      <w:szCs w:val="22"/>
                    </w:rPr>
                    <w:t>S</w:t>
                  </w:r>
                  <w:r>
                    <w:rPr>
                      <w:rFonts w:ascii="Calibri" w:eastAsia="Calibri" w:hAnsi="Calibri" w:cs="Calibri"/>
                      <w:color w:val="FFFFFF"/>
                      <w:position w:val="1"/>
                      <w:sz w:val="22"/>
                      <w:szCs w:val="22"/>
                    </w:rPr>
                    <w:t xml:space="preserve">T | </w:t>
                  </w:r>
                  <w:r>
                    <w:rPr>
                      <w:rFonts w:ascii="Calibri" w:eastAsia="Calibri" w:hAnsi="Calibri" w:cs="Calibri"/>
                      <w:color w:val="FFFFFF"/>
                      <w:spacing w:val="-1"/>
                      <w:position w:val="1"/>
                      <w:sz w:val="22"/>
                      <w:szCs w:val="22"/>
                    </w:rPr>
                    <w:t>S</w:t>
                  </w:r>
                  <w:r>
                    <w:rPr>
                      <w:rFonts w:ascii="Calibri" w:eastAsia="Calibri" w:hAnsi="Calibri" w:cs="Calibri"/>
                      <w:color w:val="FFFFFF"/>
                      <w:position w:val="1"/>
                      <w:sz w:val="22"/>
                      <w:szCs w:val="22"/>
                    </w:rPr>
                    <w:t>T</w:t>
                  </w:r>
                  <w:r>
                    <w:rPr>
                      <w:rFonts w:ascii="Calibri" w:eastAsia="Calibri" w:hAnsi="Calibri" w:cs="Calibri"/>
                      <w:color w:val="FFFFFF"/>
                      <w:spacing w:val="-3"/>
                      <w:position w:val="1"/>
                      <w:sz w:val="22"/>
                      <w:szCs w:val="22"/>
                    </w:rPr>
                    <w:t>A</w:t>
                  </w:r>
                  <w:r>
                    <w:rPr>
                      <w:rFonts w:ascii="Calibri" w:eastAsia="Calibri" w:hAnsi="Calibri" w:cs="Calibri"/>
                      <w:color w:val="FFFFFF"/>
                      <w:spacing w:val="-2"/>
                      <w:position w:val="1"/>
                      <w:sz w:val="22"/>
                      <w:szCs w:val="22"/>
                    </w:rPr>
                    <w:t>T</w:t>
                  </w:r>
                  <w:r>
                    <w:rPr>
                      <w:rFonts w:ascii="Calibri" w:eastAsia="Calibri" w:hAnsi="Calibri" w:cs="Calibri"/>
                      <w:color w:val="FFFFFF"/>
                      <w:position w:val="1"/>
                      <w:sz w:val="22"/>
                      <w:szCs w:val="22"/>
                    </w:rPr>
                    <w:t>EME</w:t>
                  </w:r>
                  <w:r>
                    <w:rPr>
                      <w:rFonts w:ascii="Calibri" w:eastAsia="Calibri" w:hAnsi="Calibri" w:cs="Calibri"/>
                      <w:color w:val="FFFFFF"/>
                      <w:spacing w:val="-1"/>
                      <w:position w:val="1"/>
                      <w:sz w:val="22"/>
                      <w:szCs w:val="22"/>
                    </w:rPr>
                    <w:t>N</w:t>
                  </w:r>
                  <w:r>
                    <w:rPr>
                      <w:rFonts w:ascii="Calibri" w:eastAsia="Calibri" w:hAnsi="Calibri" w:cs="Calibri"/>
                      <w:color w:val="FFFFFF"/>
                      <w:position w:val="1"/>
                      <w:sz w:val="22"/>
                      <w:szCs w:val="22"/>
                    </w:rPr>
                    <w:t>T</w:t>
                  </w:r>
                  <w:r>
                    <w:rPr>
                      <w:rFonts w:ascii="Calibri" w:eastAsia="Calibri" w:hAnsi="Calibri" w:cs="Calibri"/>
                      <w:color w:val="FFFFFF"/>
                      <w:spacing w:val="-2"/>
                      <w:position w:val="1"/>
                      <w:sz w:val="22"/>
                      <w:szCs w:val="22"/>
                    </w:rPr>
                    <w:t xml:space="preserve"> </w:t>
                  </w:r>
                  <w:r>
                    <w:rPr>
                      <w:rFonts w:ascii="Calibri" w:eastAsia="Calibri" w:hAnsi="Calibri" w:cs="Calibri"/>
                      <w:color w:val="FFFFFF"/>
                      <w:position w:val="1"/>
                      <w:sz w:val="22"/>
                      <w:szCs w:val="22"/>
                    </w:rPr>
                    <w:t xml:space="preserve">OF </w:t>
                  </w:r>
                  <w:r>
                    <w:rPr>
                      <w:rFonts w:ascii="Calibri" w:eastAsia="Calibri" w:hAnsi="Calibri" w:cs="Calibri"/>
                      <w:color w:val="FFFFFF"/>
                      <w:spacing w:val="-1"/>
                      <w:position w:val="1"/>
                      <w:sz w:val="22"/>
                      <w:szCs w:val="22"/>
                    </w:rPr>
                    <w:t>A</w:t>
                  </w:r>
                  <w:r>
                    <w:rPr>
                      <w:rFonts w:ascii="Calibri" w:eastAsia="Calibri" w:hAnsi="Calibri" w:cs="Calibri"/>
                      <w:color w:val="FFFFFF"/>
                      <w:position w:val="1"/>
                      <w:sz w:val="22"/>
                      <w:szCs w:val="22"/>
                    </w:rPr>
                    <w:t>C</w:t>
                  </w:r>
                  <w:r>
                    <w:rPr>
                      <w:rFonts w:ascii="Calibri" w:eastAsia="Calibri" w:hAnsi="Calibri" w:cs="Calibri"/>
                      <w:color w:val="FFFFFF"/>
                      <w:spacing w:val="-1"/>
                      <w:position w:val="1"/>
                      <w:sz w:val="22"/>
                      <w:szCs w:val="22"/>
                    </w:rPr>
                    <w:t>C</w:t>
                  </w:r>
                  <w:r>
                    <w:rPr>
                      <w:rFonts w:ascii="Calibri" w:eastAsia="Calibri" w:hAnsi="Calibri" w:cs="Calibri"/>
                      <w:color w:val="FFFFFF"/>
                      <w:spacing w:val="-2"/>
                      <w:position w:val="1"/>
                      <w:sz w:val="22"/>
                      <w:szCs w:val="22"/>
                    </w:rPr>
                    <w:t>O</w:t>
                  </w:r>
                  <w:r>
                    <w:rPr>
                      <w:rFonts w:ascii="Calibri" w:eastAsia="Calibri" w:hAnsi="Calibri" w:cs="Calibri"/>
                      <w:color w:val="FFFFFF"/>
                      <w:position w:val="1"/>
                      <w:sz w:val="22"/>
                      <w:szCs w:val="22"/>
                    </w:rPr>
                    <w:t>U</w:t>
                  </w:r>
                  <w:r>
                    <w:rPr>
                      <w:rFonts w:ascii="Calibri" w:eastAsia="Calibri" w:hAnsi="Calibri" w:cs="Calibri"/>
                      <w:color w:val="FFFFFF"/>
                      <w:spacing w:val="-2"/>
                      <w:position w:val="1"/>
                      <w:sz w:val="22"/>
                      <w:szCs w:val="22"/>
                    </w:rPr>
                    <w:t>N</w:t>
                  </w:r>
                  <w:r>
                    <w:rPr>
                      <w:rFonts w:ascii="Calibri" w:eastAsia="Calibri" w:hAnsi="Calibri" w:cs="Calibri"/>
                      <w:color w:val="FFFFFF"/>
                      <w:position w:val="1"/>
                      <w:sz w:val="22"/>
                      <w:szCs w:val="22"/>
                    </w:rPr>
                    <w:t>TS</w:t>
                  </w:r>
                </w:p>
              </w:txbxContent>
            </v:textbox>
            <w10:wrap anchorx="page" anchory="page"/>
          </v:shape>
        </w:pict>
      </w:r>
    </w:p>
    <w:p w14:paraId="13656548" w14:textId="0380AC90" w:rsidR="00BD17CA" w:rsidRDefault="007745A7" w:rsidP="0025435A">
      <w:pPr>
        <w:spacing w:after="120" w:line="276" w:lineRule="auto"/>
        <w:ind w:right="74"/>
        <w:jc w:val="both"/>
        <w:rPr>
          <w:rFonts w:ascii="Arial" w:eastAsia="Arial" w:hAnsi="Arial" w:cs="Arial"/>
          <w:b/>
          <w:bCs/>
          <w:spacing w:val="3"/>
          <w:sz w:val="22"/>
          <w:szCs w:val="22"/>
        </w:rPr>
      </w:pPr>
      <w:r>
        <w:rPr>
          <w:rFonts w:ascii="Arial" w:eastAsia="Arial" w:hAnsi="Arial" w:cs="Arial"/>
          <w:b/>
          <w:bCs/>
          <w:spacing w:val="3"/>
          <w:sz w:val="22"/>
          <w:szCs w:val="22"/>
        </w:rPr>
        <w:t xml:space="preserve">PENSION </w:t>
      </w:r>
      <w:r w:rsidR="00BD17CA" w:rsidRPr="0025435A">
        <w:rPr>
          <w:rFonts w:ascii="Arial" w:eastAsia="Arial" w:hAnsi="Arial" w:cs="Arial"/>
          <w:b/>
          <w:bCs/>
          <w:spacing w:val="3"/>
          <w:sz w:val="22"/>
          <w:szCs w:val="22"/>
        </w:rPr>
        <w:t>FUND ACCOUNT</w:t>
      </w:r>
      <w:r>
        <w:rPr>
          <w:rFonts w:ascii="Arial" w:eastAsia="Arial" w:hAnsi="Arial" w:cs="Arial"/>
          <w:b/>
          <w:bCs/>
          <w:spacing w:val="3"/>
          <w:sz w:val="22"/>
          <w:szCs w:val="22"/>
        </w:rPr>
        <w:t>S 2019</w:t>
      </w:r>
      <w:r w:rsidR="00F309E4">
        <w:rPr>
          <w:rFonts w:ascii="Arial" w:eastAsia="Arial" w:hAnsi="Arial" w:cs="Arial"/>
          <w:b/>
          <w:bCs/>
          <w:spacing w:val="3"/>
          <w:sz w:val="22"/>
          <w:szCs w:val="22"/>
        </w:rPr>
        <w:t>/</w:t>
      </w:r>
      <w:r>
        <w:rPr>
          <w:rFonts w:ascii="Arial" w:eastAsia="Arial" w:hAnsi="Arial" w:cs="Arial"/>
          <w:b/>
          <w:bCs/>
          <w:spacing w:val="3"/>
          <w:sz w:val="22"/>
          <w:szCs w:val="22"/>
        </w:rPr>
        <w:t>2020</w:t>
      </w:r>
    </w:p>
    <w:tbl>
      <w:tblPr>
        <w:tblW w:w="9350" w:type="dxa"/>
        <w:tblLook w:val="04A0" w:firstRow="1" w:lastRow="0" w:firstColumn="1" w:lastColumn="0" w:noHBand="0" w:noVBand="1"/>
      </w:tblPr>
      <w:tblGrid>
        <w:gridCol w:w="1158"/>
        <w:gridCol w:w="1074"/>
        <w:gridCol w:w="1073"/>
        <w:gridCol w:w="1073"/>
        <w:gridCol w:w="1073"/>
        <w:gridCol w:w="1073"/>
        <w:gridCol w:w="1361"/>
        <w:gridCol w:w="1158"/>
        <w:gridCol w:w="828"/>
      </w:tblGrid>
      <w:tr w:rsidR="007745A7" w:rsidRPr="007745A7" w14:paraId="5DA9F26A" w14:textId="77777777" w:rsidTr="007745A7">
        <w:trPr>
          <w:trHeight w:val="300"/>
        </w:trPr>
        <w:tc>
          <w:tcPr>
            <w:tcW w:w="1001" w:type="dxa"/>
            <w:tcBorders>
              <w:top w:val="single" w:sz="4" w:space="0" w:color="auto"/>
              <w:left w:val="single" w:sz="4" w:space="0" w:color="auto"/>
              <w:bottom w:val="nil"/>
              <w:right w:val="single" w:sz="4" w:space="0" w:color="auto"/>
            </w:tcBorders>
            <w:shd w:val="clear" w:color="000000" w:fill="00CC99"/>
            <w:vAlign w:val="center"/>
            <w:hideMark/>
          </w:tcPr>
          <w:p w14:paraId="798BC5D3"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2018/19</w:t>
            </w:r>
          </w:p>
        </w:tc>
        <w:tc>
          <w:tcPr>
            <w:tcW w:w="1074" w:type="dxa"/>
            <w:tcBorders>
              <w:top w:val="single" w:sz="4" w:space="0" w:color="auto"/>
              <w:left w:val="nil"/>
              <w:bottom w:val="nil"/>
              <w:right w:val="nil"/>
            </w:tcBorders>
            <w:shd w:val="clear" w:color="000000" w:fill="00CC99"/>
            <w:vAlign w:val="center"/>
            <w:hideMark/>
          </w:tcPr>
          <w:p w14:paraId="02312704"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3" w:type="dxa"/>
            <w:tcBorders>
              <w:top w:val="single" w:sz="4" w:space="0" w:color="auto"/>
              <w:left w:val="nil"/>
              <w:bottom w:val="nil"/>
              <w:right w:val="nil"/>
            </w:tcBorders>
            <w:shd w:val="clear" w:color="000000" w:fill="00CC99"/>
            <w:vAlign w:val="center"/>
            <w:hideMark/>
          </w:tcPr>
          <w:p w14:paraId="32B28591"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3" w:type="dxa"/>
            <w:tcBorders>
              <w:top w:val="single" w:sz="4" w:space="0" w:color="auto"/>
              <w:left w:val="nil"/>
              <w:bottom w:val="nil"/>
              <w:right w:val="nil"/>
            </w:tcBorders>
            <w:shd w:val="clear" w:color="000000" w:fill="00CC99"/>
            <w:vAlign w:val="center"/>
            <w:hideMark/>
          </w:tcPr>
          <w:p w14:paraId="05BADF9A"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3" w:type="dxa"/>
            <w:tcBorders>
              <w:top w:val="single" w:sz="4" w:space="0" w:color="auto"/>
              <w:left w:val="nil"/>
              <w:bottom w:val="nil"/>
              <w:right w:val="nil"/>
            </w:tcBorders>
            <w:shd w:val="clear" w:color="000000" w:fill="00CC99"/>
            <w:vAlign w:val="center"/>
            <w:hideMark/>
          </w:tcPr>
          <w:p w14:paraId="6D20CBD8"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3" w:type="dxa"/>
            <w:tcBorders>
              <w:top w:val="single" w:sz="4" w:space="0" w:color="auto"/>
              <w:left w:val="nil"/>
              <w:bottom w:val="nil"/>
              <w:right w:val="nil"/>
            </w:tcBorders>
            <w:shd w:val="clear" w:color="000000" w:fill="00CC99"/>
            <w:vAlign w:val="center"/>
            <w:hideMark/>
          </w:tcPr>
          <w:p w14:paraId="1E390074"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361" w:type="dxa"/>
            <w:tcBorders>
              <w:top w:val="single" w:sz="4" w:space="0" w:color="auto"/>
              <w:left w:val="nil"/>
              <w:bottom w:val="nil"/>
              <w:right w:val="single" w:sz="4" w:space="0" w:color="auto"/>
            </w:tcBorders>
            <w:shd w:val="clear" w:color="000000" w:fill="00CC99"/>
            <w:vAlign w:val="center"/>
            <w:hideMark/>
          </w:tcPr>
          <w:p w14:paraId="0BD313AC"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00" w:type="dxa"/>
            <w:tcBorders>
              <w:top w:val="single" w:sz="4" w:space="0" w:color="auto"/>
              <w:left w:val="single" w:sz="4" w:space="0" w:color="auto"/>
              <w:bottom w:val="nil"/>
              <w:right w:val="single" w:sz="4" w:space="0" w:color="auto"/>
            </w:tcBorders>
            <w:shd w:val="clear" w:color="000000" w:fill="00CC99"/>
            <w:vAlign w:val="center"/>
            <w:hideMark/>
          </w:tcPr>
          <w:p w14:paraId="3BA6636F"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2019/20</w:t>
            </w:r>
          </w:p>
        </w:tc>
        <w:tc>
          <w:tcPr>
            <w:tcW w:w="622" w:type="dxa"/>
            <w:tcBorders>
              <w:top w:val="single" w:sz="4" w:space="0" w:color="auto"/>
              <w:left w:val="nil"/>
              <w:bottom w:val="nil"/>
              <w:right w:val="single" w:sz="4" w:space="0" w:color="auto"/>
            </w:tcBorders>
            <w:shd w:val="clear" w:color="000000" w:fill="00CC99"/>
            <w:vAlign w:val="center"/>
            <w:hideMark/>
          </w:tcPr>
          <w:p w14:paraId="79416AC5"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r>
      <w:tr w:rsidR="007745A7" w:rsidRPr="007745A7" w14:paraId="46E6D335" w14:textId="77777777" w:rsidTr="007745A7">
        <w:trPr>
          <w:trHeight w:val="300"/>
        </w:trPr>
        <w:tc>
          <w:tcPr>
            <w:tcW w:w="1001" w:type="dxa"/>
            <w:tcBorders>
              <w:top w:val="nil"/>
              <w:left w:val="single" w:sz="4" w:space="0" w:color="auto"/>
              <w:bottom w:val="nil"/>
              <w:right w:val="single" w:sz="4" w:space="0" w:color="auto"/>
            </w:tcBorders>
            <w:shd w:val="clear" w:color="000000" w:fill="00CC99"/>
            <w:vAlign w:val="center"/>
            <w:hideMark/>
          </w:tcPr>
          <w:p w14:paraId="5BC5A73F"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4" w:type="dxa"/>
            <w:tcBorders>
              <w:top w:val="nil"/>
              <w:left w:val="nil"/>
              <w:bottom w:val="nil"/>
              <w:right w:val="nil"/>
            </w:tcBorders>
            <w:shd w:val="clear" w:color="000000" w:fill="00CC99"/>
            <w:noWrap/>
            <w:vAlign w:val="center"/>
            <w:hideMark/>
          </w:tcPr>
          <w:p w14:paraId="48ADF474"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3" w:type="dxa"/>
            <w:tcBorders>
              <w:top w:val="nil"/>
              <w:left w:val="nil"/>
              <w:bottom w:val="nil"/>
              <w:right w:val="nil"/>
            </w:tcBorders>
            <w:shd w:val="clear" w:color="000000" w:fill="00CC99"/>
            <w:noWrap/>
            <w:vAlign w:val="center"/>
            <w:hideMark/>
          </w:tcPr>
          <w:p w14:paraId="5487D471"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3" w:type="dxa"/>
            <w:tcBorders>
              <w:top w:val="nil"/>
              <w:left w:val="nil"/>
              <w:bottom w:val="nil"/>
              <w:right w:val="nil"/>
            </w:tcBorders>
            <w:shd w:val="clear" w:color="000000" w:fill="00CC99"/>
            <w:noWrap/>
            <w:vAlign w:val="center"/>
            <w:hideMark/>
          </w:tcPr>
          <w:p w14:paraId="79EDC5C5"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3" w:type="dxa"/>
            <w:tcBorders>
              <w:top w:val="nil"/>
              <w:left w:val="nil"/>
              <w:bottom w:val="nil"/>
              <w:right w:val="nil"/>
            </w:tcBorders>
            <w:shd w:val="clear" w:color="000000" w:fill="00CC99"/>
            <w:noWrap/>
            <w:vAlign w:val="center"/>
            <w:hideMark/>
          </w:tcPr>
          <w:p w14:paraId="31C904CA"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3" w:type="dxa"/>
            <w:tcBorders>
              <w:top w:val="nil"/>
              <w:left w:val="nil"/>
              <w:bottom w:val="nil"/>
              <w:right w:val="nil"/>
            </w:tcBorders>
            <w:shd w:val="clear" w:color="000000" w:fill="00CC99"/>
            <w:noWrap/>
            <w:vAlign w:val="center"/>
            <w:hideMark/>
          </w:tcPr>
          <w:p w14:paraId="07C9745B"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361" w:type="dxa"/>
            <w:tcBorders>
              <w:top w:val="nil"/>
              <w:left w:val="nil"/>
              <w:bottom w:val="nil"/>
              <w:right w:val="single" w:sz="4" w:space="0" w:color="auto"/>
            </w:tcBorders>
            <w:shd w:val="clear" w:color="000000" w:fill="00CC99"/>
            <w:noWrap/>
            <w:vAlign w:val="center"/>
            <w:hideMark/>
          </w:tcPr>
          <w:p w14:paraId="568178A9"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00" w:type="dxa"/>
            <w:tcBorders>
              <w:top w:val="nil"/>
              <w:left w:val="single" w:sz="4" w:space="0" w:color="auto"/>
              <w:bottom w:val="nil"/>
              <w:right w:val="single" w:sz="4" w:space="0" w:color="auto"/>
            </w:tcBorders>
            <w:shd w:val="clear" w:color="000000" w:fill="00CC99"/>
            <w:noWrap/>
            <w:vAlign w:val="center"/>
            <w:hideMark/>
          </w:tcPr>
          <w:p w14:paraId="3FFECEAD"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622" w:type="dxa"/>
            <w:tcBorders>
              <w:top w:val="nil"/>
              <w:left w:val="nil"/>
              <w:bottom w:val="nil"/>
              <w:right w:val="single" w:sz="4" w:space="0" w:color="auto"/>
            </w:tcBorders>
            <w:shd w:val="clear" w:color="000000" w:fill="00CC99"/>
            <w:vAlign w:val="center"/>
            <w:hideMark/>
          </w:tcPr>
          <w:p w14:paraId="2D4B902D"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r>
      <w:tr w:rsidR="007745A7" w:rsidRPr="007745A7" w14:paraId="6C14BCCD" w14:textId="77777777" w:rsidTr="007745A7">
        <w:trPr>
          <w:trHeight w:val="300"/>
        </w:trPr>
        <w:tc>
          <w:tcPr>
            <w:tcW w:w="1001" w:type="dxa"/>
            <w:tcBorders>
              <w:top w:val="nil"/>
              <w:left w:val="single" w:sz="4" w:space="0" w:color="auto"/>
              <w:bottom w:val="single" w:sz="4" w:space="0" w:color="auto"/>
              <w:right w:val="single" w:sz="4" w:space="0" w:color="auto"/>
            </w:tcBorders>
            <w:shd w:val="clear" w:color="000000" w:fill="00CC99"/>
            <w:vAlign w:val="center"/>
            <w:hideMark/>
          </w:tcPr>
          <w:p w14:paraId="20416F53"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£'000</w:t>
            </w:r>
          </w:p>
        </w:tc>
        <w:tc>
          <w:tcPr>
            <w:tcW w:w="1074" w:type="dxa"/>
            <w:tcBorders>
              <w:top w:val="nil"/>
              <w:left w:val="nil"/>
              <w:bottom w:val="single" w:sz="4" w:space="0" w:color="auto"/>
              <w:right w:val="nil"/>
            </w:tcBorders>
            <w:shd w:val="clear" w:color="000000" w:fill="00CC99"/>
            <w:vAlign w:val="center"/>
            <w:hideMark/>
          </w:tcPr>
          <w:p w14:paraId="0958792E"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3" w:type="dxa"/>
            <w:tcBorders>
              <w:top w:val="nil"/>
              <w:left w:val="nil"/>
              <w:bottom w:val="single" w:sz="4" w:space="0" w:color="auto"/>
              <w:right w:val="nil"/>
            </w:tcBorders>
            <w:shd w:val="clear" w:color="000000" w:fill="00CC99"/>
            <w:vAlign w:val="center"/>
            <w:hideMark/>
          </w:tcPr>
          <w:p w14:paraId="222D8BC4"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3" w:type="dxa"/>
            <w:tcBorders>
              <w:top w:val="nil"/>
              <w:left w:val="nil"/>
              <w:bottom w:val="single" w:sz="4" w:space="0" w:color="auto"/>
              <w:right w:val="nil"/>
            </w:tcBorders>
            <w:shd w:val="clear" w:color="000000" w:fill="00CC99"/>
            <w:vAlign w:val="center"/>
            <w:hideMark/>
          </w:tcPr>
          <w:p w14:paraId="48579E91"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3" w:type="dxa"/>
            <w:tcBorders>
              <w:top w:val="nil"/>
              <w:left w:val="nil"/>
              <w:bottom w:val="single" w:sz="4" w:space="0" w:color="auto"/>
              <w:right w:val="nil"/>
            </w:tcBorders>
            <w:shd w:val="clear" w:color="000000" w:fill="00CC99"/>
            <w:vAlign w:val="center"/>
            <w:hideMark/>
          </w:tcPr>
          <w:p w14:paraId="646AFBA3"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73" w:type="dxa"/>
            <w:tcBorders>
              <w:top w:val="nil"/>
              <w:left w:val="nil"/>
              <w:bottom w:val="single" w:sz="4" w:space="0" w:color="auto"/>
              <w:right w:val="nil"/>
            </w:tcBorders>
            <w:shd w:val="clear" w:color="000000" w:fill="00CC99"/>
            <w:vAlign w:val="center"/>
            <w:hideMark/>
          </w:tcPr>
          <w:p w14:paraId="774489AF"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361" w:type="dxa"/>
            <w:tcBorders>
              <w:top w:val="nil"/>
              <w:left w:val="nil"/>
              <w:bottom w:val="single" w:sz="4" w:space="0" w:color="auto"/>
              <w:right w:val="single" w:sz="4" w:space="0" w:color="auto"/>
            </w:tcBorders>
            <w:shd w:val="clear" w:color="000000" w:fill="00CC99"/>
            <w:vAlign w:val="center"/>
            <w:hideMark/>
          </w:tcPr>
          <w:p w14:paraId="1B62E6E1"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00" w:type="dxa"/>
            <w:tcBorders>
              <w:top w:val="nil"/>
              <w:left w:val="nil"/>
              <w:bottom w:val="single" w:sz="4" w:space="0" w:color="auto"/>
              <w:right w:val="single" w:sz="4" w:space="0" w:color="auto"/>
            </w:tcBorders>
            <w:shd w:val="clear" w:color="000000" w:fill="00CC99"/>
            <w:vAlign w:val="center"/>
            <w:hideMark/>
          </w:tcPr>
          <w:p w14:paraId="3C3FF338"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£'000</w:t>
            </w:r>
          </w:p>
        </w:tc>
        <w:tc>
          <w:tcPr>
            <w:tcW w:w="622" w:type="dxa"/>
            <w:tcBorders>
              <w:top w:val="nil"/>
              <w:left w:val="nil"/>
              <w:bottom w:val="single" w:sz="4" w:space="0" w:color="auto"/>
              <w:right w:val="single" w:sz="4" w:space="0" w:color="auto"/>
            </w:tcBorders>
            <w:shd w:val="clear" w:color="000000" w:fill="00CC99"/>
            <w:vAlign w:val="center"/>
            <w:hideMark/>
          </w:tcPr>
          <w:p w14:paraId="7C628EFF"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Notes</w:t>
            </w:r>
          </w:p>
        </w:tc>
      </w:tr>
      <w:tr w:rsidR="007745A7" w:rsidRPr="007745A7" w14:paraId="76E51F87" w14:textId="77777777" w:rsidTr="007745A7">
        <w:trPr>
          <w:trHeight w:val="585"/>
        </w:trPr>
        <w:tc>
          <w:tcPr>
            <w:tcW w:w="1001" w:type="dxa"/>
            <w:tcBorders>
              <w:top w:val="nil"/>
              <w:left w:val="single" w:sz="4" w:space="0" w:color="auto"/>
              <w:bottom w:val="nil"/>
              <w:right w:val="nil"/>
            </w:tcBorders>
            <w:shd w:val="clear" w:color="auto" w:fill="auto"/>
            <w:noWrap/>
            <w:vAlign w:val="bottom"/>
            <w:hideMark/>
          </w:tcPr>
          <w:p w14:paraId="729C0186" w14:textId="77777777" w:rsidR="007745A7" w:rsidRPr="007745A7" w:rsidRDefault="007745A7" w:rsidP="007745A7">
            <w:pPr>
              <w:jc w:val="center"/>
              <w:rPr>
                <w:rFonts w:ascii="Arial" w:hAnsi="Arial" w:cs="Arial"/>
                <w:sz w:val="22"/>
                <w:szCs w:val="22"/>
                <w:lang w:val="en-GB" w:eastAsia="en-GB"/>
              </w:rPr>
            </w:pPr>
            <w:r w:rsidRPr="007745A7">
              <w:rPr>
                <w:rFonts w:ascii="Arial" w:hAnsi="Arial" w:cs="Arial"/>
                <w:sz w:val="22"/>
                <w:szCs w:val="22"/>
                <w:lang w:val="en-GB" w:eastAsia="en-GB"/>
              </w:rPr>
              <w:t> </w:t>
            </w:r>
          </w:p>
        </w:tc>
        <w:tc>
          <w:tcPr>
            <w:tcW w:w="6727" w:type="dxa"/>
            <w:gridSpan w:val="6"/>
            <w:tcBorders>
              <w:top w:val="nil"/>
              <w:left w:val="nil"/>
              <w:bottom w:val="nil"/>
              <w:right w:val="nil"/>
            </w:tcBorders>
            <w:shd w:val="clear" w:color="auto" w:fill="auto"/>
            <w:vAlign w:val="bottom"/>
            <w:hideMark/>
          </w:tcPr>
          <w:p w14:paraId="65F37806"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Dealings with members, employers and others directly involved in the scheme</w:t>
            </w:r>
          </w:p>
        </w:tc>
        <w:tc>
          <w:tcPr>
            <w:tcW w:w="1000" w:type="dxa"/>
            <w:tcBorders>
              <w:top w:val="nil"/>
              <w:left w:val="nil"/>
              <w:bottom w:val="nil"/>
              <w:right w:val="nil"/>
            </w:tcBorders>
            <w:shd w:val="clear" w:color="auto" w:fill="auto"/>
            <w:noWrap/>
            <w:vAlign w:val="bottom"/>
            <w:hideMark/>
          </w:tcPr>
          <w:p w14:paraId="4850723E" w14:textId="77777777" w:rsidR="007745A7" w:rsidRPr="007745A7" w:rsidRDefault="007745A7" w:rsidP="007745A7">
            <w:pPr>
              <w:rPr>
                <w:rFonts w:ascii="Arial" w:hAnsi="Arial" w:cs="Arial"/>
                <w:b/>
                <w:bCs/>
                <w:sz w:val="22"/>
                <w:szCs w:val="22"/>
                <w:lang w:val="en-GB" w:eastAsia="en-GB"/>
              </w:rPr>
            </w:pPr>
          </w:p>
        </w:tc>
        <w:tc>
          <w:tcPr>
            <w:tcW w:w="622" w:type="dxa"/>
            <w:tcBorders>
              <w:top w:val="nil"/>
              <w:left w:val="nil"/>
              <w:bottom w:val="nil"/>
              <w:right w:val="single" w:sz="4" w:space="0" w:color="auto"/>
            </w:tcBorders>
            <w:shd w:val="clear" w:color="auto" w:fill="auto"/>
            <w:noWrap/>
            <w:vAlign w:val="bottom"/>
            <w:hideMark/>
          </w:tcPr>
          <w:p w14:paraId="513B9C39"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47434D15"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4EF782AA"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074" w:type="dxa"/>
            <w:tcBorders>
              <w:top w:val="nil"/>
              <w:left w:val="nil"/>
              <w:bottom w:val="nil"/>
              <w:right w:val="nil"/>
            </w:tcBorders>
            <w:shd w:val="clear" w:color="auto" w:fill="auto"/>
            <w:noWrap/>
            <w:vAlign w:val="bottom"/>
            <w:hideMark/>
          </w:tcPr>
          <w:p w14:paraId="085CA115"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649C56A1"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5CB43A93"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0937FC50"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43D7338C"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31E15B53"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2D795459"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22A5A1F7"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65AE5948" w14:textId="77777777" w:rsidTr="007745A7">
        <w:trPr>
          <w:trHeight w:val="315"/>
        </w:trPr>
        <w:tc>
          <w:tcPr>
            <w:tcW w:w="1001" w:type="dxa"/>
            <w:tcBorders>
              <w:top w:val="nil"/>
              <w:left w:val="single" w:sz="4" w:space="0" w:color="auto"/>
              <w:bottom w:val="nil"/>
              <w:right w:val="nil"/>
            </w:tcBorders>
            <w:shd w:val="clear" w:color="auto" w:fill="auto"/>
            <w:noWrap/>
            <w:vAlign w:val="bottom"/>
            <w:hideMark/>
          </w:tcPr>
          <w:p w14:paraId="7BF0FBFC"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(31,005)</w:t>
            </w:r>
          </w:p>
        </w:tc>
        <w:tc>
          <w:tcPr>
            <w:tcW w:w="3220" w:type="dxa"/>
            <w:gridSpan w:val="3"/>
            <w:tcBorders>
              <w:top w:val="nil"/>
              <w:left w:val="nil"/>
              <w:bottom w:val="nil"/>
              <w:right w:val="nil"/>
            </w:tcBorders>
            <w:shd w:val="clear" w:color="auto" w:fill="auto"/>
            <w:noWrap/>
            <w:vAlign w:val="bottom"/>
            <w:hideMark/>
          </w:tcPr>
          <w:p w14:paraId="66FFFF2F"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Contributions Receivable</w:t>
            </w:r>
          </w:p>
        </w:tc>
        <w:tc>
          <w:tcPr>
            <w:tcW w:w="1073" w:type="dxa"/>
            <w:tcBorders>
              <w:top w:val="nil"/>
              <w:left w:val="nil"/>
              <w:bottom w:val="nil"/>
              <w:right w:val="nil"/>
            </w:tcBorders>
            <w:shd w:val="clear" w:color="auto" w:fill="auto"/>
            <w:noWrap/>
            <w:vAlign w:val="bottom"/>
            <w:hideMark/>
          </w:tcPr>
          <w:p w14:paraId="05EDAC08"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09ED6F59"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74D564E6" w14:textId="77777777" w:rsidR="007745A7" w:rsidRPr="007745A7" w:rsidRDefault="007745A7" w:rsidP="007745A7">
            <w:pPr>
              <w:rPr>
                <w:lang w:val="en-GB" w:eastAsia="en-GB"/>
              </w:rPr>
            </w:pPr>
          </w:p>
        </w:tc>
        <w:tc>
          <w:tcPr>
            <w:tcW w:w="1000" w:type="dxa"/>
            <w:tcBorders>
              <w:top w:val="nil"/>
              <w:left w:val="nil"/>
              <w:bottom w:val="single" w:sz="12" w:space="0" w:color="FFFFFF"/>
              <w:right w:val="single" w:sz="12" w:space="0" w:color="FFFFFF"/>
            </w:tcBorders>
            <w:shd w:val="clear" w:color="auto" w:fill="auto"/>
            <w:noWrap/>
            <w:vAlign w:val="bottom"/>
            <w:hideMark/>
          </w:tcPr>
          <w:p w14:paraId="398CB4E8"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(30,606)</w:t>
            </w:r>
          </w:p>
        </w:tc>
        <w:tc>
          <w:tcPr>
            <w:tcW w:w="622" w:type="dxa"/>
            <w:tcBorders>
              <w:top w:val="nil"/>
              <w:left w:val="nil"/>
              <w:bottom w:val="nil"/>
              <w:right w:val="single" w:sz="4" w:space="0" w:color="auto"/>
            </w:tcBorders>
            <w:shd w:val="clear" w:color="auto" w:fill="auto"/>
            <w:noWrap/>
            <w:vAlign w:val="bottom"/>
            <w:hideMark/>
          </w:tcPr>
          <w:p w14:paraId="6604EABE" w14:textId="77777777" w:rsidR="007745A7" w:rsidRPr="007745A7" w:rsidRDefault="007745A7" w:rsidP="007745A7">
            <w:pPr>
              <w:jc w:val="right"/>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7</w:t>
            </w:r>
          </w:p>
        </w:tc>
      </w:tr>
      <w:tr w:rsidR="007745A7" w:rsidRPr="007745A7" w14:paraId="60277451" w14:textId="77777777" w:rsidTr="007745A7">
        <w:trPr>
          <w:trHeight w:val="315"/>
        </w:trPr>
        <w:tc>
          <w:tcPr>
            <w:tcW w:w="1001" w:type="dxa"/>
            <w:tcBorders>
              <w:top w:val="nil"/>
              <w:left w:val="single" w:sz="4" w:space="0" w:color="auto"/>
              <w:bottom w:val="nil"/>
              <w:right w:val="nil"/>
            </w:tcBorders>
            <w:shd w:val="clear" w:color="auto" w:fill="auto"/>
            <w:noWrap/>
            <w:vAlign w:val="bottom"/>
            <w:hideMark/>
          </w:tcPr>
          <w:p w14:paraId="6CA40C53"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(4,515)</w:t>
            </w:r>
          </w:p>
        </w:tc>
        <w:tc>
          <w:tcPr>
            <w:tcW w:w="3220" w:type="dxa"/>
            <w:gridSpan w:val="3"/>
            <w:tcBorders>
              <w:top w:val="nil"/>
              <w:left w:val="nil"/>
              <w:bottom w:val="nil"/>
              <w:right w:val="nil"/>
            </w:tcBorders>
            <w:shd w:val="clear" w:color="auto" w:fill="auto"/>
            <w:noWrap/>
            <w:vAlign w:val="bottom"/>
            <w:hideMark/>
          </w:tcPr>
          <w:p w14:paraId="6C79BEF1"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Transfers from individuals</w:t>
            </w:r>
          </w:p>
        </w:tc>
        <w:tc>
          <w:tcPr>
            <w:tcW w:w="1073" w:type="dxa"/>
            <w:tcBorders>
              <w:top w:val="nil"/>
              <w:left w:val="nil"/>
              <w:bottom w:val="nil"/>
              <w:right w:val="nil"/>
            </w:tcBorders>
            <w:shd w:val="clear" w:color="auto" w:fill="auto"/>
            <w:noWrap/>
            <w:vAlign w:val="bottom"/>
            <w:hideMark/>
          </w:tcPr>
          <w:p w14:paraId="159F07E2"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10FE24F9"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00DD1CF5" w14:textId="77777777" w:rsidR="007745A7" w:rsidRPr="007745A7" w:rsidRDefault="007745A7" w:rsidP="007745A7">
            <w:pPr>
              <w:rPr>
                <w:lang w:val="en-GB" w:eastAsia="en-GB"/>
              </w:rPr>
            </w:pPr>
          </w:p>
        </w:tc>
        <w:tc>
          <w:tcPr>
            <w:tcW w:w="1000" w:type="dxa"/>
            <w:tcBorders>
              <w:top w:val="nil"/>
              <w:left w:val="nil"/>
              <w:bottom w:val="single" w:sz="4" w:space="0" w:color="auto"/>
              <w:right w:val="single" w:sz="12" w:space="0" w:color="FFFFFF"/>
            </w:tcBorders>
            <w:shd w:val="clear" w:color="000000" w:fill="FFFFFF"/>
            <w:noWrap/>
            <w:vAlign w:val="bottom"/>
            <w:hideMark/>
          </w:tcPr>
          <w:p w14:paraId="3DAC94D5"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(6,735)</w:t>
            </w:r>
          </w:p>
        </w:tc>
        <w:tc>
          <w:tcPr>
            <w:tcW w:w="622" w:type="dxa"/>
            <w:tcBorders>
              <w:top w:val="nil"/>
              <w:left w:val="nil"/>
              <w:bottom w:val="nil"/>
              <w:right w:val="single" w:sz="4" w:space="0" w:color="auto"/>
            </w:tcBorders>
            <w:shd w:val="clear" w:color="auto" w:fill="auto"/>
            <w:noWrap/>
            <w:vAlign w:val="bottom"/>
            <w:hideMark/>
          </w:tcPr>
          <w:p w14:paraId="20D68134" w14:textId="77777777" w:rsidR="007745A7" w:rsidRPr="007745A7" w:rsidRDefault="007745A7" w:rsidP="007745A7">
            <w:pPr>
              <w:jc w:val="right"/>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8</w:t>
            </w:r>
          </w:p>
        </w:tc>
      </w:tr>
      <w:tr w:rsidR="007745A7" w:rsidRPr="007745A7" w14:paraId="1158EC72" w14:textId="77777777" w:rsidTr="007745A7">
        <w:trPr>
          <w:trHeight w:val="300"/>
        </w:trPr>
        <w:tc>
          <w:tcPr>
            <w:tcW w:w="1001" w:type="dxa"/>
            <w:tcBorders>
              <w:top w:val="single" w:sz="4" w:space="0" w:color="auto"/>
              <w:left w:val="single" w:sz="4" w:space="0" w:color="auto"/>
              <w:bottom w:val="nil"/>
              <w:right w:val="nil"/>
            </w:tcBorders>
            <w:shd w:val="clear" w:color="auto" w:fill="auto"/>
            <w:noWrap/>
            <w:vAlign w:val="bottom"/>
            <w:hideMark/>
          </w:tcPr>
          <w:p w14:paraId="64A62BC1"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 xml:space="preserve">   (35,520)</w:t>
            </w:r>
          </w:p>
        </w:tc>
        <w:tc>
          <w:tcPr>
            <w:tcW w:w="1074" w:type="dxa"/>
            <w:tcBorders>
              <w:top w:val="nil"/>
              <w:left w:val="nil"/>
              <w:bottom w:val="nil"/>
              <w:right w:val="nil"/>
            </w:tcBorders>
            <w:shd w:val="clear" w:color="auto" w:fill="auto"/>
            <w:noWrap/>
            <w:vAlign w:val="bottom"/>
            <w:hideMark/>
          </w:tcPr>
          <w:p w14:paraId="55E96D45" w14:textId="77777777" w:rsidR="007745A7" w:rsidRPr="007745A7" w:rsidRDefault="007745A7" w:rsidP="007745A7">
            <w:pPr>
              <w:rPr>
                <w:rFonts w:ascii="Arial" w:hAnsi="Arial" w:cs="Arial"/>
                <w:b/>
                <w:bCs/>
                <w:sz w:val="22"/>
                <w:szCs w:val="22"/>
                <w:lang w:val="en-GB" w:eastAsia="en-GB"/>
              </w:rPr>
            </w:pPr>
          </w:p>
        </w:tc>
        <w:tc>
          <w:tcPr>
            <w:tcW w:w="1073" w:type="dxa"/>
            <w:tcBorders>
              <w:top w:val="nil"/>
              <w:left w:val="nil"/>
              <w:bottom w:val="nil"/>
              <w:right w:val="nil"/>
            </w:tcBorders>
            <w:shd w:val="clear" w:color="auto" w:fill="auto"/>
            <w:noWrap/>
            <w:vAlign w:val="bottom"/>
            <w:hideMark/>
          </w:tcPr>
          <w:p w14:paraId="7711C7F4"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0030DE52"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6DCD9ADF"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03BB47DD"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42C0ABE6"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748F5C63"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 xml:space="preserve">   (37,341)</w:t>
            </w:r>
          </w:p>
        </w:tc>
        <w:tc>
          <w:tcPr>
            <w:tcW w:w="622" w:type="dxa"/>
            <w:tcBorders>
              <w:top w:val="nil"/>
              <w:left w:val="nil"/>
              <w:bottom w:val="nil"/>
              <w:right w:val="single" w:sz="4" w:space="0" w:color="auto"/>
            </w:tcBorders>
            <w:shd w:val="clear" w:color="auto" w:fill="auto"/>
            <w:noWrap/>
            <w:vAlign w:val="bottom"/>
            <w:hideMark/>
          </w:tcPr>
          <w:p w14:paraId="3AD826E5" w14:textId="77777777" w:rsidR="007745A7" w:rsidRPr="007745A7" w:rsidRDefault="007745A7" w:rsidP="007745A7">
            <w:pPr>
              <w:rPr>
                <w:rFonts w:ascii="Calibri" w:hAnsi="Calibri" w:cs="Calibri"/>
                <w:b/>
                <w:bCs/>
                <w:color w:val="000000"/>
                <w:sz w:val="22"/>
                <w:szCs w:val="22"/>
                <w:lang w:val="en-GB" w:eastAsia="en-GB"/>
              </w:rPr>
            </w:pPr>
            <w:r w:rsidRPr="007745A7">
              <w:rPr>
                <w:rFonts w:ascii="Calibri" w:hAnsi="Calibri" w:cs="Calibri"/>
                <w:b/>
                <w:bCs/>
                <w:color w:val="000000"/>
                <w:sz w:val="22"/>
                <w:szCs w:val="22"/>
                <w:lang w:val="en-GB" w:eastAsia="en-GB"/>
              </w:rPr>
              <w:t> </w:t>
            </w:r>
          </w:p>
        </w:tc>
      </w:tr>
      <w:tr w:rsidR="007745A7" w:rsidRPr="007745A7" w14:paraId="49919E3C"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1B738F4F"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074" w:type="dxa"/>
            <w:tcBorders>
              <w:top w:val="nil"/>
              <w:left w:val="nil"/>
              <w:bottom w:val="nil"/>
              <w:right w:val="nil"/>
            </w:tcBorders>
            <w:shd w:val="clear" w:color="auto" w:fill="auto"/>
            <w:noWrap/>
            <w:vAlign w:val="bottom"/>
            <w:hideMark/>
          </w:tcPr>
          <w:p w14:paraId="3B4D7E86"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26FBB6B2"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219C803D"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0BF07922"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2363C015"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44CC97FB"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77EF546B"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33867DB7" w14:textId="77777777" w:rsidR="007745A7" w:rsidRPr="007745A7" w:rsidRDefault="007745A7" w:rsidP="007745A7">
            <w:pPr>
              <w:rPr>
                <w:rFonts w:ascii="Calibri" w:hAnsi="Calibri" w:cs="Calibri"/>
                <w:b/>
                <w:bCs/>
                <w:color w:val="000000"/>
                <w:sz w:val="22"/>
                <w:szCs w:val="22"/>
                <w:lang w:val="en-GB" w:eastAsia="en-GB"/>
              </w:rPr>
            </w:pPr>
            <w:r w:rsidRPr="007745A7">
              <w:rPr>
                <w:rFonts w:ascii="Calibri" w:hAnsi="Calibri" w:cs="Calibri"/>
                <w:b/>
                <w:bCs/>
                <w:color w:val="000000"/>
                <w:sz w:val="22"/>
                <w:szCs w:val="22"/>
                <w:lang w:val="en-GB" w:eastAsia="en-GB"/>
              </w:rPr>
              <w:t> </w:t>
            </w:r>
          </w:p>
        </w:tc>
      </w:tr>
      <w:tr w:rsidR="007745A7" w:rsidRPr="007745A7" w14:paraId="6DB24379" w14:textId="77777777" w:rsidTr="007745A7">
        <w:trPr>
          <w:trHeight w:val="315"/>
        </w:trPr>
        <w:tc>
          <w:tcPr>
            <w:tcW w:w="1001" w:type="dxa"/>
            <w:tcBorders>
              <w:top w:val="nil"/>
              <w:left w:val="single" w:sz="4" w:space="0" w:color="auto"/>
              <w:bottom w:val="nil"/>
              <w:right w:val="nil"/>
            </w:tcBorders>
            <w:shd w:val="clear" w:color="auto" w:fill="auto"/>
            <w:noWrap/>
            <w:vAlign w:val="bottom"/>
            <w:hideMark/>
          </w:tcPr>
          <w:p w14:paraId="72704BF2"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44,010 </w:t>
            </w:r>
          </w:p>
        </w:tc>
        <w:tc>
          <w:tcPr>
            <w:tcW w:w="2147" w:type="dxa"/>
            <w:gridSpan w:val="2"/>
            <w:tcBorders>
              <w:top w:val="nil"/>
              <w:left w:val="nil"/>
              <w:bottom w:val="nil"/>
              <w:right w:val="nil"/>
            </w:tcBorders>
            <w:shd w:val="clear" w:color="auto" w:fill="auto"/>
            <w:noWrap/>
            <w:vAlign w:val="bottom"/>
            <w:hideMark/>
          </w:tcPr>
          <w:p w14:paraId="591E6F2F"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Benefits payable</w:t>
            </w:r>
          </w:p>
        </w:tc>
        <w:tc>
          <w:tcPr>
            <w:tcW w:w="1073" w:type="dxa"/>
            <w:tcBorders>
              <w:top w:val="nil"/>
              <w:left w:val="nil"/>
              <w:bottom w:val="nil"/>
              <w:right w:val="nil"/>
            </w:tcBorders>
            <w:shd w:val="clear" w:color="auto" w:fill="auto"/>
            <w:noWrap/>
            <w:vAlign w:val="bottom"/>
            <w:hideMark/>
          </w:tcPr>
          <w:p w14:paraId="7F9C4A0B"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29D17E62"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64EA4F24"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0BEAF43E" w14:textId="77777777" w:rsidR="007745A7" w:rsidRPr="007745A7" w:rsidRDefault="007745A7" w:rsidP="007745A7">
            <w:pPr>
              <w:rPr>
                <w:lang w:val="en-GB" w:eastAsia="en-GB"/>
              </w:rPr>
            </w:pPr>
          </w:p>
        </w:tc>
        <w:tc>
          <w:tcPr>
            <w:tcW w:w="1000" w:type="dxa"/>
            <w:tcBorders>
              <w:top w:val="nil"/>
              <w:left w:val="nil"/>
              <w:bottom w:val="single" w:sz="12" w:space="0" w:color="FFFFFF"/>
              <w:right w:val="single" w:sz="12" w:space="0" w:color="FFFFFF"/>
            </w:tcBorders>
            <w:shd w:val="clear" w:color="000000" w:fill="FFFFFF"/>
            <w:noWrap/>
            <w:vAlign w:val="bottom"/>
            <w:hideMark/>
          </w:tcPr>
          <w:p w14:paraId="4FA8B208"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46,538 </w:t>
            </w:r>
          </w:p>
        </w:tc>
        <w:tc>
          <w:tcPr>
            <w:tcW w:w="622" w:type="dxa"/>
            <w:tcBorders>
              <w:top w:val="nil"/>
              <w:left w:val="nil"/>
              <w:bottom w:val="nil"/>
              <w:right w:val="single" w:sz="4" w:space="0" w:color="auto"/>
            </w:tcBorders>
            <w:shd w:val="clear" w:color="auto" w:fill="auto"/>
            <w:noWrap/>
            <w:vAlign w:val="bottom"/>
            <w:hideMark/>
          </w:tcPr>
          <w:p w14:paraId="15C2D000" w14:textId="77777777" w:rsidR="007745A7" w:rsidRPr="007745A7" w:rsidRDefault="007745A7" w:rsidP="007745A7">
            <w:pPr>
              <w:jc w:val="right"/>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9</w:t>
            </w:r>
          </w:p>
        </w:tc>
      </w:tr>
      <w:tr w:rsidR="007745A7" w:rsidRPr="007745A7" w14:paraId="0FFEBE1B" w14:textId="77777777" w:rsidTr="007745A7">
        <w:trPr>
          <w:trHeight w:val="315"/>
        </w:trPr>
        <w:tc>
          <w:tcPr>
            <w:tcW w:w="1001" w:type="dxa"/>
            <w:tcBorders>
              <w:top w:val="nil"/>
              <w:left w:val="single" w:sz="4" w:space="0" w:color="auto"/>
              <w:bottom w:val="single" w:sz="4" w:space="0" w:color="auto"/>
              <w:right w:val="nil"/>
            </w:tcBorders>
            <w:shd w:val="clear" w:color="auto" w:fill="auto"/>
            <w:noWrap/>
            <w:vAlign w:val="bottom"/>
            <w:hideMark/>
          </w:tcPr>
          <w:p w14:paraId="6AD370FD"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4,746 </w:t>
            </w:r>
          </w:p>
        </w:tc>
        <w:tc>
          <w:tcPr>
            <w:tcW w:w="5366" w:type="dxa"/>
            <w:gridSpan w:val="5"/>
            <w:tcBorders>
              <w:top w:val="nil"/>
              <w:left w:val="nil"/>
              <w:bottom w:val="nil"/>
              <w:right w:val="nil"/>
            </w:tcBorders>
            <w:shd w:val="clear" w:color="auto" w:fill="auto"/>
            <w:noWrap/>
            <w:vAlign w:val="bottom"/>
            <w:hideMark/>
          </w:tcPr>
          <w:p w14:paraId="4CA299D0"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Payments to and on account of leavers</w:t>
            </w:r>
          </w:p>
        </w:tc>
        <w:tc>
          <w:tcPr>
            <w:tcW w:w="1361" w:type="dxa"/>
            <w:tcBorders>
              <w:top w:val="nil"/>
              <w:left w:val="nil"/>
              <w:bottom w:val="nil"/>
              <w:right w:val="nil"/>
            </w:tcBorders>
            <w:shd w:val="clear" w:color="auto" w:fill="auto"/>
            <w:noWrap/>
            <w:vAlign w:val="bottom"/>
            <w:hideMark/>
          </w:tcPr>
          <w:p w14:paraId="14F39CCD" w14:textId="77777777" w:rsidR="007745A7" w:rsidRPr="007745A7" w:rsidRDefault="007745A7" w:rsidP="007745A7">
            <w:pPr>
              <w:rPr>
                <w:rFonts w:ascii="Arial" w:hAnsi="Arial" w:cs="Arial"/>
                <w:sz w:val="22"/>
                <w:szCs w:val="22"/>
                <w:lang w:val="en-GB" w:eastAsia="en-GB"/>
              </w:rPr>
            </w:pPr>
          </w:p>
        </w:tc>
        <w:tc>
          <w:tcPr>
            <w:tcW w:w="1000" w:type="dxa"/>
            <w:tcBorders>
              <w:top w:val="nil"/>
              <w:left w:val="nil"/>
              <w:bottom w:val="single" w:sz="4" w:space="0" w:color="auto"/>
              <w:right w:val="single" w:sz="12" w:space="0" w:color="FFFFFF"/>
            </w:tcBorders>
            <w:shd w:val="clear" w:color="000000" w:fill="FFFFFF"/>
            <w:noWrap/>
            <w:vAlign w:val="bottom"/>
            <w:hideMark/>
          </w:tcPr>
          <w:p w14:paraId="60D32EF3"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5,950 </w:t>
            </w:r>
          </w:p>
        </w:tc>
        <w:tc>
          <w:tcPr>
            <w:tcW w:w="622" w:type="dxa"/>
            <w:tcBorders>
              <w:top w:val="nil"/>
              <w:left w:val="nil"/>
              <w:bottom w:val="nil"/>
              <w:right w:val="single" w:sz="4" w:space="0" w:color="auto"/>
            </w:tcBorders>
            <w:shd w:val="clear" w:color="auto" w:fill="auto"/>
            <w:noWrap/>
            <w:vAlign w:val="bottom"/>
            <w:hideMark/>
          </w:tcPr>
          <w:p w14:paraId="20BD0F40" w14:textId="77777777" w:rsidR="007745A7" w:rsidRPr="007745A7" w:rsidRDefault="007745A7" w:rsidP="007745A7">
            <w:pPr>
              <w:jc w:val="right"/>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10</w:t>
            </w:r>
          </w:p>
        </w:tc>
      </w:tr>
      <w:tr w:rsidR="007745A7" w:rsidRPr="007745A7" w14:paraId="1AA76729"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3ACFB999"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48,756 </w:t>
            </w:r>
          </w:p>
        </w:tc>
        <w:tc>
          <w:tcPr>
            <w:tcW w:w="1074" w:type="dxa"/>
            <w:tcBorders>
              <w:top w:val="nil"/>
              <w:left w:val="nil"/>
              <w:bottom w:val="nil"/>
              <w:right w:val="nil"/>
            </w:tcBorders>
            <w:shd w:val="clear" w:color="auto" w:fill="auto"/>
            <w:noWrap/>
            <w:vAlign w:val="bottom"/>
            <w:hideMark/>
          </w:tcPr>
          <w:p w14:paraId="4E0FE75E"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532BD13F"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53073E65"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57F180BB"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66E4702E"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64B08447"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62CF8363"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52,488 </w:t>
            </w:r>
          </w:p>
        </w:tc>
        <w:tc>
          <w:tcPr>
            <w:tcW w:w="622" w:type="dxa"/>
            <w:tcBorders>
              <w:top w:val="nil"/>
              <w:left w:val="nil"/>
              <w:bottom w:val="nil"/>
              <w:right w:val="single" w:sz="4" w:space="0" w:color="auto"/>
            </w:tcBorders>
            <w:shd w:val="clear" w:color="auto" w:fill="auto"/>
            <w:noWrap/>
            <w:vAlign w:val="bottom"/>
            <w:hideMark/>
          </w:tcPr>
          <w:p w14:paraId="4DF066DF" w14:textId="77777777" w:rsidR="007745A7" w:rsidRPr="007745A7" w:rsidRDefault="007745A7" w:rsidP="007745A7">
            <w:pPr>
              <w:rPr>
                <w:rFonts w:ascii="Calibri" w:hAnsi="Calibri" w:cs="Calibri"/>
                <w:b/>
                <w:bCs/>
                <w:color w:val="000000"/>
                <w:sz w:val="22"/>
                <w:szCs w:val="22"/>
                <w:lang w:val="en-GB" w:eastAsia="en-GB"/>
              </w:rPr>
            </w:pPr>
            <w:r w:rsidRPr="007745A7">
              <w:rPr>
                <w:rFonts w:ascii="Calibri" w:hAnsi="Calibri" w:cs="Calibri"/>
                <w:b/>
                <w:bCs/>
                <w:color w:val="000000"/>
                <w:sz w:val="22"/>
                <w:szCs w:val="22"/>
                <w:lang w:val="en-GB" w:eastAsia="en-GB"/>
              </w:rPr>
              <w:t> </w:t>
            </w:r>
          </w:p>
        </w:tc>
      </w:tr>
      <w:tr w:rsidR="007745A7" w:rsidRPr="007745A7" w14:paraId="2C582428"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232D43D2"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074" w:type="dxa"/>
            <w:tcBorders>
              <w:top w:val="nil"/>
              <w:left w:val="nil"/>
              <w:bottom w:val="nil"/>
              <w:right w:val="nil"/>
            </w:tcBorders>
            <w:shd w:val="clear" w:color="auto" w:fill="auto"/>
            <w:noWrap/>
            <w:vAlign w:val="bottom"/>
            <w:hideMark/>
          </w:tcPr>
          <w:p w14:paraId="1A8FA469"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13A310D0"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71C8A5AB"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39889479"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47B4A978"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78D62D51"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4B957CA1"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40DAFE3C" w14:textId="77777777" w:rsidR="007745A7" w:rsidRPr="007745A7" w:rsidRDefault="007745A7" w:rsidP="007745A7">
            <w:pPr>
              <w:rPr>
                <w:rFonts w:ascii="Calibri" w:hAnsi="Calibri" w:cs="Calibri"/>
                <w:b/>
                <w:bCs/>
                <w:color w:val="000000"/>
                <w:sz w:val="22"/>
                <w:szCs w:val="22"/>
                <w:lang w:val="en-GB" w:eastAsia="en-GB"/>
              </w:rPr>
            </w:pPr>
            <w:r w:rsidRPr="007745A7">
              <w:rPr>
                <w:rFonts w:ascii="Calibri" w:hAnsi="Calibri" w:cs="Calibri"/>
                <w:b/>
                <w:bCs/>
                <w:color w:val="000000"/>
                <w:sz w:val="22"/>
                <w:szCs w:val="22"/>
                <w:lang w:val="en-GB" w:eastAsia="en-GB"/>
              </w:rPr>
              <w:t> </w:t>
            </w:r>
          </w:p>
        </w:tc>
      </w:tr>
      <w:tr w:rsidR="007745A7" w:rsidRPr="007745A7" w14:paraId="4340B5A3" w14:textId="77777777" w:rsidTr="007745A7">
        <w:trPr>
          <w:trHeight w:val="300"/>
        </w:trPr>
        <w:tc>
          <w:tcPr>
            <w:tcW w:w="1001" w:type="dxa"/>
            <w:tcBorders>
              <w:top w:val="single" w:sz="4" w:space="0" w:color="auto"/>
              <w:left w:val="single" w:sz="4" w:space="0" w:color="auto"/>
              <w:bottom w:val="nil"/>
              <w:right w:val="nil"/>
            </w:tcBorders>
            <w:shd w:val="clear" w:color="auto" w:fill="auto"/>
            <w:noWrap/>
            <w:vAlign w:val="bottom"/>
            <w:hideMark/>
          </w:tcPr>
          <w:p w14:paraId="4C6FDCA3"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 xml:space="preserve">     13,236 </w:t>
            </w:r>
          </w:p>
        </w:tc>
        <w:tc>
          <w:tcPr>
            <w:tcW w:w="6727" w:type="dxa"/>
            <w:gridSpan w:val="6"/>
            <w:tcBorders>
              <w:top w:val="nil"/>
              <w:left w:val="nil"/>
              <w:bottom w:val="nil"/>
              <w:right w:val="nil"/>
            </w:tcBorders>
            <w:shd w:val="clear" w:color="auto" w:fill="auto"/>
            <w:noWrap/>
            <w:vAlign w:val="bottom"/>
            <w:hideMark/>
          </w:tcPr>
          <w:p w14:paraId="7A702557"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 xml:space="preserve">Net (withdrawals)/additions from dealings with members </w:t>
            </w:r>
          </w:p>
        </w:tc>
        <w:tc>
          <w:tcPr>
            <w:tcW w:w="1000" w:type="dxa"/>
            <w:tcBorders>
              <w:top w:val="single" w:sz="4" w:space="0" w:color="auto"/>
              <w:left w:val="nil"/>
              <w:bottom w:val="nil"/>
              <w:right w:val="nil"/>
            </w:tcBorders>
            <w:shd w:val="clear" w:color="auto" w:fill="auto"/>
            <w:noWrap/>
            <w:vAlign w:val="bottom"/>
            <w:hideMark/>
          </w:tcPr>
          <w:p w14:paraId="3B55696D"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 xml:space="preserve">     15,147 </w:t>
            </w:r>
          </w:p>
        </w:tc>
        <w:tc>
          <w:tcPr>
            <w:tcW w:w="622" w:type="dxa"/>
            <w:tcBorders>
              <w:top w:val="nil"/>
              <w:left w:val="nil"/>
              <w:bottom w:val="nil"/>
              <w:right w:val="single" w:sz="4" w:space="0" w:color="auto"/>
            </w:tcBorders>
            <w:shd w:val="clear" w:color="auto" w:fill="auto"/>
            <w:noWrap/>
            <w:vAlign w:val="bottom"/>
            <w:hideMark/>
          </w:tcPr>
          <w:p w14:paraId="56BA46F3" w14:textId="77777777" w:rsidR="007745A7" w:rsidRPr="007745A7" w:rsidRDefault="007745A7" w:rsidP="007745A7">
            <w:pPr>
              <w:rPr>
                <w:rFonts w:ascii="Calibri" w:hAnsi="Calibri" w:cs="Calibri"/>
                <w:b/>
                <w:bCs/>
                <w:color w:val="000000"/>
                <w:sz w:val="22"/>
                <w:szCs w:val="22"/>
                <w:lang w:val="en-GB" w:eastAsia="en-GB"/>
              </w:rPr>
            </w:pPr>
            <w:r w:rsidRPr="007745A7">
              <w:rPr>
                <w:rFonts w:ascii="Calibri" w:hAnsi="Calibri" w:cs="Calibri"/>
                <w:b/>
                <w:bCs/>
                <w:color w:val="000000"/>
                <w:sz w:val="22"/>
                <w:szCs w:val="22"/>
                <w:lang w:val="en-GB" w:eastAsia="en-GB"/>
              </w:rPr>
              <w:t> </w:t>
            </w:r>
          </w:p>
        </w:tc>
      </w:tr>
      <w:tr w:rsidR="007745A7" w:rsidRPr="007745A7" w14:paraId="34615095" w14:textId="77777777" w:rsidTr="007745A7">
        <w:trPr>
          <w:trHeight w:val="315"/>
        </w:trPr>
        <w:tc>
          <w:tcPr>
            <w:tcW w:w="1001" w:type="dxa"/>
            <w:tcBorders>
              <w:top w:val="nil"/>
              <w:left w:val="single" w:sz="4" w:space="0" w:color="auto"/>
              <w:bottom w:val="nil"/>
              <w:right w:val="nil"/>
            </w:tcBorders>
            <w:shd w:val="clear" w:color="auto" w:fill="auto"/>
            <w:noWrap/>
            <w:vAlign w:val="bottom"/>
            <w:hideMark/>
          </w:tcPr>
          <w:p w14:paraId="2485147E"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074" w:type="dxa"/>
            <w:tcBorders>
              <w:top w:val="nil"/>
              <w:left w:val="nil"/>
              <w:bottom w:val="nil"/>
              <w:right w:val="nil"/>
            </w:tcBorders>
            <w:shd w:val="clear" w:color="auto" w:fill="auto"/>
            <w:noWrap/>
            <w:vAlign w:val="bottom"/>
            <w:hideMark/>
          </w:tcPr>
          <w:p w14:paraId="206FFD4B"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0354DFB8"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6A175588"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1C392B63"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58422B70"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7D89438C"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15F1463A"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641FD5FE" w14:textId="77777777" w:rsidR="007745A7" w:rsidRPr="007745A7" w:rsidRDefault="007745A7" w:rsidP="007745A7">
            <w:pPr>
              <w:rPr>
                <w:rFonts w:ascii="Calibri" w:hAnsi="Calibri" w:cs="Calibri"/>
                <w:b/>
                <w:bCs/>
                <w:color w:val="000000"/>
                <w:sz w:val="22"/>
                <w:szCs w:val="22"/>
                <w:lang w:val="en-GB" w:eastAsia="en-GB"/>
              </w:rPr>
            </w:pPr>
            <w:r w:rsidRPr="007745A7">
              <w:rPr>
                <w:rFonts w:ascii="Calibri" w:hAnsi="Calibri" w:cs="Calibri"/>
                <w:b/>
                <w:bCs/>
                <w:color w:val="000000"/>
                <w:sz w:val="22"/>
                <w:szCs w:val="22"/>
                <w:lang w:val="en-GB" w:eastAsia="en-GB"/>
              </w:rPr>
              <w:t> </w:t>
            </w:r>
          </w:p>
        </w:tc>
      </w:tr>
      <w:tr w:rsidR="007745A7" w:rsidRPr="007745A7" w14:paraId="092E00E8" w14:textId="77777777" w:rsidTr="007745A7">
        <w:trPr>
          <w:trHeight w:val="330"/>
        </w:trPr>
        <w:tc>
          <w:tcPr>
            <w:tcW w:w="1001" w:type="dxa"/>
            <w:tcBorders>
              <w:top w:val="nil"/>
              <w:left w:val="single" w:sz="4" w:space="0" w:color="auto"/>
              <w:bottom w:val="nil"/>
              <w:right w:val="nil"/>
            </w:tcBorders>
            <w:shd w:val="clear" w:color="auto" w:fill="auto"/>
            <w:noWrap/>
            <w:vAlign w:val="bottom"/>
            <w:hideMark/>
          </w:tcPr>
          <w:p w14:paraId="145D3FC5"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10,264 </w:t>
            </w:r>
          </w:p>
        </w:tc>
        <w:tc>
          <w:tcPr>
            <w:tcW w:w="3220" w:type="dxa"/>
            <w:gridSpan w:val="3"/>
            <w:tcBorders>
              <w:top w:val="nil"/>
              <w:left w:val="nil"/>
              <w:bottom w:val="nil"/>
              <w:right w:val="nil"/>
            </w:tcBorders>
            <w:shd w:val="clear" w:color="auto" w:fill="auto"/>
            <w:noWrap/>
            <w:vAlign w:val="bottom"/>
            <w:hideMark/>
          </w:tcPr>
          <w:p w14:paraId="586421A9"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Management Expenses</w:t>
            </w:r>
          </w:p>
        </w:tc>
        <w:tc>
          <w:tcPr>
            <w:tcW w:w="1073" w:type="dxa"/>
            <w:tcBorders>
              <w:top w:val="nil"/>
              <w:left w:val="nil"/>
              <w:bottom w:val="nil"/>
              <w:right w:val="nil"/>
            </w:tcBorders>
            <w:shd w:val="clear" w:color="auto" w:fill="auto"/>
            <w:noWrap/>
            <w:vAlign w:val="bottom"/>
            <w:hideMark/>
          </w:tcPr>
          <w:p w14:paraId="146C39F9"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16F8B650"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5E76DF05" w14:textId="77777777" w:rsidR="007745A7" w:rsidRPr="007745A7" w:rsidRDefault="007745A7" w:rsidP="007745A7">
            <w:pPr>
              <w:rPr>
                <w:lang w:val="en-GB" w:eastAsia="en-GB"/>
              </w:rPr>
            </w:pPr>
          </w:p>
        </w:tc>
        <w:tc>
          <w:tcPr>
            <w:tcW w:w="1000" w:type="dxa"/>
            <w:tcBorders>
              <w:top w:val="single" w:sz="12" w:space="0" w:color="FFFFFF"/>
              <w:left w:val="nil"/>
              <w:bottom w:val="single" w:sz="12" w:space="0" w:color="FFFFFF"/>
              <w:right w:val="single" w:sz="12" w:space="0" w:color="FFFFFF"/>
            </w:tcBorders>
            <w:shd w:val="clear" w:color="auto" w:fill="auto"/>
            <w:noWrap/>
            <w:vAlign w:val="bottom"/>
            <w:hideMark/>
          </w:tcPr>
          <w:p w14:paraId="1156B95B"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10,221 </w:t>
            </w:r>
          </w:p>
        </w:tc>
        <w:tc>
          <w:tcPr>
            <w:tcW w:w="622" w:type="dxa"/>
            <w:tcBorders>
              <w:top w:val="nil"/>
              <w:left w:val="nil"/>
              <w:bottom w:val="nil"/>
              <w:right w:val="single" w:sz="4" w:space="0" w:color="auto"/>
            </w:tcBorders>
            <w:shd w:val="clear" w:color="auto" w:fill="auto"/>
            <w:noWrap/>
            <w:vAlign w:val="bottom"/>
            <w:hideMark/>
          </w:tcPr>
          <w:p w14:paraId="4711992C" w14:textId="77777777" w:rsidR="007745A7" w:rsidRPr="007745A7" w:rsidRDefault="007745A7" w:rsidP="007745A7">
            <w:pPr>
              <w:jc w:val="right"/>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11</w:t>
            </w:r>
          </w:p>
        </w:tc>
      </w:tr>
      <w:tr w:rsidR="007745A7" w:rsidRPr="007745A7" w14:paraId="1A6DE8F9" w14:textId="77777777" w:rsidTr="007745A7">
        <w:trPr>
          <w:trHeight w:val="315"/>
        </w:trPr>
        <w:tc>
          <w:tcPr>
            <w:tcW w:w="1001" w:type="dxa"/>
            <w:tcBorders>
              <w:top w:val="nil"/>
              <w:left w:val="single" w:sz="4" w:space="0" w:color="auto"/>
              <w:bottom w:val="nil"/>
              <w:right w:val="nil"/>
            </w:tcBorders>
            <w:shd w:val="clear" w:color="auto" w:fill="auto"/>
            <w:noWrap/>
            <w:vAlign w:val="bottom"/>
            <w:hideMark/>
          </w:tcPr>
          <w:p w14:paraId="44E5888A"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074" w:type="dxa"/>
            <w:tcBorders>
              <w:top w:val="nil"/>
              <w:left w:val="nil"/>
              <w:bottom w:val="nil"/>
              <w:right w:val="nil"/>
            </w:tcBorders>
            <w:shd w:val="clear" w:color="auto" w:fill="auto"/>
            <w:noWrap/>
            <w:vAlign w:val="bottom"/>
            <w:hideMark/>
          </w:tcPr>
          <w:p w14:paraId="34B4022E"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78C475B3"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23E44FD0"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08D694BD"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2B14D6A7"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597B7CCA"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716F2D18"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5121D825"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50D37624" w14:textId="77777777" w:rsidTr="007745A7">
        <w:trPr>
          <w:trHeight w:val="600"/>
        </w:trPr>
        <w:tc>
          <w:tcPr>
            <w:tcW w:w="1001" w:type="dxa"/>
            <w:tcBorders>
              <w:top w:val="single" w:sz="4" w:space="0" w:color="auto"/>
              <w:left w:val="single" w:sz="4" w:space="0" w:color="auto"/>
              <w:bottom w:val="single" w:sz="4" w:space="0" w:color="auto"/>
              <w:right w:val="nil"/>
            </w:tcBorders>
            <w:shd w:val="clear" w:color="auto" w:fill="auto"/>
            <w:noWrap/>
            <w:vAlign w:val="bottom"/>
            <w:hideMark/>
          </w:tcPr>
          <w:p w14:paraId="058F50A8"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 xml:space="preserve">     23,500 </w:t>
            </w:r>
          </w:p>
        </w:tc>
        <w:tc>
          <w:tcPr>
            <w:tcW w:w="6727" w:type="dxa"/>
            <w:gridSpan w:val="6"/>
            <w:tcBorders>
              <w:top w:val="nil"/>
              <w:left w:val="nil"/>
              <w:bottom w:val="nil"/>
              <w:right w:val="nil"/>
            </w:tcBorders>
            <w:shd w:val="clear" w:color="auto" w:fill="auto"/>
            <w:noWrap/>
            <w:vAlign w:val="center"/>
            <w:hideMark/>
          </w:tcPr>
          <w:p w14:paraId="6615F959" w14:textId="77777777" w:rsidR="007745A7" w:rsidRPr="007745A7" w:rsidRDefault="007745A7" w:rsidP="007745A7">
            <w:pPr>
              <w:jc w:val="both"/>
              <w:rPr>
                <w:rFonts w:ascii="Arial" w:hAnsi="Arial" w:cs="Arial"/>
                <w:b/>
                <w:bCs/>
                <w:sz w:val="22"/>
                <w:szCs w:val="22"/>
                <w:lang w:val="en-GB" w:eastAsia="en-GB"/>
              </w:rPr>
            </w:pPr>
            <w:r w:rsidRPr="007745A7">
              <w:rPr>
                <w:rFonts w:ascii="Arial" w:hAnsi="Arial" w:cs="Arial"/>
                <w:b/>
                <w:bCs/>
                <w:sz w:val="22"/>
                <w:szCs w:val="22"/>
                <w:lang w:val="en-GB" w:eastAsia="en-GB"/>
              </w:rPr>
              <w:t>Net (withdrawals)/additions including fund management expenses</w:t>
            </w:r>
          </w:p>
        </w:tc>
        <w:tc>
          <w:tcPr>
            <w:tcW w:w="1000" w:type="dxa"/>
            <w:tcBorders>
              <w:top w:val="single" w:sz="4" w:space="0" w:color="auto"/>
              <w:left w:val="nil"/>
              <w:bottom w:val="single" w:sz="4" w:space="0" w:color="auto"/>
              <w:right w:val="single" w:sz="12" w:space="0" w:color="FFFFFF"/>
            </w:tcBorders>
            <w:shd w:val="clear" w:color="auto" w:fill="auto"/>
            <w:noWrap/>
            <w:vAlign w:val="bottom"/>
            <w:hideMark/>
          </w:tcPr>
          <w:p w14:paraId="740BADA3"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 xml:space="preserve">     25,368 </w:t>
            </w:r>
          </w:p>
        </w:tc>
        <w:tc>
          <w:tcPr>
            <w:tcW w:w="622" w:type="dxa"/>
            <w:tcBorders>
              <w:top w:val="nil"/>
              <w:left w:val="nil"/>
              <w:bottom w:val="nil"/>
              <w:right w:val="single" w:sz="4" w:space="0" w:color="auto"/>
            </w:tcBorders>
            <w:shd w:val="clear" w:color="auto" w:fill="auto"/>
            <w:noWrap/>
            <w:vAlign w:val="bottom"/>
            <w:hideMark/>
          </w:tcPr>
          <w:p w14:paraId="7F112C0A"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4553D3CE"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5B681C51"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074" w:type="dxa"/>
            <w:tcBorders>
              <w:top w:val="nil"/>
              <w:left w:val="nil"/>
              <w:bottom w:val="nil"/>
              <w:right w:val="nil"/>
            </w:tcBorders>
            <w:shd w:val="clear" w:color="auto" w:fill="auto"/>
            <w:noWrap/>
            <w:vAlign w:val="bottom"/>
            <w:hideMark/>
          </w:tcPr>
          <w:p w14:paraId="44133614"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300E7143"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351BE292"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09CFBC9B"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01833751"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21EDC9F6"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3A69AA4D"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02B71957"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1F8BB08D"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3BF15E54"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3220" w:type="dxa"/>
            <w:gridSpan w:val="3"/>
            <w:tcBorders>
              <w:top w:val="nil"/>
              <w:left w:val="nil"/>
              <w:bottom w:val="nil"/>
              <w:right w:val="nil"/>
            </w:tcBorders>
            <w:shd w:val="clear" w:color="auto" w:fill="auto"/>
            <w:noWrap/>
            <w:vAlign w:val="bottom"/>
            <w:hideMark/>
          </w:tcPr>
          <w:p w14:paraId="35BC9ADA"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Return on investments</w:t>
            </w:r>
          </w:p>
        </w:tc>
        <w:tc>
          <w:tcPr>
            <w:tcW w:w="1073" w:type="dxa"/>
            <w:tcBorders>
              <w:top w:val="nil"/>
              <w:left w:val="nil"/>
              <w:bottom w:val="nil"/>
              <w:right w:val="nil"/>
            </w:tcBorders>
            <w:shd w:val="clear" w:color="auto" w:fill="auto"/>
            <w:noWrap/>
            <w:vAlign w:val="bottom"/>
            <w:hideMark/>
          </w:tcPr>
          <w:p w14:paraId="1F8D6AF9" w14:textId="77777777" w:rsidR="007745A7" w:rsidRPr="007745A7" w:rsidRDefault="007745A7" w:rsidP="007745A7">
            <w:pPr>
              <w:rPr>
                <w:rFonts w:ascii="Arial" w:hAnsi="Arial" w:cs="Arial"/>
                <w:b/>
                <w:bCs/>
                <w:sz w:val="22"/>
                <w:szCs w:val="22"/>
                <w:lang w:val="en-GB" w:eastAsia="en-GB"/>
              </w:rPr>
            </w:pPr>
          </w:p>
        </w:tc>
        <w:tc>
          <w:tcPr>
            <w:tcW w:w="1073" w:type="dxa"/>
            <w:tcBorders>
              <w:top w:val="nil"/>
              <w:left w:val="nil"/>
              <w:bottom w:val="nil"/>
              <w:right w:val="nil"/>
            </w:tcBorders>
            <w:shd w:val="clear" w:color="auto" w:fill="auto"/>
            <w:noWrap/>
            <w:vAlign w:val="bottom"/>
            <w:hideMark/>
          </w:tcPr>
          <w:p w14:paraId="0F4D9AC4"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2F370F8B"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6E5C2621"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602FA9A3"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48D8B1AF"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4D00DEFF"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074" w:type="dxa"/>
            <w:tcBorders>
              <w:top w:val="nil"/>
              <w:left w:val="nil"/>
              <w:bottom w:val="nil"/>
              <w:right w:val="nil"/>
            </w:tcBorders>
            <w:shd w:val="clear" w:color="auto" w:fill="auto"/>
            <w:noWrap/>
            <w:vAlign w:val="bottom"/>
            <w:hideMark/>
          </w:tcPr>
          <w:p w14:paraId="3577CB4F"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4FBF540A"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7A07E244"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1B80345B"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20653F08"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672FE3AE"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333E78E2"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7EB03470"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28BE15A9"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3C25704C"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(8,846)</w:t>
            </w:r>
          </w:p>
        </w:tc>
        <w:tc>
          <w:tcPr>
            <w:tcW w:w="2147" w:type="dxa"/>
            <w:gridSpan w:val="2"/>
            <w:tcBorders>
              <w:top w:val="nil"/>
              <w:left w:val="nil"/>
              <w:bottom w:val="nil"/>
              <w:right w:val="nil"/>
            </w:tcBorders>
            <w:shd w:val="clear" w:color="auto" w:fill="auto"/>
            <w:noWrap/>
            <w:vAlign w:val="bottom"/>
            <w:hideMark/>
          </w:tcPr>
          <w:p w14:paraId="0351F8C4"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Investment income</w:t>
            </w:r>
          </w:p>
        </w:tc>
        <w:tc>
          <w:tcPr>
            <w:tcW w:w="1073" w:type="dxa"/>
            <w:tcBorders>
              <w:top w:val="nil"/>
              <w:left w:val="nil"/>
              <w:bottom w:val="nil"/>
              <w:right w:val="nil"/>
            </w:tcBorders>
            <w:shd w:val="clear" w:color="auto" w:fill="auto"/>
            <w:noWrap/>
            <w:vAlign w:val="bottom"/>
            <w:hideMark/>
          </w:tcPr>
          <w:p w14:paraId="7AC132EB"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60CB58A8"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74151C8A"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68F4CF78"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12C819D2"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(12,117)</w:t>
            </w:r>
          </w:p>
        </w:tc>
        <w:tc>
          <w:tcPr>
            <w:tcW w:w="622" w:type="dxa"/>
            <w:tcBorders>
              <w:top w:val="nil"/>
              <w:left w:val="nil"/>
              <w:bottom w:val="nil"/>
              <w:right w:val="single" w:sz="4" w:space="0" w:color="auto"/>
            </w:tcBorders>
            <w:shd w:val="clear" w:color="auto" w:fill="auto"/>
            <w:noWrap/>
            <w:vAlign w:val="bottom"/>
            <w:hideMark/>
          </w:tcPr>
          <w:p w14:paraId="21933DFF" w14:textId="77777777" w:rsidR="007745A7" w:rsidRPr="007745A7" w:rsidRDefault="007745A7" w:rsidP="007745A7">
            <w:pPr>
              <w:jc w:val="right"/>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12</w:t>
            </w:r>
          </w:p>
        </w:tc>
      </w:tr>
      <w:tr w:rsidR="007745A7" w:rsidRPr="007745A7" w14:paraId="78BCFB53"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1F51CCD0"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5366" w:type="dxa"/>
            <w:gridSpan w:val="5"/>
            <w:tcBorders>
              <w:top w:val="nil"/>
              <w:left w:val="nil"/>
              <w:bottom w:val="nil"/>
              <w:right w:val="nil"/>
            </w:tcBorders>
            <w:shd w:val="clear" w:color="auto" w:fill="auto"/>
            <w:noWrap/>
            <w:vAlign w:val="bottom"/>
            <w:hideMark/>
          </w:tcPr>
          <w:p w14:paraId="202B07EE"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Profit and losses on disposal of investments and</w:t>
            </w:r>
          </w:p>
        </w:tc>
        <w:tc>
          <w:tcPr>
            <w:tcW w:w="1361" w:type="dxa"/>
            <w:tcBorders>
              <w:top w:val="nil"/>
              <w:left w:val="nil"/>
              <w:bottom w:val="nil"/>
              <w:right w:val="nil"/>
            </w:tcBorders>
            <w:shd w:val="clear" w:color="auto" w:fill="auto"/>
            <w:noWrap/>
            <w:vAlign w:val="bottom"/>
            <w:hideMark/>
          </w:tcPr>
          <w:p w14:paraId="2DDBEA10" w14:textId="77777777" w:rsidR="007745A7" w:rsidRPr="007745A7" w:rsidRDefault="007745A7" w:rsidP="007745A7">
            <w:pPr>
              <w:rPr>
                <w:rFonts w:ascii="Arial" w:hAnsi="Arial" w:cs="Arial"/>
                <w:sz w:val="22"/>
                <w:szCs w:val="22"/>
                <w:lang w:val="en-GB" w:eastAsia="en-GB"/>
              </w:rPr>
            </w:pPr>
          </w:p>
        </w:tc>
        <w:tc>
          <w:tcPr>
            <w:tcW w:w="1000" w:type="dxa"/>
            <w:tcBorders>
              <w:top w:val="nil"/>
              <w:left w:val="nil"/>
              <w:bottom w:val="nil"/>
              <w:right w:val="nil"/>
            </w:tcBorders>
            <w:shd w:val="clear" w:color="auto" w:fill="auto"/>
            <w:noWrap/>
            <w:vAlign w:val="bottom"/>
            <w:hideMark/>
          </w:tcPr>
          <w:p w14:paraId="68AF2EEB"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23A7D5AC"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2540622E" w14:textId="77777777" w:rsidTr="007745A7">
        <w:trPr>
          <w:trHeight w:val="300"/>
        </w:trPr>
        <w:tc>
          <w:tcPr>
            <w:tcW w:w="1001" w:type="dxa"/>
            <w:tcBorders>
              <w:top w:val="nil"/>
              <w:left w:val="single" w:sz="4" w:space="0" w:color="auto"/>
              <w:bottom w:val="nil"/>
              <w:right w:val="nil"/>
            </w:tcBorders>
            <w:shd w:val="clear" w:color="auto" w:fill="auto"/>
            <w:noWrap/>
            <w:vAlign w:val="center"/>
            <w:hideMark/>
          </w:tcPr>
          <w:p w14:paraId="0502A92D"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(64,454)</w:t>
            </w:r>
          </w:p>
        </w:tc>
        <w:tc>
          <w:tcPr>
            <w:tcW w:w="4293" w:type="dxa"/>
            <w:gridSpan w:val="4"/>
            <w:tcBorders>
              <w:top w:val="nil"/>
              <w:left w:val="nil"/>
              <w:bottom w:val="nil"/>
              <w:right w:val="nil"/>
            </w:tcBorders>
            <w:shd w:val="clear" w:color="auto" w:fill="auto"/>
            <w:noWrap/>
            <w:vAlign w:val="center"/>
            <w:hideMark/>
          </w:tcPr>
          <w:p w14:paraId="5220C6F0"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changes in value of investments</w:t>
            </w:r>
          </w:p>
        </w:tc>
        <w:tc>
          <w:tcPr>
            <w:tcW w:w="1073" w:type="dxa"/>
            <w:tcBorders>
              <w:top w:val="nil"/>
              <w:left w:val="nil"/>
              <w:bottom w:val="nil"/>
              <w:right w:val="nil"/>
            </w:tcBorders>
            <w:shd w:val="clear" w:color="auto" w:fill="auto"/>
            <w:noWrap/>
            <w:vAlign w:val="center"/>
            <w:hideMark/>
          </w:tcPr>
          <w:p w14:paraId="4E7CC9BE" w14:textId="77777777" w:rsidR="007745A7" w:rsidRPr="007745A7" w:rsidRDefault="007745A7" w:rsidP="007745A7">
            <w:pPr>
              <w:rPr>
                <w:rFonts w:ascii="Arial" w:hAnsi="Arial" w:cs="Arial"/>
                <w:sz w:val="22"/>
                <w:szCs w:val="22"/>
                <w:lang w:val="en-GB" w:eastAsia="en-GB"/>
              </w:rPr>
            </w:pPr>
          </w:p>
        </w:tc>
        <w:tc>
          <w:tcPr>
            <w:tcW w:w="1361" w:type="dxa"/>
            <w:tcBorders>
              <w:top w:val="nil"/>
              <w:left w:val="nil"/>
              <w:bottom w:val="nil"/>
              <w:right w:val="nil"/>
            </w:tcBorders>
            <w:shd w:val="clear" w:color="auto" w:fill="auto"/>
            <w:noWrap/>
            <w:vAlign w:val="center"/>
            <w:hideMark/>
          </w:tcPr>
          <w:p w14:paraId="24544EB9"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515CDABC"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54,311 </w:t>
            </w:r>
          </w:p>
        </w:tc>
        <w:tc>
          <w:tcPr>
            <w:tcW w:w="622" w:type="dxa"/>
            <w:tcBorders>
              <w:top w:val="nil"/>
              <w:left w:val="nil"/>
              <w:bottom w:val="nil"/>
              <w:right w:val="single" w:sz="4" w:space="0" w:color="auto"/>
            </w:tcBorders>
            <w:shd w:val="clear" w:color="auto" w:fill="auto"/>
            <w:noWrap/>
            <w:vAlign w:val="bottom"/>
            <w:hideMark/>
          </w:tcPr>
          <w:p w14:paraId="72403BBB" w14:textId="77777777" w:rsidR="007745A7" w:rsidRPr="007745A7" w:rsidRDefault="007745A7" w:rsidP="007745A7">
            <w:pPr>
              <w:jc w:val="right"/>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13a</w:t>
            </w:r>
          </w:p>
        </w:tc>
      </w:tr>
      <w:tr w:rsidR="007745A7" w:rsidRPr="007745A7" w14:paraId="75A508F4"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32035242"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074" w:type="dxa"/>
            <w:tcBorders>
              <w:top w:val="nil"/>
              <w:left w:val="nil"/>
              <w:bottom w:val="nil"/>
              <w:right w:val="nil"/>
            </w:tcBorders>
            <w:shd w:val="clear" w:color="auto" w:fill="auto"/>
            <w:noWrap/>
            <w:vAlign w:val="bottom"/>
            <w:hideMark/>
          </w:tcPr>
          <w:p w14:paraId="447775C2"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35ED6DC4"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7098CD52"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3109A9D1"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5AC48779"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408E10E9"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252BA053"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15B2564A"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6EEF54F9" w14:textId="77777777" w:rsidTr="007745A7">
        <w:trPr>
          <w:trHeight w:val="300"/>
        </w:trPr>
        <w:tc>
          <w:tcPr>
            <w:tcW w:w="1001" w:type="dxa"/>
            <w:tcBorders>
              <w:top w:val="single" w:sz="4" w:space="0" w:color="auto"/>
              <w:left w:val="single" w:sz="4" w:space="0" w:color="auto"/>
              <w:bottom w:val="single" w:sz="4" w:space="0" w:color="auto"/>
              <w:right w:val="nil"/>
            </w:tcBorders>
            <w:shd w:val="clear" w:color="auto" w:fill="auto"/>
            <w:noWrap/>
            <w:vAlign w:val="bottom"/>
            <w:hideMark/>
          </w:tcPr>
          <w:p w14:paraId="5755820F" w14:textId="77777777" w:rsidR="007745A7" w:rsidRPr="007745A7" w:rsidRDefault="007745A7" w:rsidP="007745A7">
            <w:pPr>
              <w:jc w:val="right"/>
              <w:rPr>
                <w:rFonts w:ascii="Arial" w:hAnsi="Arial" w:cs="Arial"/>
                <w:b/>
                <w:bCs/>
                <w:sz w:val="22"/>
                <w:szCs w:val="22"/>
                <w:lang w:val="en-GB" w:eastAsia="en-GB"/>
              </w:rPr>
            </w:pPr>
            <w:r w:rsidRPr="007745A7">
              <w:rPr>
                <w:rFonts w:ascii="Arial" w:hAnsi="Arial" w:cs="Arial"/>
                <w:b/>
                <w:bCs/>
                <w:sz w:val="22"/>
                <w:szCs w:val="22"/>
                <w:lang w:val="en-GB" w:eastAsia="en-GB"/>
              </w:rPr>
              <w:t xml:space="preserve">   (73,300)</w:t>
            </w:r>
          </w:p>
        </w:tc>
        <w:tc>
          <w:tcPr>
            <w:tcW w:w="3220" w:type="dxa"/>
            <w:gridSpan w:val="3"/>
            <w:tcBorders>
              <w:top w:val="nil"/>
              <w:left w:val="nil"/>
              <w:bottom w:val="nil"/>
              <w:right w:val="nil"/>
            </w:tcBorders>
            <w:shd w:val="clear" w:color="auto" w:fill="auto"/>
            <w:noWrap/>
            <w:vAlign w:val="bottom"/>
            <w:hideMark/>
          </w:tcPr>
          <w:p w14:paraId="066B5863"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Net return on investments</w:t>
            </w:r>
          </w:p>
        </w:tc>
        <w:tc>
          <w:tcPr>
            <w:tcW w:w="1073" w:type="dxa"/>
            <w:tcBorders>
              <w:top w:val="nil"/>
              <w:left w:val="nil"/>
              <w:bottom w:val="nil"/>
              <w:right w:val="nil"/>
            </w:tcBorders>
            <w:shd w:val="clear" w:color="auto" w:fill="auto"/>
            <w:noWrap/>
            <w:vAlign w:val="bottom"/>
            <w:hideMark/>
          </w:tcPr>
          <w:p w14:paraId="5F2A86C2" w14:textId="77777777" w:rsidR="007745A7" w:rsidRPr="007745A7" w:rsidRDefault="007745A7" w:rsidP="007745A7">
            <w:pPr>
              <w:rPr>
                <w:rFonts w:ascii="Arial" w:hAnsi="Arial" w:cs="Arial"/>
                <w:b/>
                <w:bCs/>
                <w:sz w:val="22"/>
                <w:szCs w:val="22"/>
                <w:lang w:val="en-GB" w:eastAsia="en-GB"/>
              </w:rPr>
            </w:pPr>
          </w:p>
        </w:tc>
        <w:tc>
          <w:tcPr>
            <w:tcW w:w="1073" w:type="dxa"/>
            <w:tcBorders>
              <w:top w:val="nil"/>
              <w:left w:val="nil"/>
              <w:bottom w:val="nil"/>
              <w:right w:val="nil"/>
            </w:tcBorders>
            <w:shd w:val="clear" w:color="auto" w:fill="auto"/>
            <w:noWrap/>
            <w:vAlign w:val="bottom"/>
            <w:hideMark/>
          </w:tcPr>
          <w:p w14:paraId="7D80B489"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4D9AF9D5" w14:textId="77777777" w:rsidR="007745A7" w:rsidRPr="007745A7" w:rsidRDefault="007745A7" w:rsidP="007745A7">
            <w:pPr>
              <w:rPr>
                <w:lang w:val="en-GB" w:eastAsia="en-GB"/>
              </w:rPr>
            </w:pPr>
          </w:p>
        </w:tc>
        <w:tc>
          <w:tcPr>
            <w:tcW w:w="1000" w:type="dxa"/>
            <w:tcBorders>
              <w:top w:val="single" w:sz="4" w:space="0" w:color="auto"/>
              <w:left w:val="nil"/>
              <w:bottom w:val="single" w:sz="4" w:space="0" w:color="auto"/>
              <w:right w:val="nil"/>
            </w:tcBorders>
            <w:shd w:val="clear" w:color="auto" w:fill="auto"/>
            <w:noWrap/>
            <w:vAlign w:val="bottom"/>
            <w:hideMark/>
          </w:tcPr>
          <w:p w14:paraId="4D6F4934" w14:textId="77777777" w:rsidR="007745A7" w:rsidRPr="007745A7" w:rsidRDefault="007745A7" w:rsidP="007745A7">
            <w:pPr>
              <w:jc w:val="right"/>
              <w:rPr>
                <w:rFonts w:ascii="Arial" w:hAnsi="Arial" w:cs="Arial"/>
                <w:b/>
                <w:bCs/>
                <w:sz w:val="22"/>
                <w:szCs w:val="22"/>
                <w:lang w:val="en-GB" w:eastAsia="en-GB"/>
              </w:rPr>
            </w:pPr>
            <w:r w:rsidRPr="007745A7">
              <w:rPr>
                <w:rFonts w:ascii="Arial" w:hAnsi="Arial" w:cs="Arial"/>
                <w:b/>
                <w:bCs/>
                <w:sz w:val="22"/>
                <w:szCs w:val="22"/>
                <w:lang w:val="en-GB" w:eastAsia="en-GB"/>
              </w:rPr>
              <w:t xml:space="preserve">     42,194 </w:t>
            </w:r>
          </w:p>
        </w:tc>
        <w:tc>
          <w:tcPr>
            <w:tcW w:w="622" w:type="dxa"/>
            <w:tcBorders>
              <w:top w:val="nil"/>
              <w:left w:val="nil"/>
              <w:bottom w:val="nil"/>
              <w:right w:val="single" w:sz="4" w:space="0" w:color="auto"/>
            </w:tcBorders>
            <w:shd w:val="clear" w:color="auto" w:fill="auto"/>
            <w:noWrap/>
            <w:vAlign w:val="bottom"/>
            <w:hideMark/>
          </w:tcPr>
          <w:p w14:paraId="41582E27"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31DC3705"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6E9BC73F"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074" w:type="dxa"/>
            <w:tcBorders>
              <w:top w:val="nil"/>
              <w:left w:val="nil"/>
              <w:bottom w:val="nil"/>
              <w:right w:val="nil"/>
            </w:tcBorders>
            <w:shd w:val="clear" w:color="auto" w:fill="auto"/>
            <w:noWrap/>
            <w:vAlign w:val="bottom"/>
            <w:hideMark/>
          </w:tcPr>
          <w:p w14:paraId="6937A037"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160A4037"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224E367B"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2D8CBE83"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0B75796A"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34BF9879"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35491FF1"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515B2D0D"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2EB36086"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683798D9"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6727" w:type="dxa"/>
            <w:gridSpan w:val="6"/>
            <w:tcBorders>
              <w:top w:val="nil"/>
              <w:left w:val="nil"/>
              <w:bottom w:val="nil"/>
              <w:right w:val="nil"/>
            </w:tcBorders>
            <w:shd w:val="clear" w:color="auto" w:fill="auto"/>
            <w:noWrap/>
            <w:vAlign w:val="bottom"/>
            <w:hideMark/>
          </w:tcPr>
          <w:p w14:paraId="37EFBB76"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 xml:space="preserve">Net increase/(decrease) in the net assets available </w:t>
            </w:r>
          </w:p>
        </w:tc>
        <w:tc>
          <w:tcPr>
            <w:tcW w:w="1000" w:type="dxa"/>
            <w:tcBorders>
              <w:top w:val="nil"/>
              <w:left w:val="nil"/>
              <w:bottom w:val="nil"/>
              <w:right w:val="nil"/>
            </w:tcBorders>
            <w:shd w:val="clear" w:color="auto" w:fill="auto"/>
            <w:noWrap/>
            <w:vAlign w:val="bottom"/>
            <w:hideMark/>
          </w:tcPr>
          <w:p w14:paraId="02F776A9" w14:textId="77777777" w:rsidR="007745A7" w:rsidRPr="007745A7" w:rsidRDefault="007745A7" w:rsidP="007745A7">
            <w:pPr>
              <w:rPr>
                <w:rFonts w:ascii="Arial" w:hAnsi="Arial" w:cs="Arial"/>
                <w:b/>
                <w:bCs/>
                <w:sz w:val="22"/>
                <w:szCs w:val="22"/>
                <w:lang w:val="en-GB" w:eastAsia="en-GB"/>
              </w:rPr>
            </w:pPr>
          </w:p>
        </w:tc>
        <w:tc>
          <w:tcPr>
            <w:tcW w:w="622" w:type="dxa"/>
            <w:tcBorders>
              <w:top w:val="nil"/>
              <w:left w:val="nil"/>
              <w:bottom w:val="nil"/>
              <w:right w:val="single" w:sz="4" w:space="0" w:color="auto"/>
            </w:tcBorders>
            <w:shd w:val="clear" w:color="auto" w:fill="auto"/>
            <w:noWrap/>
            <w:vAlign w:val="bottom"/>
            <w:hideMark/>
          </w:tcPr>
          <w:p w14:paraId="6A8FEE3C"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49F85499"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328AAE4D"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(49,800)</w:t>
            </w:r>
          </w:p>
        </w:tc>
        <w:tc>
          <w:tcPr>
            <w:tcW w:w="4293" w:type="dxa"/>
            <w:gridSpan w:val="4"/>
            <w:tcBorders>
              <w:top w:val="nil"/>
              <w:left w:val="nil"/>
              <w:bottom w:val="nil"/>
              <w:right w:val="nil"/>
            </w:tcBorders>
            <w:shd w:val="clear" w:color="auto" w:fill="auto"/>
            <w:noWrap/>
            <w:vAlign w:val="bottom"/>
            <w:hideMark/>
          </w:tcPr>
          <w:p w14:paraId="0D4D8D9A"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for benefits during the year</w:t>
            </w:r>
          </w:p>
        </w:tc>
        <w:tc>
          <w:tcPr>
            <w:tcW w:w="1073" w:type="dxa"/>
            <w:tcBorders>
              <w:top w:val="nil"/>
              <w:left w:val="nil"/>
              <w:bottom w:val="nil"/>
              <w:right w:val="nil"/>
            </w:tcBorders>
            <w:shd w:val="clear" w:color="auto" w:fill="auto"/>
            <w:noWrap/>
            <w:vAlign w:val="bottom"/>
            <w:hideMark/>
          </w:tcPr>
          <w:p w14:paraId="733E0750" w14:textId="77777777" w:rsidR="007745A7" w:rsidRPr="007745A7" w:rsidRDefault="007745A7" w:rsidP="007745A7">
            <w:pPr>
              <w:rPr>
                <w:rFonts w:ascii="Arial" w:hAnsi="Arial" w:cs="Arial"/>
                <w:b/>
                <w:bCs/>
                <w:sz w:val="22"/>
                <w:szCs w:val="22"/>
                <w:lang w:val="en-GB" w:eastAsia="en-GB"/>
              </w:rPr>
            </w:pPr>
          </w:p>
        </w:tc>
        <w:tc>
          <w:tcPr>
            <w:tcW w:w="1361" w:type="dxa"/>
            <w:tcBorders>
              <w:top w:val="nil"/>
              <w:left w:val="nil"/>
              <w:bottom w:val="nil"/>
              <w:right w:val="nil"/>
            </w:tcBorders>
            <w:shd w:val="clear" w:color="auto" w:fill="auto"/>
            <w:noWrap/>
            <w:vAlign w:val="bottom"/>
            <w:hideMark/>
          </w:tcPr>
          <w:p w14:paraId="2DAB7502"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25B4ABC3"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67,562 </w:t>
            </w:r>
          </w:p>
        </w:tc>
        <w:tc>
          <w:tcPr>
            <w:tcW w:w="622" w:type="dxa"/>
            <w:tcBorders>
              <w:top w:val="nil"/>
              <w:left w:val="nil"/>
              <w:bottom w:val="nil"/>
              <w:right w:val="single" w:sz="4" w:space="0" w:color="auto"/>
            </w:tcBorders>
            <w:shd w:val="clear" w:color="auto" w:fill="auto"/>
            <w:noWrap/>
            <w:vAlign w:val="bottom"/>
            <w:hideMark/>
          </w:tcPr>
          <w:p w14:paraId="1F2E301C"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14F262BF"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56D254C9"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074" w:type="dxa"/>
            <w:tcBorders>
              <w:top w:val="nil"/>
              <w:left w:val="nil"/>
              <w:bottom w:val="nil"/>
              <w:right w:val="nil"/>
            </w:tcBorders>
            <w:shd w:val="clear" w:color="auto" w:fill="auto"/>
            <w:noWrap/>
            <w:vAlign w:val="bottom"/>
            <w:hideMark/>
          </w:tcPr>
          <w:p w14:paraId="5E0B8FBD"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7C963500"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297C3E0F"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1E657F12"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36C8A32A"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4A2862FD"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0A6A70DC"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30785F72"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3AEBA89A"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31C2F40F"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(880,268)</w:t>
            </w:r>
          </w:p>
        </w:tc>
        <w:tc>
          <w:tcPr>
            <w:tcW w:w="4293" w:type="dxa"/>
            <w:gridSpan w:val="4"/>
            <w:tcBorders>
              <w:top w:val="nil"/>
              <w:left w:val="nil"/>
              <w:bottom w:val="nil"/>
              <w:right w:val="nil"/>
            </w:tcBorders>
            <w:shd w:val="clear" w:color="auto" w:fill="auto"/>
            <w:noWrap/>
            <w:vAlign w:val="bottom"/>
            <w:hideMark/>
          </w:tcPr>
          <w:p w14:paraId="1F199F8B"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Opening net assets of the scheme</w:t>
            </w:r>
          </w:p>
        </w:tc>
        <w:tc>
          <w:tcPr>
            <w:tcW w:w="1073" w:type="dxa"/>
            <w:tcBorders>
              <w:top w:val="nil"/>
              <w:left w:val="nil"/>
              <w:bottom w:val="nil"/>
              <w:right w:val="nil"/>
            </w:tcBorders>
            <w:shd w:val="clear" w:color="auto" w:fill="auto"/>
            <w:noWrap/>
            <w:vAlign w:val="bottom"/>
            <w:hideMark/>
          </w:tcPr>
          <w:p w14:paraId="350A64E6" w14:textId="77777777" w:rsidR="007745A7" w:rsidRPr="007745A7" w:rsidRDefault="007745A7" w:rsidP="007745A7">
            <w:pPr>
              <w:rPr>
                <w:rFonts w:ascii="Arial" w:hAnsi="Arial" w:cs="Arial"/>
                <w:b/>
                <w:bCs/>
                <w:sz w:val="22"/>
                <w:szCs w:val="22"/>
                <w:lang w:val="en-GB" w:eastAsia="en-GB"/>
              </w:rPr>
            </w:pPr>
          </w:p>
        </w:tc>
        <w:tc>
          <w:tcPr>
            <w:tcW w:w="1361" w:type="dxa"/>
            <w:tcBorders>
              <w:top w:val="nil"/>
              <w:left w:val="nil"/>
              <w:bottom w:val="nil"/>
              <w:right w:val="nil"/>
            </w:tcBorders>
            <w:shd w:val="clear" w:color="auto" w:fill="auto"/>
            <w:noWrap/>
            <w:vAlign w:val="bottom"/>
            <w:hideMark/>
          </w:tcPr>
          <w:p w14:paraId="6ACD9761"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6C355D8B"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(930,068)</w:t>
            </w:r>
          </w:p>
        </w:tc>
        <w:tc>
          <w:tcPr>
            <w:tcW w:w="622" w:type="dxa"/>
            <w:tcBorders>
              <w:top w:val="nil"/>
              <w:left w:val="nil"/>
              <w:bottom w:val="nil"/>
              <w:right w:val="single" w:sz="4" w:space="0" w:color="auto"/>
            </w:tcBorders>
            <w:shd w:val="clear" w:color="auto" w:fill="auto"/>
            <w:noWrap/>
            <w:vAlign w:val="bottom"/>
            <w:hideMark/>
          </w:tcPr>
          <w:p w14:paraId="5652A0B2"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653D4935" w14:textId="77777777" w:rsidTr="007745A7">
        <w:trPr>
          <w:trHeight w:val="300"/>
        </w:trPr>
        <w:tc>
          <w:tcPr>
            <w:tcW w:w="1001" w:type="dxa"/>
            <w:tcBorders>
              <w:top w:val="nil"/>
              <w:left w:val="single" w:sz="4" w:space="0" w:color="auto"/>
              <w:bottom w:val="nil"/>
              <w:right w:val="nil"/>
            </w:tcBorders>
            <w:shd w:val="clear" w:color="auto" w:fill="auto"/>
            <w:noWrap/>
            <w:vAlign w:val="bottom"/>
            <w:hideMark/>
          </w:tcPr>
          <w:p w14:paraId="7DAFF0E9"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074" w:type="dxa"/>
            <w:tcBorders>
              <w:top w:val="nil"/>
              <w:left w:val="nil"/>
              <w:bottom w:val="nil"/>
              <w:right w:val="nil"/>
            </w:tcBorders>
            <w:shd w:val="clear" w:color="auto" w:fill="auto"/>
            <w:noWrap/>
            <w:vAlign w:val="bottom"/>
            <w:hideMark/>
          </w:tcPr>
          <w:p w14:paraId="61BA1A19" w14:textId="77777777" w:rsidR="007745A7" w:rsidRPr="007745A7" w:rsidRDefault="007745A7" w:rsidP="007745A7">
            <w:pPr>
              <w:rPr>
                <w:rFonts w:ascii="Arial" w:hAnsi="Arial" w:cs="Arial"/>
                <w:sz w:val="22"/>
                <w:szCs w:val="22"/>
                <w:lang w:val="en-GB" w:eastAsia="en-GB"/>
              </w:rPr>
            </w:pPr>
          </w:p>
        </w:tc>
        <w:tc>
          <w:tcPr>
            <w:tcW w:w="1073" w:type="dxa"/>
            <w:tcBorders>
              <w:top w:val="nil"/>
              <w:left w:val="nil"/>
              <w:bottom w:val="nil"/>
              <w:right w:val="nil"/>
            </w:tcBorders>
            <w:shd w:val="clear" w:color="auto" w:fill="auto"/>
            <w:noWrap/>
            <w:vAlign w:val="bottom"/>
            <w:hideMark/>
          </w:tcPr>
          <w:p w14:paraId="3B8809DF"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6CEF9337"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3DEF91B4" w14:textId="77777777" w:rsidR="007745A7" w:rsidRPr="007745A7" w:rsidRDefault="007745A7" w:rsidP="007745A7">
            <w:pPr>
              <w:rPr>
                <w:lang w:val="en-GB" w:eastAsia="en-GB"/>
              </w:rPr>
            </w:pPr>
          </w:p>
        </w:tc>
        <w:tc>
          <w:tcPr>
            <w:tcW w:w="1073" w:type="dxa"/>
            <w:tcBorders>
              <w:top w:val="nil"/>
              <w:left w:val="nil"/>
              <w:bottom w:val="nil"/>
              <w:right w:val="nil"/>
            </w:tcBorders>
            <w:shd w:val="clear" w:color="auto" w:fill="auto"/>
            <w:noWrap/>
            <w:vAlign w:val="bottom"/>
            <w:hideMark/>
          </w:tcPr>
          <w:p w14:paraId="2AB56F73" w14:textId="77777777" w:rsidR="007745A7" w:rsidRPr="007745A7" w:rsidRDefault="007745A7" w:rsidP="007745A7">
            <w:pPr>
              <w:rPr>
                <w:lang w:val="en-GB" w:eastAsia="en-GB"/>
              </w:rPr>
            </w:pPr>
          </w:p>
        </w:tc>
        <w:tc>
          <w:tcPr>
            <w:tcW w:w="1361" w:type="dxa"/>
            <w:tcBorders>
              <w:top w:val="nil"/>
              <w:left w:val="nil"/>
              <w:bottom w:val="nil"/>
              <w:right w:val="nil"/>
            </w:tcBorders>
            <w:shd w:val="clear" w:color="auto" w:fill="auto"/>
            <w:noWrap/>
            <w:vAlign w:val="bottom"/>
            <w:hideMark/>
          </w:tcPr>
          <w:p w14:paraId="0D814614" w14:textId="77777777" w:rsidR="007745A7" w:rsidRPr="007745A7" w:rsidRDefault="007745A7" w:rsidP="007745A7">
            <w:pPr>
              <w:rPr>
                <w:lang w:val="en-GB" w:eastAsia="en-GB"/>
              </w:rPr>
            </w:pPr>
          </w:p>
        </w:tc>
        <w:tc>
          <w:tcPr>
            <w:tcW w:w="1000" w:type="dxa"/>
            <w:tcBorders>
              <w:top w:val="nil"/>
              <w:left w:val="nil"/>
              <w:bottom w:val="nil"/>
              <w:right w:val="nil"/>
            </w:tcBorders>
            <w:shd w:val="clear" w:color="auto" w:fill="auto"/>
            <w:noWrap/>
            <w:vAlign w:val="bottom"/>
            <w:hideMark/>
          </w:tcPr>
          <w:p w14:paraId="336A22B1" w14:textId="77777777" w:rsidR="007745A7" w:rsidRPr="007745A7" w:rsidRDefault="007745A7" w:rsidP="007745A7">
            <w:pPr>
              <w:rPr>
                <w:lang w:val="en-GB" w:eastAsia="en-GB"/>
              </w:rPr>
            </w:pPr>
          </w:p>
        </w:tc>
        <w:tc>
          <w:tcPr>
            <w:tcW w:w="622" w:type="dxa"/>
            <w:tcBorders>
              <w:top w:val="nil"/>
              <w:left w:val="nil"/>
              <w:bottom w:val="nil"/>
              <w:right w:val="single" w:sz="4" w:space="0" w:color="auto"/>
            </w:tcBorders>
            <w:shd w:val="clear" w:color="auto" w:fill="auto"/>
            <w:noWrap/>
            <w:vAlign w:val="bottom"/>
            <w:hideMark/>
          </w:tcPr>
          <w:p w14:paraId="09C1A756"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r w:rsidR="007745A7" w:rsidRPr="007745A7" w14:paraId="3BFEBD2E" w14:textId="77777777" w:rsidTr="007745A7">
        <w:trPr>
          <w:trHeight w:val="300"/>
        </w:trPr>
        <w:tc>
          <w:tcPr>
            <w:tcW w:w="1001" w:type="dxa"/>
            <w:tcBorders>
              <w:top w:val="single" w:sz="4" w:space="0" w:color="auto"/>
              <w:left w:val="single" w:sz="4" w:space="0" w:color="auto"/>
              <w:bottom w:val="single" w:sz="4" w:space="0" w:color="auto"/>
              <w:right w:val="nil"/>
            </w:tcBorders>
            <w:shd w:val="clear" w:color="auto" w:fill="auto"/>
            <w:noWrap/>
            <w:vAlign w:val="bottom"/>
            <w:hideMark/>
          </w:tcPr>
          <w:p w14:paraId="7B2E7494"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 xml:space="preserve"> (930,068)</w:t>
            </w:r>
          </w:p>
        </w:tc>
        <w:tc>
          <w:tcPr>
            <w:tcW w:w="4293" w:type="dxa"/>
            <w:gridSpan w:val="4"/>
            <w:tcBorders>
              <w:top w:val="nil"/>
              <w:left w:val="nil"/>
              <w:bottom w:val="single" w:sz="4" w:space="0" w:color="auto"/>
              <w:right w:val="nil"/>
            </w:tcBorders>
            <w:shd w:val="clear" w:color="auto" w:fill="auto"/>
            <w:noWrap/>
            <w:vAlign w:val="bottom"/>
            <w:hideMark/>
          </w:tcPr>
          <w:p w14:paraId="403B5B69"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Closing net assets of the scheme</w:t>
            </w:r>
          </w:p>
        </w:tc>
        <w:tc>
          <w:tcPr>
            <w:tcW w:w="1073" w:type="dxa"/>
            <w:tcBorders>
              <w:top w:val="nil"/>
              <w:left w:val="nil"/>
              <w:bottom w:val="single" w:sz="4" w:space="0" w:color="auto"/>
              <w:right w:val="nil"/>
            </w:tcBorders>
            <w:shd w:val="clear" w:color="auto" w:fill="auto"/>
            <w:noWrap/>
            <w:vAlign w:val="bottom"/>
            <w:hideMark/>
          </w:tcPr>
          <w:p w14:paraId="402E988C"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361" w:type="dxa"/>
            <w:tcBorders>
              <w:top w:val="nil"/>
              <w:left w:val="nil"/>
              <w:bottom w:val="single" w:sz="4" w:space="0" w:color="auto"/>
              <w:right w:val="nil"/>
            </w:tcBorders>
            <w:shd w:val="clear" w:color="auto" w:fill="auto"/>
            <w:noWrap/>
            <w:vAlign w:val="bottom"/>
            <w:hideMark/>
          </w:tcPr>
          <w:p w14:paraId="569EFEB0"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1000" w:type="dxa"/>
            <w:tcBorders>
              <w:top w:val="single" w:sz="4" w:space="0" w:color="auto"/>
              <w:left w:val="nil"/>
              <w:bottom w:val="single" w:sz="4" w:space="0" w:color="auto"/>
              <w:right w:val="nil"/>
            </w:tcBorders>
            <w:shd w:val="clear" w:color="auto" w:fill="auto"/>
            <w:noWrap/>
            <w:vAlign w:val="bottom"/>
            <w:hideMark/>
          </w:tcPr>
          <w:p w14:paraId="2C9D78E2"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 xml:space="preserve"> (862,506)</w:t>
            </w:r>
          </w:p>
        </w:tc>
        <w:tc>
          <w:tcPr>
            <w:tcW w:w="622" w:type="dxa"/>
            <w:tcBorders>
              <w:top w:val="nil"/>
              <w:left w:val="nil"/>
              <w:bottom w:val="single" w:sz="4" w:space="0" w:color="auto"/>
              <w:right w:val="single" w:sz="4" w:space="0" w:color="auto"/>
            </w:tcBorders>
            <w:shd w:val="clear" w:color="auto" w:fill="auto"/>
            <w:noWrap/>
            <w:vAlign w:val="bottom"/>
            <w:hideMark/>
          </w:tcPr>
          <w:p w14:paraId="303352DD" w14:textId="77777777" w:rsidR="007745A7" w:rsidRPr="007745A7" w:rsidRDefault="007745A7" w:rsidP="007745A7">
            <w:pPr>
              <w:rPr>
                <w:rFonts w:ascii="Calibri" w:hAnsi="Calibri" w:cs="Calibri"/>
                <w:color w:val="000000"/>
                <w:sz w:val="22"/>
                <w:szCs w:val="22"/>
                <w:lang w:val="en-GB" w:eastAsia="en-GB"/>
              </w:rPr>
            </w:pPr>
            <w:r w:rsidRPr="007745A7">
              <w:rPr>
                <w:rFonts w:ascii="Calibri" w:hAnsi="Calibri" w:cs="Calibri"/>
                <w:color w:val="000000"/>
                <w:sz w:val="22"/>
                <w:szCs w:val="22"/>
                <w:lang w:val="en-GB" w:eastAsia="en-GB"/>
              </w:rPr>
              <w:t> </w:t>
            </w:r>
          </w:p>
        </w:tc>
      </w:tr>
    </w:tbl>
    <w:p w14:paraId="65E4825B" w14:textId="77777777" w:rsidR="007745A7" w:rsidRDefault="007745A7" w:rsidP="0025435A">
      <w:pPr>
        <w:spacing w:after="120" w:line="276" w:lineRule="auto"/>
        <w:ind w:right="74"/>
        <w:jc w:val="both"/>
        <w:rPr>
          <w:rFonts w:ascii="Arial" w:eastAsia="Arial" w:hAnsi="Arial" w:cs="Arial"/>
          <w:b/>
          <w:bCs/>
          <w:spacing w:val="3"/>
          <w:sz w:val="22"/>
          <w:szCs w:val="22"/>
        </w:rPr>
      </w:pPr>
    </w:p>
    <w:p w14:paraId="13265F6B" w14:textId="77777777" w:rsidR="007745A7" w:rsidRPr="0025435A" w:rsidRDefault="007745A7" w:rsidP="0025435A">
      <w:pPr>
        <w:spacing w:after="120" w:line="276" w:lineRule="auto"/>
        <w:ind w:right="74"/>
        <w:jc w:val="both"/>
        <w:rPr>
          <w:rFonts w:ascii="Arial" w:eastAsia="Arial" w:hAnsi="Arial" w:cs="Arial"/>
          <w:b/>
          <w:bCs/>
          <w:spacing w:val="3"/>
          <w:sz w:val="22"/>
          <w:szCs w:val="22"/>
        </w:rPr>
      </w:pPr>
    </w:p>
    <w:p w14:paraId="359631C0" w14:textId="77777777" w:rsidR="007745A7" w:rsidRDefault="007745A7" w:rsidP="0025435A">
      <w:pPr>
        <w:spacing w:after="120" w:line="276" w:lineRule="auto"/>
        <w:ind w:right="74"/>
        <w:jc w:val="both"/>
        <w:rPr>
          <w:rFonts w:ascii="Arial" w:eastAsia="Arial" w:hAnsi="Arial" w:cs="Arial"/>
          <w:b/>
          <w:bCs/>
          <w:spacing w:val="3"/>
          <w:sz w:val="22"/>
          <w:szCs w:val="22"/>
        </w:rPr>
      </w:pPr>
    </w:p>
    <w:p w14:paraId="68026E7A" w14:textId="7EF91B38" w:rsidR="00BD17CA" w:rsidRDefault="0025435A" w:rsidP="0025435A">
      <w:pPr>
        <w:spacing w:after="120" w:line="276" w:lineRule="auto"/>
        <w:ind w:right="74"/>
        <w:jc w:val="both"/>
        <w:rPr>
          <w:rFonts w:ascii="Arial" w:eastAsia="Arial" w:hAnsi="Arial" w:cs="Arial"/>
          <w:b/>
          <w:bCs/>
          <w:spacing w:val="3"/>
          <w:sz w:val="22"/>
          <w:szCs w:val="22"/>
        </w:rPr>
      </w:pPr>
      <w:r w:rsidRPr="0025435A">
        <w:rPr>
          <w:rFonts w:ascii="Arial" w:eastAsia="Arial" w:hAnsi="Arial" w:cs="Arial"/>
          <w:b/>
          <w:bCs/>
          <w:spacing w:val="3"/>
          <w:sz w:val="22"/>
          <w:szCs w:val="22"/>
        </w:rPr>
        <w:lastRenderedPageBreak/>
        <w:t>NET ASSETS STATEMENT</w:t>
      </w:r>
    </w:p>
    <w:tbl>
      <w:tblPr>
        <w:tblW w:w="10300" w:type="dxa"/>
        <w:tblLook w:val="04A0" w:firstRow="1" w:lastRow="0" w:firstColumn="1" w:lastColumn="0" w:noHBand="0" w:noVBand="1"/>
      </w:tblPr>
      <w:tblGrid>
        <w:gridCol w:w="1140"/>
        <w:gridCol w:w="7160"/>
        <w:gridCol w:w="1040"/>
        <w:gridCol w:w="960"/>
      </w:tblGrid>
      <w:tr w:rsidR="007745A7" w:rsidRPr="007745A7" w14:paraId="213A8327" w14:textId="77777777" w:rsidTr="007745A7">
        <w:trPr>
          <w:trHeight w:val="300"/>
        </w:trPr>
        <w:tc>
          <w:tcPr>
            <w:tcW w:w="1140" w:type="dxa"/>
            <w:tcBorders>
              <w:top w:val="single" w:sz="4" w:space="0" w:color="auto"/>
              <w:left w:val="single" w:sz="4" w:space="0" w:color="auto"/>
              <w:bottom w:val="nil"/>
              <w:right w:val="single" w:sz="4" w:space="0" w:color="auto"/>
            </w:tcBorders>
            <w:shd w:val="clear" w:color="000000" w:fill="00CC99"/>
            <w:vAlign w:val="center"/>
            <w:hideMark/>
          </w:tcPr>
          <w:p w14:paraId="4096A392"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2018/19</w:t>
            </w:r>
          </w:p>
        </w:tc>
        <w:tc>
          <w:tcPr>
            <w:tcW w:w="7160" w:type="dxa"/>
            <w:tcBorders>
              <w:top w:val="single" w:sz="4" w:space="0" w:color="auto"/>
              <w:left w:val="nil"/>
              <w:bottom w:val="nil"/>
              <w:right w:val="single" w:sz="4" w:space="0" w:color="auto"/>
            </w:tcBorders>
            <w:shd w:val="clear" w:color="000000" w:fill="00CC99"/>
            <w:vAlign w:val="center"/>
            <w:hideMark/>
          </w:tcPr>
          <w:p w14:paraId="6E0DDC99"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40" w:type="dxa"/>
            <w:tcBorders>
              <w:top w:val="single" w:sz="4" w:space="0" w:color="auto"/>
              <w:left w:val="nil"/>
              <w:bottom w:val="nil"/>
              <w:right w:val="nil"/>
            </w:tcBorders>
            <w:shd w:val="clear" w:color="000000" w:fill="00CC99"/>
            <w:vAlign w:val="center"/>
            <w:hideMark/>
          </w:tcPr>
          <w:p w14:paraId="24D4BB24"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2019/20</w:t>
            </w:r>
          </w:p>
        </w:tc>
        <w:tc>
          <w:tcPr>
            <w:tcW w:w="960" w:type="dxa"/>
            <w:tcBorders>
              <w:top w:val="single" w:sz="4" w:space="0" w:color="auto"/>
              <w:left w:val="single" w:sz="4" w:space="0" w:color="auto"/>
              <w:bottom w:val="nil"/>
              <w:right w:val="single" w:sz="4" w:space="0" w:color="auto"/>
            </w:tcBorders>
            <w:shd w:val="clear" w:color="000000" w:fill="00CC99"/>
            <w:vAlign w:val="center"/>
            <w:hideMark/>
          </w:tcPr>
          <w:p w14:paraId="101C1ABD"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r>
      <w:tr w:rsidR="007745A7" w:rsidRPr="007745A7" w14:paraId="2E394CA8" w14:textId="77777777" w:rsidTr="007745A7">
        <w:trPr>
          <w:trHeight w:val="300"/>
        </w:trPr>
        <w:tc>
          <w:tcPr>
            <w:tcW w:w="1140" w:type="dxa"/>
            <w:tcBorders>
              <w:top w:val="nil"/>
              <w:left w:val="single" w:sz="4" w:space="0" w:color="auto"/>
              <w:bottom w:val="nil"/>
              <w:right w:val="single" w:sz="4" w:space="0" w:color="auto"/>
            </w:tcBorders>
            <w:shd w:val="clear" w:color="000000" w:fill="00CC99"/>
            <w:vAlign w:val="center"/>
            <w:hideMark/>
          </w:tcPr>
          <w:p w14:paraId="5CC63560"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7160" w:type="dxa"/>
            <w:tcBorders>
              <w:top w:val="nil"/>
              <w:left w:val="nil"/>
              <w:bottom w:val="nil"/>
              <w:right w:val="single" w:sz="4" w:space="0" w:color="auto"/>
            </w:tcBorders>
            <w:shd w:val="clear" w:color="000000" w:fill="00CC99"/>
            <w:noWrap/>
            <w:vAlign w:val="center"/>
            <w:hideMark/>
          </w:tcPr>
          <w:p w14:paraId="3AFA8548"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40" w:type="dxa"/>
            <w:tcBorders>
              <w:top w:val="nil"/>
              <w:left w:val="nil"/>
              <w:bottom w:val="nil"/>
              <w:right w:val="nil"/>
            </w:tcBorders>
            <w:shd w:val="clear" w:color="000000" w:fill="00CC99"/>
            <w:noWrap/>
            <w:vAlign w:val="center"/>
            <w:hideMark/>
          </w:tcPr>
          <w:p w14:paraId="37D7FA17"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960" w:type="dxa"/>
            <w:tcBorders>
              <w:top w:val="nil"/>
              <w:left w:val="single" w:sz="4" w:space="0" w:color="auto"/>
              <w:bottom w:val="nil"/>
              <w:right w:val="single" w:sz="4" w:space="0" w:color="auto"/>
            </w:tcBorders>
            <w:shd w:val="clear" w:color="000000" w:fill="00CC99"/>
            <w:vAlign w:val="center"/>
            <w:hideMark/>
          </w:tcPr>
          <w:p w14:paraId="73A22383"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Notes</w:t>
            </w:r>
          </w:p>
        </w:tc>
      </w:tr>
      <w:tr w:rsidR="007745A7" w:rsidRPr="007745A7" w14:paraId="608CBD76" w14:textId="77777777" w:rsidTr="007745A7">
        <w:trPr>
          <w:trHeight w:val="300"/>
        </w:trPr>
        <w:tc>
          <w:tcPr>
            <w:tcW w:w="1140" w:type="dxa"/>
            <w:tcBorders>
              <w:top w:val="nil"/>
              <w:left w:val="single" w:sz="4" w:space="0" w:color="auto"/>
              <w:bottom w:val="single" w:sz="4" w:space="0" w:color="auto"/>
              <w:right w:val="single" w:sz="4" w:space="0" w:color="auto"/>
            </w:tcBorders>
            <w:shd w:val="clear" w:color="000000" w:fill="00CC99"/>
            <w:vAlign w:val="center"/>
            <w:hideMark/>
          </w:tcPr>
          <w:p w14:paraId="673E8A71"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£'000</w:t>
            </w:r>
          </w:p>
        </w:tc>
        <w:tc>
          <w:tcPr>
            <w:tcW w:w="7160" w:type="dxa"/>
            <w:tcBorders>
              <w:top w:val="nil"/>
              <w:left w:val="nil"/>
              <w:bottom w:val="single" w:sz="4" w:space="0" w:color="auto"/>
              <w:right w:val="single" w:sz="4" w:space="0" w:color="auto"/>
            </w:tcBorders>
            <w:shd w:val="clear" w:color="000000" w:fill="00CC99"/>
            <w:vAlign w:val="center"/>
            <w:hideMark/>
          </w:tcPr>
          <w:p w14:paraId="655200D8"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c>
          <w:tcPr>
            <w:tcW w:w="1040" w:type="dxa"/>
            <w:tcBorders>
              <w:top w:val="nil"/>
              <w:left w:val="nil"/>
              <w:bottom w:val="single" w:sz="4" w:space="0" w:color="auto"/>
              <w:right w:val="single" w:sz="4" w:space="0" w:color="auto"/>
            </w:tcBorders>
            <w:shd w:val="clear" w:color="000000" w:fill="00CC99"/>
            <w:vAlign w:val="center"/>
            <w:hideMark/>
          </w:tcPr>
          <w:p w14:paraId="15F7389C"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£'000</w:t>
            </w:r>
          </w:p>
        </w:tc>
        <w:tc>
          <w:tcPr>
            <w:tcW w:w="960" w:type="dxa"/>
            <w:tcBorders>
              <w:top w:val="nil"/>
              <w:left w:val="nil"/>
              <w:bottom w:val="single" w:sz="4" w:space="0" w:color="auto"/>
              <w:right w:val="single" w:sz="4" w:space="0" w:color="auto"/>
            </w:tcBorders>
            <w:shd w:val="clear" w:color="000000" w:fill="00CC99"/>
            <w:vAlign w:val="center"/>
            <w:hideMark/>
          </w:tcPr>
          <w:p w14:paraId="48437FDB"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 </w:t>
            </w:r>
          </w:p>
        </w:tc>
      </w:tr>
      <w:tr w:rsidR="007745A7" w:rsidRPr="007745A7" w14:paraId="6C56E094" w14:textId="77777777" w:rsidTr="007745A7">
        <w:trPr>
          <w:trHeight w:val="300"/>
        </w:trPr>
        <w:tc>
          <w:tcPr>
            <w:tcW w:w="1140" w:type="dxa"/>
            <w:tcBorders>
              <w:top w:val="nil"/>
              <w:left w:val="single" w:sz="4" w:space="0" w:color="auto"/>
              <w:bottom w:val="nil"/>
              <w:right w:val="nil"/>
            </w:tcBorders>
            <w:shd w:val="clear" w:color="auto" w:fill="auto"/>
            <w:noWrap/>
            <w:vAlign w:val="bottom"/>
            <w:hideMark/>
          </w:tcPr>
          <w:p w14:paraId="124D4DF5"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7160" w:type="dxa"/>
            <w:tcBorders>
              <w:top w:val="nil"/>
              <w:left w:val="nil"/>
              <w:bottom w:val="nil"/>
              <w:right w:val="nil"/>
            </w:tcBorders>
            <w:shd w:val="clear" w:color="auto" w:fill="auto"/>
            <w:noWrap/>
            <w:vAlign w:val="bottom"/>
            <w:hideMark/>
          </w:tcPr>
          <w:p w14:paraId="3AB46DAC"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Investment assets</w:t>
            </w:r>
          </w:p>
        </w:tc>
        <w:tc>
          <w:tcPr>
            <w:tcW w:w="1040" w:type="dxa"/>
            <w:tcBorders>
              <w:top w:val="nil"/>
              <w:left w:val="nil"/>
              <w:bottom w:val="nil"/>
              <w:right w:val="nil"/>
            </w:tcBorders>
            <w:shd w:val="clear" w:color="000000" w:fill="FFFFFF"/>
            <w:noWrap/>
            <w:vAlign w:val="bottom"/>
            <w:hideMark/>
          </w:tcPr>
          <w:p w14:paraId="36E025C5"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960" w:type="dxa"/>
            <w:tcBorders>
              <w:top w:val="nil"/>
              <w:left w:val="nil"/>
              <w:bottom w:val="nil"/>
              <w:right w:val="single" w:sz="4" w:space="0" w:color="auto"/>
            </w:tcBorders>
            <w:shd w:val="clear" w:color="auto" w:fill="auto"/>
            <w:noWrap/>
            <w:vAlign w:val="bottom"/>
            <w:hideMark/>
          </w:tcPr>
          <w:p w14:paraId="5015B894"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r>
      <w:tr w:rsidR="007745A7" w:rsidRPr="007745A7" w14:paraId="7CDC413A" w14:textId="77777777" w:rsidTr="007745A7">
        <w:trPr>
          <w:trHeight w:val="300"/>
        </w:trPr>
        <w:tc>
          <w:tcPr>
            <w:tcW w:w="1140" w:type="dxa"/>
            <w:tcBorders>
              <w:top w:val="nil"/>
              <w:left w:val="single" w:sz="4" w:space="0" w:color="auto"/>
              <w:bottom w:val="nil"/>
              <w:right w:val="nil"/>
            </w:tcBorders>
            <w:shd w:val="clear" w:color="auto" w:fill="auto"/>
            <w:noWrap/>
            <w:vAlign w:val="bottom"/>
            <w:hideMark/>
          </w:tcPr>
          <w:p w14:paraId="5BF26D4C"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7160" w:type="dxa"/>
            <w:tcBorders>
              <w:top w:val="nil"/>
              <w:left w:val="nil"/>
              <w:bottom w:val="nil"/>
              <w:right w:val="nil"/>
            </w:tcBorders>
            <w:shd w:val="clear" w:color="auto" w:fill="auto"/>
            <w:noWrap/>
            <w:vAlign w:val="bottom"/>
            <w:hideMark/>
          </w:tcPr>
          <w:p w14:paraId="7E57ED39" w14:textId="77777777" w:rsidR="007745A7" w:rsidRPr="007745A7" w:rsidRDefault="007745A7" w:rsidP="007745A7">
            <w:pPr>
              <w:rPr>
                <w:rFonts w:ascii="Arial" w:hAnsi="Arial" w:cs="Arial"/>
                <w:sz w:val="22"/>
                <w:szCs w:val="22"/>
                <w:lang w:val="en-GB" w:eastAsia="en-GB"/>
              </w:rPr>
            </w:pPr>
          </w:p>
        </w:tc>
        <w:tc>
          <w:tcPr>
            <w:tcW w:w="1040" w:type="dxa"/>
            <w:tcBorders>
              <w:top w:val="nil"/>
              <w:left w:val="nil"/>
              <w:bottom w:val="nil"/>
              <w:right w:val="nil"/>
            </w:tcBorders>
            <w:shd w:val="clear" w:color="auto" w:fill="auto"/>
            <w:noWrap/>
            <w:vAlign w:val="bottom"/>
            <w:hideMark/>
          </w:tcPr>
          <w:p w14:paraId="0E34A423" w14:textId="77777777" w:rsidR="007745A7" w:rsidRPr="007745A7" w:rsidRDefault="007745A7" w:rsidP="007745A7">
            <w:pPr>
              <w:rPr>
                <w:lang w:val="en-GB" w:eastAsia="en-GB"/>
              </w:rPr>
            </w:pPr>
          </w:p>
        </w:tc>
        <w:tc>
          <w:tcPr>
            <w:tcW w:w="960" w:type="dxa"/>
            <w:tcBorders>
              <w:top w:val="nil"/>
              <w:left w:val="nil"/>
              <w:bottom w:val="nil"/>
              <w:right w:val="single" w:sz="4" w:space="0" w:color="auto"/>
            </w:tcBorders>
            <w:shd w:val="clear" w:color="auto" w:fill="auto"/>
            <w:noWrap/>
            <w:vAlign w:val="bottom"/>
            <w:hideMark/>
          </w:tcPr>
          <w:p w14:paraId="14899315"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r>
      <w:tr w:rsidR="007745A7" w:rsidRPr="007745A7" w14:paraId="62FB5DCC" w14:textId="77777777" w:rsidTr="007745A7">
        <w:trPr>
          <w:trHeight w:val="300"/>
        </w:trPr>
        <w:tc>
          <w:tcPr>
            <w:tcW w:w="1140" w:type="dxa"/>
            <w:tcBorders>
              <w:top w:val="nil"/>
              <w:left w:val="single" w:sz="4" w:space="0" w:color="auto"/>
              <w:bottom w:val="nil"/>
              <w:right w:val="nil"/>
            </w:tcBorders>
            <w:shd w:val="clear" w:color="auto" w:fill="auto"/>
            <w:noWrap/>
            <w:vAlign w:val="bottom"/>
            <w:hideMark/>
          </w:tcPr>
          <w:p w14:paraId="28BF3B8B"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150 </w:t>
            </w:r>
          </w:p>
        </w:tc>
        <w:tc>
          <w:tcPr>
            <w:tcW w:w="7160" w:type="dxa"/>
            <w:tcBorders>
              <w:top w:val="nil"/>
              <w:left w:val="nil"/>
              <w:bottom w:val="nil"/>
              <w:right w:val="nil"/>
            </w:tcBorders>
            <w:shd w:val="clear" w:color="auto" w:fill="auto"/>
            <w:noWrap/>
            <w:vAlign w:val="bottom"/>
            <w:hideMark/>
          </w:tcPr>
          <w:p w14:paraId="4B5C0582" w14:textId="77777777" w:rsidR="007745A7" w:rsidRPr="007745A7" w:rsidRDefault="007745A7" w:rsidP="007745A7">
            <w:pPr>
              <w:ind w:firstLineChars="300" w:firstLine="660"/>
              <w:rPr>
                <w:rFonts w:ascii="Arial" w:hAnsi="Arial" w:cs="Arial"/>
                <w:sz w:val="22"/>
                <w:szCs w:val="22"/>
                <w:lang w:val="en-GB" w:eastAsia="en-GB"/>
              </w:rPr>
            </w:pPr>
            <w:r w:rsidRPr="007745A7">
              <w:rPr>
                <w:rFonts w:ascii="Arial" w:hAnsi="Arial" w:cs="Arial"/>
                <w:sz w:val="22"/>
                <w:szCs w:val="22"/>
                <w:lang w:val="en-GB" w:eastAsia="en-GB"/>
              </w:rPr>
              <w:t>Long term investments</w:t>
            </w:r>
          </w:p>
        </w:tc>
        <w:tc>
          <w:tcPr>
            <w:tcW w:w="1040" w:type="dxa"/>
            <w:tcBorders>
              <w:top w:val="nil"/>
              <w:left w:val="nil"/>
              <w:bottom w:val="nil"/>
              <w:right w:val="nil"/>
            </w:tcBorders>
            <w:shd w:val="clear" w:color="auto" w:fill="auto"/>
            <w:noWrap/>
            <w:vAlign w:val="bottom"/>
            <w:hideMark/>
          </w:tcPr>
          <w:p w14:paraId="244C270B"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150 </w:t>
            </w:r>
          </w:p>
        </w:tc>
        <w:tc>
          <w:tcPr>
            <w:tcW w:w="960" w:type="dxa"/>
            <w:tcBorders>
              <w:top w:val="nil"/>
              <w:left w:val="nil"/>
              <w:bottom w:val="nil"/>
              <w:right w:val="single" w:sz="4" w:space="0" w:color="auto"/>
            </w:tcBorders>
            <w:shd w:val="clear" w:color="auto" w:fill="auto"/>
            <w:noWrap/>
            <w:vAlign w:val="bottom"/>
            <w:hideMark/>
          </w:tcPr>
          <w:p w14:paraId="18828A2B"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13a</w:t>
            </w:r>
          </w:p>
        </w:tc>
      </w:tr>
      <w:tr w:rsidR="007745A7" w:rsidRPr="007745A7" w14:paraId="653A53CC" w14:textId="77777777" w:rsidTr="007745A7">
        <w:trPr>
          <w:trHeight w:val="300"/>
        </w:trPr>
        <w:tc>
          <w:tcPr>
            <w:tcW w:w="1140" w:type="dxa"/>
            <w:tcBorders>
              <w:top w:val="nil"/>
              <w:left w:val="single" w:sz="4" w:space="0" w:color="auto"/>
              <w:bottom w:val="nil"/>
              <w:right w:val="nil"/>
            </w:tcBorders>
            <w:shd w:val="clear" w:color="auto" w:fill="auto"/>
            <w:noWrap/>
            <w:vAlign w:val="bottom"/>
            <w:hideMark/>
          </w:tcPr>
          <w:p w14:paraId="604A5491"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7160" w:type="dxa"/>
            <w:tcBorders>
              <w:top w:val="nil"/>
              <w:left w:val="nil"/>
              <w:bottom w:val="nil"/>
              <w:right w:val="nil"/>
            </w:tcBorders>
            <w:shd w:val="clear" w:color="auto" w:fill="auto"/>
            <w:noWrap/>
            <w:vAlign w:val="bottom"/>
            <w:hideMark/>
          </w:tcPr>
          <w:p w14:paraId="1E9B2960" w14:textId="77777777" w:rsidR="007745A7" w:rsidRPr="007745A7" w:rsidRDefault="007745A7" w:rsidP="007745A7">
            <w:pPr>
              <w:rPr>
                <w:rFonts w:ascii="Arial" w:hAnsi="Arial" w:cs="Arial"/>
                <w:sz w:val="22"/>
                <w:szCs w:val="22"/>
                <w:lang w:val="en-GB" w:eastAsia="en-GB"/>
              </w:rPr>
            </w:pPr>
          </w:p>
        </w:tc>
        <w:tc>
          <w:tcPr>
            <w:tcW w:w="1040" w:type="dxa"/>
            <w:tcBorders>
              <w:top w:val="nil"/>
              <w:left w:val="nil"/>
              <w:bottom w:val="nil"/>
              <w:right w:val="nil"/>
            </w:tcBorders>
            <w:shd w:val="clear" w:color="auto" w:fill="auto"/>
            <w:noWrap/>
            <w:vAlign w:val="bottom"/>
            <w:hideMark/>
          </w:tcPr>
          <w:p w14:paraId="418F1487" w14:textId="77777777" w:rsidR="007745A7" w:rsidRPr="007745A7" w:rsidRDefault="007745A7" w:rsidP="007745A7">
            <w:pPr>
              <w:ind w:firstLineChars="300" w:firstLine="600"/>
              <w:rPr>
                <w:lang w:val="en-GB" w:eastAsia="en-GB"/>
              </w:rPr>
            </w:pPr>
          </w:p>
        </w:tc>
        <w:tc>
          <w:tcPr>
            <w:tcW w:w="960" w:type="dxa"/>
            <w:tcBorders>
              <w:top w:val="nil"/>
              <w:left w:val="nil"/>
              <w:bottom w:val="nil"/>
              <w:right w:val="single" w:sz="4" w:space="0" w:color="auto"/>
            </w:tcBorders>
            <w:shd w:val="clear" w:color="auto" w:fill="auto"/>
            <w:noWrap/>
            <w:vAlign w:val="bottom"/>
            <w:hideMark/>
          </w:tcPr>
          <w:p w14:paraId="291351EA"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r>
      <w:tr w:rsidR="007745A7" w:rsidRPr="007745A7" w14:paraId="75CE87F3" w14:textId="77777777" w:rsidTr="007745A7">
        <w:trPr>
          <w:trHeight w:val="300"/>
        </w:trPr>
        <w:tc>
          <w:tcPr>
            <w:tcW w:w="1140" w:type="dxa"/>
            <w:tcBorders>
              <w:top w:val="nil"/>
              <w:left w:val="single" w:sz="4" w:space="0" w:color="auto"/>
              <w:bottom w:val="nil"/>
              <w:right w:val="nil"/>
            </w:tcBorders>
            <w:shd w:val="clear" w:color="auto" w:fill="auto"/>
            <w:noWrap/>
            <w:vAlign w:val="bottom"/>
            <w:hideMark/>
          </w:tcPr>
          <w:p w14:paraId="09ADB87E"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922,292 </w:t>
            </w:r>
          </w:p>
        </w:tc>
        <w:tc>
          <w:tcPr>
            <w:tcW w:w="7160" w:type="dxa"/>
            <w:tcBorders>
              <w:top w:val="nil"/>
              <w:left w:val="nil"/>
              <w:bottom w:val="nil"/>
              <w:right w:val="nil"/>
            </w:tcBorders>
            <w:shd w:val="clear" w:color="auto" w:fill="auto"/>
            <w:noWrap/>
            <w:vAlign w:val="bottom"/>
            <w:hideMark/>
          </w:tcPr>
          <w:p w14:paraId="688B6528" w14:textId="77777777" w:rsidR="007745A7" w:rsidRPr="007745A7" w:rsidRDefault="007745A7" w:rsidP="007745A7">
            <w:pPr>
              <w:ind w:firstLineChars="300" w:firstLine="660"/>
              <w:rPr>
                <w:rFonts w:ascii="Arial" w:hAnsi="Arial" w:cs="Arial"/>
                <w:sz w:val="22"/>
                <w:szCs w:val="22"/>
                <w:lang w:val="en-GB" w:eastAsia="en-GB"/>
              </w:rPr>
            </w:pPr>
            <w:r w:rsidRPr="007745A7">
              <w:rPr>
                <w:rFonts w:ascii="Arial" w:hAnsi="Arial" w:cs="Arial"/>
                <w:sz w:val="22"/>
                <w:szCs w:val="22"/>
                <w:lang w:val="en-GB" w:eastAsia="en-GB"/>
              </w:rPr>
              <w:t>Investment assets</w:t>
            </w:r>
          </w:p>
        </w:tc>
        <w:tc>
          <w:tcPr>
            <w:tcW w:w="1040" w:type="dxa"/>
            <w:tcBorders>
              <w:top w:val="nil"/>
              <w:left w:val="nil"/>
              <w:bottom w:val="nil"/>
              <w:right w:val="nil"/>
            </w:tcBorders>
            <w:shd w:val="clear" w:color="auto" w:fill="auto"/>
            <w:noWrap/>
            <w:vAlign w:val="bottom"/>
            <w:hideMark/>
          </w:tcPr>
          <w:p w14:paraId="46B48FE4"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855,266 </w:t>
            </w:r>
          </w:p>
        </w:tc>
        <w:tc>
          <w:tcPr>
            <w:tcW w:w="960" w:type="dxa"/>
            <w:tcBorders>
              <w:top w:val="nil"/>
              <w:left w:val="nil"/>
              <w:bottom w:val="nil"/>
              <w:right w:val="single" w:sz="4" w:space="0" w:color="auto"/>
            </w:tcBorders>
            <w:shd w:val="clear" w:color="auto" w:fill="auto"/>
            <w:noWrap/>
            <w:vAlign w:val="bottom"/>
            <w:hideMark/>
          </w:tcPr>
          <w:p w14:paraId="1800E7EF"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13a</w:t>
            </w:r>
          </w:p>
        </w:tc>
      </w:tr>
      <w:tr w:rsidR="007745A7" w:rsidRPr="007745A7" w14:paraId="4943E353" w14:textId="77777777" w:rsidTr="007745A7">
        <w:trPr>
          <w:trHeight w:val="300"/>
        </w:trPr>
        <w:tc>
          <w:tcPr>
            <w:tcW w:w="1140" w:type="dxa"/>
            <w:tcBorders>
              <w:top w:val="nil"/>
              <w:left w:val="single" w:sz="4" w:space="0" w:color="auto"/>
              <w:bottom w:val="nil"/>
              <w:right w:val="nil"/>
            </w:tcBorders>
            <w:shd w:val="clear" w:color="auto" w:fill="auto"/>
            <w:noWrap/>
            <w:vAlign w:val="bottom"/>
            <w:hideMark/>
          </w:tcPr>
          <w:p w14:paraId="0F426419"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(90)</w:t>
            </w:r>
          </w:p>
        </w:tc>
        <w:tc>
          <w:tcPr>
            <w:tcW w:w="7160" w:type="dxa"/>
            <w:tcBorders>
              <w:top w:val="nil"/>
              <w:left w:val="nil"/>
              <w:bottom w:val="nil"/>
              <w:right w:val="nil"/>
            </w:tcBorders>
            <w:shd w:val="clear" w:color="auto" w:fill="auto"/>
            <w:noWrap/>
            <w:vAlign w:val="bottom"/>
            <w:hideMark/>
          </w:tcPr>
          <w:p w14:paraId="0106DF70" w14:textId="77777777" w:rsidR="007745A7" w:rsidRPr="007745A7" w:rsidRDefault="007745A7" w:rsidP="007745A7">
            <w:pPr>
              <w:ind w:firstLineChars="300" w:firstLine="660"/>
              <w:rPr>
                <w:rFonts w:ascii="Arial" w:hAnsi="Arial" w:cs="Arial"/>
                <w:sz w:val="22"/>
                <w:szCs w:val="22"/>
                <w:lang w:val="en-GB" w:eastAsia="en-GB"/>
              </w:rPr>
            </w:pPr>
            <w:r w:rsidRPr="007745A7">
              <w:rPr>
                <w:rFonts w:ascii="Arial" w:hAnsi="Arial" w:cs="Arial"/>
                <w:sz w:val="22"/>
                <w:szCs w:val="22"/>
                <w:lang w:val="en-GB" w:eastAsia="en-GB"/>
              </w:rPr>
              <w:t>Investment liabilities</w:t>
            </w:r>
          </w:p>
        </w:tc>
        <w:tc>
          <w:tcPr>
            <w:tcW w:w="1040" w:type="dxa"/>
            <w:tcBorders>
              <w:top w:val="nil"/>
              <w:left w:val="nil"/>
              <w:bottom w:val="nil"/>
              <w:right w:val="nil"/>
            </w:tcBorders>
            <w:shd w:val="clear" w:color="auto" w:fill="auto"/>
            <w:noWrap/>
            <w:vAlign w:val="bottom"/>
            <w:hideMark/>
          </w:tcPr>
          <w:p w14:paraId="7FB682AE"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(135)</w:t>
            </w:r>
          </w:p>
        </w:tc>
        <w:tc>
          <w:tcPr>
            <w:tcW w:w="960" w:type="dxa"/>
            <w:tcBorders>
              <w:top w:val="nil"/>
              <w:left w:val="nil"/>
              <w:bottom w:val="nil"/>
              <w:right w:val="single" w:sz="4" w:space="0" w:color="auto"/>
            </w:tcBorders>
            <w:shd w:val="clear" w:color="auto" w:fill="auto"/>
            <w:noWrap/>
            <w:vAlign w:val="bottom"/>
            <w:hideMark/>
          </w:tcPr>
          <w:p w14:paraId="17C059DB" w14:textId="77777777" w:rsidR="007745A7" w:rsidRPr="007745A7" w:rsidRDefault="007745A7" w:rsidP="007745A7">
            <w:pPr>
              <w:jc w:val="center"/>
              <w:rPr>
                <w:rFonts w:ascii="Arial" w:hAnsi="Arial" w:cs="Arial"/>
                <w:b/>
                <w:bCs/>
                <w:color w:val="000000"/>
                <w:sz w:val="22"/>
                <w:szCs w:val="22"/>
                <w:lang w:val="en-GB" w:eastAsia="en-GB"/>
              </w:rPr>
            </w:pPr>
            <w:r w:rsidRPr="007745A7">
              <w:rPr>
                <w:rFonts w:ascii="Arial" w:hAnsi="Arial" w:cs="Arial"/>
                <w:b/>
                <w:bCs/>
                <w:color w:val="000000"/>
                <w:sz w:val="22"/>
                <w:szCs w:val="22"/>
                <w:lang w:val="en-GB" w:eastAsia="en-GB"/>
              </w:rPr>
              <w:t>13a</w:t>
            </w:r>
          </w:p>
        </w:tc>
      </w:tr>
      <w:tr w:rsidR="007745A7" w:rsidRPr="007745A7" w14:paraId="11F1D3BD" w14:textId="77777777" w:rsidTr="007745A7">
        <w:trPr>
          <w:trHeight w:val="300"/>
        </w:trPr>
        <w:tc>
          <w:tcPr>
            <w:tcW w:w="1140" w:type="dxa"/>
            <w:tcBorders>
              <w:top w:val="nil"/>
              <w:left w:val="single" w:sz="4" w:space="0" w:color="auto"/>
              <w:bottom w:val="nil"/>
              <w:right w:val="nil"/>
            </w:tcBorders>
            <w:shd w:val="clear" w:color="auto" w:fill="auto"/>
            <w:noWrap/>
            <w:vAlign w:val="bottom"/>
            <w:hideMark/>
          </w:tcPr>
          <w:p w14:paraId="4C74CCE8"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7160" w:type="dxa"/>
            <w:tcBorders>
              <w:top w:val="nil"/>
              <w:left w:val="nil"/>
              <w:bottom w:val="nil"/>
              <w:right w:val="nil"/>
            </w:tcBorders>
            <w:shd w:val="clear" w:color="auto" w:fill="auto"/>
            <w:noWrap/>
            <w:vAlign w:val="bottom"/>
            <w:hideMark/>
          </w:tcPr>
          <w:p w14:paraId="37E5AD62" w14:textId="77777777" w:rsidR="007745A7" w:rsidRPr="007745A7" w:rsidRDefault="007745A7" w:rsidP="007745A7">
            <w:pPr>
              <w:rPr>
                <w:rFonts w:ascii="Arial" w:hAnsi="Arial" w:cs="Arial"/>
                <w:sz w:val="22"/>
                <w:szCs w:val="22"/>
                <w:lang w:val="en-GB" w:eastAsia="en-GB"/>
              </w:rPr>
            </w:pPr>
          </w:p>
        </w:tc>
        <w:tc>
          <w:tcPr>
            <w:tcW w:w="1040" w:type="dxa"/>
            <w:tcBorders>
              <w:top w:val="nil"/>
              <w:left w:val="nil"/>
              <w:bottom w:val="nil"/>
              <w:right w:val="nil"/>
            </w:tcBorders>
            <w:shd w:val="clear" w:color="auto" w:fill="auto"/>
            <w:noWrap/>
            <w:vAlign w:val="bottom"/>
            <w:hideMark/>
          </w:tcPr>
          <w:p w14:paraId="01395EEC" w14:textId="77777777" w:rsidR="007745A7" w:rsidRPr="007745A7" w:rsidRDefault="007745A7" w:rsidP="007745A7">
            <w:pPr>
              <w:ind w:firstLineChars="300" w:firstLine="600"/>
              <w:rPr>
                <w:lang w:val="en-GB" w:eastAsia="en-GB"/>
              </w:rPr>
            </w:pPr>
          </w:p>
        </w:tc>
        <w:tc>
          <w:tcPr>
            <w:tcW w:w="960" w:type="dxa"/>
            <w:tcBorders>
              <w:top w:val="nil"/>
              <w:left w:val="nil"/>
              <w:bottom w:val="nil"/>
              <w:right w:val="single" w:sz="4" w:space="0" w:color="auto"/>
            </w:tcBorders>
            <w:shd w:val="clear" w:color="auto" w:fill="auto"/>
            <w:noWrap/>
            <w:vAlign w:val="bottom"/>
            <w:hideMark/>
          </w:tcPr>
          <w:p w14:paraId="10FB40CE"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r>
      <w:tr w:rsidR="007745A7" w:rsidRPr="007745A7" w14:paraId="2C16836F" w14:textId="77777777" w:rsidTr="007745A7">
        <w:trPr>
          <w:trHeight w:val="315"/>
        </w:trPr>
        <w:tc>
          <w:tcPr>
            <w:tcW w:w="11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554C1C8"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 xml:space="preserve">   922,352 </w:t>
            </w:r>
          </w:p>
        </w:tc>
        <w:tc>
          <w:tcPr>
            <w:tcW w:w="7160" w:type="dxa"/>
            <w:tcBorders>
              <w:top w:val="nil"/>
              <w:left w:val="nil"/>
              <w:bottom w:val="nil"/>
              <w:right w:val="nil"/>
            </w:tcBorders>
            <w:shd w:val="clear" w:color="auto" w:fill="auto"/>
            <w:noWrap/>
            <w:vAlign w:val="bottom"/>
            <w:hideMark/>
          </w:tcPr>
          <w:p w14:paraId="1F9AD5C2"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Net investment assets</w:t>
            </w:r>
          </w:p>
        </w:tc>
        <w:tc>
          <w:tcPr>
            <w:tcW w:w="1040" w:type="dxa"/>
            <w:tcBorders>
              <w:top w:val="single" w:sz="4" w:space="0" w:color="auto"/>
              <w:left w:val="nil"/>
              <w:bottom w:val="double" w:sz="6" w:space="0" w:color="auto"/>
              <w:right w:val="nil"/>
            </w:tcBorders>
            <w:shd w:val="clear" w:color="auto" w:fill="auto"/>
            <w:noWrap/>
            <w:vAlign w:val="bottom"/>
            <w:hideMark/>
          </w:tcPr>
          <w:p w14:paraId="1207493C" w14:textId="77777777" w:rsidR="007745A7" w:rsidRPr="007745A7" w:rsidRDefault="007745A7" w:rsidP="007745A7">
            <w:pPr>
              <w:jc w:val="right"/>
              <w:rPr>
                <w:rFonts w:ascii="Arial" w:hAnsi="Arial" w:cs="Arial"/>
                <w:b/>
                <w:bCs/>
                <w:sz w:val="22"/>
                <w:szCs w:val="22"/>
                <w:lang w:val="en-GB" w:eastAsia="en-GB"/>
              </w:rPr>
            </w:pPr>
            <w:r w:rsidRPr="007745A7">
              <w:rPr>
                <w:rFonts w:ascii="Arial" w:hAnsi="Arial" w:cs="Arial"/>
                <w:b/>
                <w:bCs/>
                <w:sz w:val="22"/>
                <w:szCs w:val="22"/>
                <w:lang w:val="en-GB" w:eastAsia="en-GB"/>
              </w:rPr>
              <w:t xml:space="preserve">  855,281 </w:t>
            </w:r>
          </w:p>
        </w:tc>
        <w:tc>
          <w:tcPr>
            <w:tcW w:w="960" w:type="dxa"/>
            <w:tcBorders>
              <w:top w:val="nil"/>
              <w:left w:val="nil"/>
              <w:bottom w:val="nil"/>
              <w:right w:val="single" w:sz="4" w:space="0" w:color="auto"/>
            </w:tcBorders>
            <w:shd w:val="clear" w:color="auto" w:fill="auto"/>
            <w:noWrap/>
            <w:vAlign w:val="bottom"/>
            <w:hideMark/>
          </w:tcPr>
          <w:p w14:paraId="3C914525" w14:textId="77777777" w:rsidR="007745A7" w:rsidRPr="007745A7" w:rsidRDefault="007745A7" w:rsidP="007745A7">
            <w:pPr>
              <w:jc w:val="center"/>
              <w:rPr>
                <w:rFonts w:ascii="Arial" w:hAnsi="Arial" w:cs="Arial"/>
                <w:b/>
                <w:bCs/>
                <w:sz w:val="22"/>
                <w:szCs w:val="22"/>
                <w:lang w:val="en-GB" w:eastAsia="en-GB"/>
              </w:rPr>
            </w:pPr>
            <w:r w:rsidRPr="007745A7">
              <w:rPr>
                <w:rFonts w:ascii="Arial" w:hAnsi="Arial" w:cs="Arial"/>
                <w:b/>
                <w:bCs/>
                <w:sz w:val="22"/>
                <w:szCs w:val="22"/>
                <w:lang w:val="en-GB" w:eastAsia="en-GB"/>
              </w:rPr>
              <w:t> </w:t>
            </w:r>
          </w:p>
        </w:tc>
      </w:tr>
      <w:tr w:rsidR="007745A7" w:rsidRPr="007745A7" w14:paraId="6DA60950" w14:textId="77777777" w:rsidTr="007745A7">
        <w:trPr>
          <w:trHeight w:val="315"/>
        </w:trPr>
        <w:tc>
          <w:tcPr>
            <w:tcW w:w="1140" w:type="dxa"/>
            <w:tcBorders>
              <w:top w:val="nil"/>
              <w:left w:val="single" w:sz="4" w:space="0" w:color="auto"/>
              <w:bottom w:val="nil"/>
              <w:right w:val="nil"/>
            </w:tcBorders>
            <w:shd w:val="clear" w:color="auto" w:fill="auto"/>
            <w:noWrap/>
            <w:vAlign w:val="bottom"/>
            <w:hideMark/>
          </w:tcPr>
          <w:p w14:paraId="76BCF32A"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7160" w:type="dxa"/>
            <w:tcBorders>
              <w:top w:val="nil"/>
              <w:left w:val="nil"/>
              <w:bottom w:val="nil"/>
              <w:right w:val="nil"/>
            </w:tcBorders>
            <w:shd w:val="clear" w:color="auto" w:fill="auto"/>
            <w:noWrap/>
            <w:vAlign w:val="bottom"/>
            <w:hideMark/>
          </w:tcPr>
          <w:p w14:paraId="49C99B27" w14:textId="77777777" w:rsidR="007745A7" w:rsidRPr="007745A7" w:rsidRDefault="007745A7" w:rsidP="007745A7">
            <w:pPr>
              <w:rPr>
                <w:rFonts w:ascii="Arial" w:hAnsi="Arial" w:cs="Arial"/>
                <w:sz w:val="22"/>
                <w:szCs w:val="22"/>
                <w:lang w:val="en-GB" w:eastAsia="en-GB"/>
              </w:rPr>
            </w:pPr>
          </w:p>
        </w:tc>
        <w:tc>
          <w:tcPr>
            <w:tcW w:w="1040" w:type="dxa"/>
            <w:tcBorders>
              <w:top w:val="nil"/>
              <w:left w:val="nil"/>
              <w:bottom w:val="nil"/>
              <w:right w:val="nil"/>
            </w:tcBorders>
            <w:shd w:val="clear" w:color="auto" w:fill="auto"/>
            <w:noWrap/>
            <w:vAlign w:val="bottom"/>
            <w:hideMark/>
          </w:tcPr>
          <w:p w14:paraId="5651FB9C" w14:textId="77777777" w:rsidR="007745A7" w:rsidRPr="007745A7" w:rsidRDefault="007745A7" w:rsidP="007745A7">
            <w:pPr>
              <w:rPr>
                <w:lang w:val="en-GB" w:eastAsia="en-GB"/>
              </w:rPr>
            </w:pPr>
          </w:p>
        </w:tc>
        <w:tc>
          <w:tcPr>
            <w:tcW w:w="960" w:type="dxa"/>
            <w:tcBorders>
              <w:top w:val="nil"/>
              <w:left w:val="nil"/>
              <w:bottom w:val="nil"/>
              <w:right w:val="single" w:sz="4" w:space="0" w:color="auto"/>
            </w:tcBorders>
            <w:shd w:val="clear" w:color="auto" w:fill="auto"/>
            <w:noWrap/>
            <w:vAlign w:val="bottom"/>
            <w:hideMark/>
          </w:tcPr>
          <w:p w14:paraId="222E84B6" w14:textId="77777777" w:rsidR="007745A7" w:rsidRPr="007745A7" w:rsidRDefault="007745A7" w:rsidP="007745A7">
            <w:pPr>
              <w:jc w:val="center"/>
              <w:rPr>
                <w:rFonts w:ascii="Arial" w:hAnsi="Arial" w:cs="Arial"/>
                <w:b/>
                <w:bCs/>
                <w:sz w:val="22"/>
                <w:szCs w:val="22"/>
                <w:lang w:val="en-GB" w:eastAsia="en-GB"/>
              </w:rPr>
            </w:pPr>
            <w:r w:rsidRPr="007745A7">
              <w:rPr>
                <w:rFonts w:ascii="Arial" w:hAnsi="Arial" w:cs="Arial"/>
                <w:b/>
                <w:bCs/>
                <w:sz w:val="22"/>
                <w:szCs w:val="22"/>
                <w:lang w:val="en-GB" w:eastAsia="en-GB"/>
              </w:rPr>
              <w:t> </w:t>
            </w:r>
          </w:p>
        </w:tc>
      </w:tr>
      <w:tr w:rsidR="007745A7" w:rsidRPr="007745A7" w14:paraId="73913E1B" w14:textId="77777777" w:rsidTr="007745A7">
        <w:trPr>
          <w:trHeight w:val="300"/>
        </w:trPr>
        <w:tc>
          <w:tcPr>
            <w:tcW w:w="1140" w:type="dxa"/>
            <w:tcBorders>
              <w:top w:val="nil"/>
              <w:left w:val="single" w:sz="4" w:space="0" w:color="auto"/>
              <w:bottom w:val="nil"/>
              <w:right w:val="nil"/>
            </w:tcBorders>
            <w:shd w:val="clear" w:color="auto" w:fill="auto"/>
            <w:noWrap/>
            <w:vAlign w:val="bottom"/>
            <w:hideMark/>
          </w:tcPr>
          <w:p w14:paraId="15C0420B"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7160" w:type="dxa"/>
            <w:tcBorders>
              <w:top w:val="nil"/>
              <w:left w:val="nil"/>
              <w:bottom w:val="nil"/>
              <w:right w:val="nil"/>
            </w:tcBorders>
            <w:shd w:val="clear" w:color="auto" w:fill="auto"/>
            <w:noWrap/>
            <w:vAlign w:val="bottom"/>
            <w:hideMark/>
          </w:tcPr>
          <w:p w14:paraId="0BB25CC4" w14:textId="77777777" w:rsidR="007745A7" w:rsidRPr="007745A7" w:rsidRDefault="007745A7" w:rsidP="007745A7">
            <w:pPr>
              <w:rPr>
                <w:rFonts w:ascii="Arial" w:hAnsi="Arial" w:cs="Arial"/>
                <w:sz w:val="22"/>
                <w:szCs w:val="22"/>
                <w:lang w:val="en-GB" w:eastAsia="en-GB"/>
              </w:rPr>
            </w:pPr>
          </w:p>
        </w:tc>
        <w:tc>
          <w:tcPr>
            <w:tcW w:w="1040" w:type="dxa"/>
            <w:tcBorders>
              <w:top w:val="nil"/>
              <w:left w:val="nil"/>
              <w:bottom w:val="nil"/>
              <w:right w:val="nil"/>
            </w:tcBorders>
            <w:shd w:val="clear" w:color="auto" w:fill="auto"/>
            <w:noWrap/>
            <w:vAlign w:val="bottom"/>
            <w:hideMark/>
          </w:tcPr>
          <w:p w14:paraId="549D8A97" w14:textId="77777777" w:rsidR="007745A7" w:rsidRPr="007745A7" w:rsidRDefault="007745A7" w:rsidP="007745A7">
            <w:pPr>
              <w:rPr>
                <w:lang w:val="en-GB" w:eastAsia="en-GB"/>
              </w:rPr>
            </w:pPr>
          </w:p>
        </w:tc>
        <w:tc>
          <w:tcPr>
            <w:tcW w:w="960" w:type="dxa"/>
            <w:tcBorders>
              <w:top w:val="nil"/>
              <w:left w:val="nil"/>
              <w:bottom w:val="nil"/>
              <w:right w:val="single" w:sz="4" w:space="0" w:color="auto"/>
            </w:tcBorders>
            <w:shd w:val="clear" w:color="auto" w:fill="auto"/>
            <w:noWrap/>
            <w:vAlign w:val="bottom"/>
            <w:hideMark/>
          </w:tcPr>
          <w:p w14:paraId="3ADAB652" w14:textId="77777777" w:rsidR="007745A7" w:rsidRPr="007745A7" w:rsidRDefault="007745A7" w:rsidP="007745A7">
            <w:pPr>
              <w:jc w:val="center"/>
              <w:rPr>
                <w:rFonts w:ascii="Arial" w:hAnsi="Arial" w:cs="Arial"/>
                <w:b/>
                <w:bCs/>
                <w:sz w:val="22"/>
                <w:szCs w:val="22"/>
                <w:lang w:val="en-GB" w:eastAsia="en-GB"/>
              </w:rPr>
            </w:pPr>
            <w:r w:rsidRPr="007745A7">
              <w:rPr>
                <w:rFonts w:ascii="Arial" w:hAnsi="Arial" w:cs="Arial"/>
                <w:b/>
                <w:bCs/>
                <w:sz w:val="22"/>
                <w:szCs w:val="22"/>
                <w:lang w:val="en-GB" w:eastAsia="en-GB"/>
              </w:rPr>
              <w:t> </w:t>
            </w:r>
          </w:p>
        </w:tc>
      </w:tr>
      <w:tr w:rsidR="007745A7" w:rsidRPr="007745A7" w14:paraId="3BFBFAA8" w14:textId="77777777" w:rsidTr="007745A7">
        <w:trPr>
          <w:trHeight w:val="300"/>
        </w:trPr>
        <w:tc>
          <w:tcPr>
            <w:tcW w:w="1140" w:type="dxa"/>
            <w:tcBorders>
              <w:top w:val="nil"/>
              <w:left w:val="single" w:sz="4" w:space="0" w:color="auto"/>
              <w:bottom w:val="nil"/>
              <w:right w:val="nil"/>
            </w:tcBorders>
            <w:shd w:val="clear" w:color="auto" w:fill="auto"/>
            <w:noWrap/>
            <w:vAlign w:val="bottom"/>
            <w:hideMark/>
          </w:tcPr>
          <w:p w14:paraId="2608753E"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8,196 </w:t>
            </w:r>
          </w:p>
        </w:tc>
        <w:tc>
          <w:tcPr>
            <w:tcW w:w="7160" w:type="dxa"/>
            <w:tcBorders>
              <w:top w:val="nil"/>
              <w:left w:val="nil"/>
              <w:bottom w:val="nil"/>
              <w:right w:val="nil"/>
            </w:tcBorders>
            <w:shd w:val="clear" w:color="auto" w:fill="auto"/>
            <w:noWrap/>
            <w:vAlign w:val="bottom"/>
            <w:hideMark/>
          </w:tcPr>
          <w:p w14:paraId="2D868080"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Current Assets</w:t>
            </w:r>
          </w:p>
        </w:tc>
        <w:tc>
          <w:tcPr>
            <w:tcW w:w="1040" w:type="dxa"/>
            <w:tcBorders>
              <w:top w:val="nil"/>
              <w:left w:val="nil"/>
              <w:bottom w:val="nil"/>
              <w:right w:val="nil"/>
            </w:tcBorders>
            <w:shd w:val="clear" w:color="auto" w:fill="auto"/>
            <w:noWrap/>
            <w:vAlign w:val="bottom"/>
            <w:hideMark/>
          </w:tcPr>
          <w:p w14:paraId="1BFC7216" w14:textId="1ADBA2EB"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w:t>
            </w:r>
            <w:r w:rsidR="005162D5">
              <w:rPr>
                <w:rFonts w:ascii="Arial" w:hAnsi="Arial" w:cs="Arial"/>
                <w:sz w:val="22"/>
                <w:szCs w:val="22"/>
                <w:lang w:val="en-GB" w:eastAsia="en-GB"/>
              </w:rPr>
              <w:t xml:space="preserve">  </w:t>
            </w:r>
            <w:r w:rsidRPr="007745A7">
              <w:rPr>
                <w:rFonts w:ascii="Arial" w:hAnsi="Arial" w:cs="Arial"/>
                <w:sz w:val="22"/>
                <w:szCs w:val="22"/>
                <w:lang w:val="en-GB" w:eastAsia="en-GB"/>
              </w:rPr>
              <w:t xml:space="preserve">9,366 </w:t>
            </w:r>
          </w:p>
        </w:tc>
        <w:tc>
          <w:tcPr>
            <w:tcW w:w="960" w:type="dxa"/>
            <w:tcBorders>
              <w:top w:val="nil"/>
              <w:left w:val="nil"/>
              <w:bottom w:val="nil"/>
              <w:right w:val="single" w:sz="4" w:space="0" w:color="auto"/>
            </w:tcBorders>
            <w:shd w:val="clear" w:color="auto" w:fill="auto"/>
            <w:noWrap/>
            <w:vAlign w:val="bottom"/>
            <w:hideMark/>
          </w:tcPr>
          <w:p w14:paraId="3EB189B0" w14:textId="77777777" w:rsidR="007745A7" w:rsidRPr="007745A7" w:rsidRDefault="007745A7" w:rsidP="007745A7">
            <w:pPr>
              <w:jc w:val="center"/>
              <w:rPr>
                <w:rFonts w:ascii="Arial" w:hAnsi="Arial" w:cs="Arial"/>
                <w:b/>
                <w:bCs/>
                <w:sz w:val="22"/>
                <w:szCs w:val="22"/>
                <w:lang w:val="en-GB" w:eastAsia="en-GB"/>
              </w:rPr>
            </w:pPr>
            <w:r w:rsidRPr="007745A7">
              <w:rPr>
                <w:rFonts w:ascii="Arial" w:hAnsi="Arial" w:cs="Arial"/>
                <w:b/>
                <w:bCs/>
                <w:sz w:val="22"/>
                <w:szCs w:val="22"/>
                <w:lang w:val="en-GB" w:eastAsia="en-GB"/>
              </w:rPr>
              <w:t>18</w:t>
            </w:r>
          </w:p>
        </w:tc>
      </w:tr>
      <w:tr w:rsidR="007745A7" w:rsidRPr="007745A7" w14:paraId="190A9762" w14:textId="77777777" w:rsidTr="007745A7">
        <w:trPr>
          <w:trHeight w:val="300"/>
        </w:trPr>
        <w:tc>
          <w:tcPr>
            <w:tcW w:w="1140" w:type="dxa"/>
            <w:tcBorders>
              <w:top w:val="nil"/>
              <w:left w:val="single" w:sz="4" w:space="0" w:color="auto"/>
              <w:bottom w:val="nil"/>
              <w:right w:val="nil"/>
            </w:tcBorders>
            <w:shd w:val="clear" w:color="auto" w:fill="auto"/>
            <w:noWrap/>
            <w:vAlign w:val="bottom"/>
            <w:hideMark/>
          </w:tcPr>
          <w:p w14:paraId="4CCBD114"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c>
          <w:tcPr>
            <w:tcW w:w="7160" w:type="dxa"/>
            <w:tcBorders>
              <w:top w:val="nil"/>
              <w:left w:val="nil"/>
              <w:bottom w:val="nil"/>
              <w:right w:val="nil"/>
            </w:tcBorders>
            <w:shd w:val="clear" w:color="auto" w:fill="auto"/>
            <w:noWrap/>
            <w:vAlign w:val="bottom"/>
            <w:hideMark/>
          </w:tcPr>
          <w:p w14:paraId="4220C222" w14:textId="77777777" w:rsidR="007745A7" w:rsidRPr="007745A7" w:rsidRDefault="007745A7" w:rsidP="007745A7">
            <w:pPr>
              <w:rPr>
                <w:rFonts w:ascii="Arial" w:hAnsi="Arial" w:cs="Arial"/>
                <w:sz w:val="22"/>
                <w:szCs w:val="22"/>
                <w:lang w:val="en-GB" w:eastAsia="en-GB"/>
              </w:rPr>
            </w:pPr>
          </w:p>
        </w:tc>
        <w:tc>
          <w:tcPr>
            <w:tcW w:w="1040" w:type="dxa"/>
            <w:tcBorders>
              <w:top w:val="nil"/>
              <w:left w:val="nil"/>
              <w:bottom w:val="nil"/>
              <w:right w:val="nil"/>
            </w:tcBorders>
            <w:shd w:val="clear" w:color="auto" w:fill="auto"/>
            <w:noWrap/>
            <w:vAlign w:val="bottom"/>
            <w:hideMark/>
          </w:tcPr>
          <w:p w14:paraId="7DC47255" w14:textId="77777777" w:rsidR="007745A7" w:rsidRPr="007745A7" w:rsidRDefault="007745A7" w:rsidP="007745A7">
            <w:pPr>
              <w:rPr>
                <w:lang w:val="en-GB" w:eastAsia="en-GB"/>
              </w:rPr>
            </w:pPr>
          </w:p>
        </w:tc>
        <w:tc>
          <w:tcPr>
            <w:tcW w:w="960" w:type="dxa"/>
            <w:tcBorders>
              <w:top w:val="nil"/>
              <w:left w:val="nil"/>
              <w:bottom w:val="nil"/>
              <w:right w:val="single" w:sz="4" w:space="0" w:color="auto"/>
            </w:tcBorders>
            <w:shd w:val="clear" w:color="auto" w:fill="auto"/>
            <w:noWrap/>
            <w:vAlign w:val="bottom"/>
            <w:hideMark/>
          </w:tcPr>
          <w:p w14:paraId="74631ADD" w14:textId="77777777" w:rsidR="007745A7" w:rsidRPr="007745A7" w:rsidRDefault="007745A7" w:rsidP="007745A7">
            <w:pPr>
              <w:jc w:val="center"/>
              <w:rPr>
                <w:rFonts w:ascii="Arial" w:hAnsi="Arial" w:cs="Arial"/>
                <w:b/>
                <w:bCs/>
                <w:sz w:val="22"/>
                <w:szCs w:val="22"/>
                <w:lang w:val="en-GB" w:eastAsia="en-GB"/>
              </w:rPr>
            </w:pPr>
            <w:r w:rsidRPr="007745A7">
              <w:rPr>
                <w:rFonts w:ascii="Arial" w:hAnsi="Arial" w:cs="Arial"/>
                <w:b/>
                <w:bCs/>
                <w:sz w:val="22"/>
                <w:szCs w:val="22"/>
                <w:lang w:val="en-GB" w:eastAsia="en-GB"/>
              </w:rPr>
              <w:t> </w:t>
            </w:r>
          </w:p>
        </w:tc>
      </w:tr>
      <w:tr w:rsidR="007745A7" w:rsidRPr="007745A7" w14:paraId="4B96677D" w14:textId="77777777" w:rsidTr="007745A7">
        <w:trPr>
          <w:trHeight w:val="300"/>
        </w:trPr>
        <w:tc>
          <w:tcPr>
            <w:tcW w:w="1140" w:type="dxa"/>
            <w:tcBorders>
              <w:top w:val="nil"/>
              <w:left w:val="single" w:sz="4" w:space="0" w:color="auto"/>
              <w:bottom w:val="nil"/>
              <w:right w:val="nil"/>
            </w:tcBorders>
            <w:shd w:val="clear" w:color="auto" w:fill="auto"/>
            <w:noWrap/>
            <w:vAlign w:val="bottom"/>
            <w:hideMark/>
          </w:tcPr>
          <w:p w14:paraId="465E5142"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xml:space="preserve">         (480)</w:t>
            </w:r>
          </w:p>
        </w:tc>
        <w:tc>
          <w:tcPr>
            <w:tcW w:w="7160" w:type="dxa"/>
            <w:tcBorders>
              <w:top w:val="nil"/>
              <w:left w:val="nil"/>
              <w:bottom w:val="nil"/>
              <w:right w:val="nil"/>
            </w:tcBorders>
            <w:shd w:val="clear" w:color="auto" w:fill="auto"/>
            <w:noWrap/>
            <w:vAlign w:val="bottom"/>
            <w:hideMark/>
          </w:tcPr>
          <w:p w14:paraId="2B6035D5"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Creditors</w:t>
            </w:r>
          </w:p>
        </w:tc>
        <w:tc>
          <w:tcPr>
            <w:tcW w:w="1040" w:type="dxa"/>
            <w:tcBorders>
              <w:top w:val="nil"/>
              <w:left w:val="nil"/>
              <w:bottom w:val="nil"/>
              <w:right w:val="nil"/>
            </w:tcBorders>
            <w:shd w:val="clear" w:color="auto" w:fill="auto"/>
            <w:noWrap/>
            <w:vAlign w:val="bottom"/>
            <w:hideMark/>
          </w:tcPr>
          <w:p w14:paraId="24FDF297" w14:textId="77777777" w:rsidR="007745A7" w:rsidRPr="007745A7" w:rsidRDefault="007745A7" w:rsidP="007745A7">
            <w:pPr>
              <w:jc w:val="right"/>
              <w:rPr>
                <w:rFonts w:ascii="Arial" w:hAnsi="Arial" w:cs="Arial"/>
                <w:sz w:val="22"/>
                <w:szCs w:val="22"/>
                <w:lang w:val="en-GB" w:eastAsia="en-GB"/>
              </w:rPr>
            </w:pPr>
            <w:r w:rsidRPr="007745A7">
              <w:rPr>
                <w:rFonts w:ascii="Arial" w:hAnsi="Arial" w:cs="Arial"/>
                <w:sz w:val="22"/>
                <w:szCs w:val="22"/>
                <w:lang w:val="en-GB" w:eastAsia="en-GB"/>
              </w:rPr>
              <w:t xml:space="preserve"> (2,141)</w:t>
            </w:r>
          </w:p>
        </w:tc>
        <w:tc>
          <w:tcPr>
            <w:tcW w:w="960" w:type="dxa"/>
            <w:tcBorders>
              <w:top w:val="nil"/>
              <w:left w:val="nil"/>
              <w:bottom w:val="nil"/>
              <w:right w:val="single" w:sz="4" w:space="0" w:color="auto"/>
            </w:tcBorders>
            <w:shd w:val="clear" w:color="auto" w:fill="auto"/>
            <w:noWrap/>
            <w:vAlign w:val="bottom"/>
            <w:hideMark/>
          </w:tcPr>
          <w:p w14:paraId="3D5045E6" w14:textId="77777777" w:rsidR="007745A7" w:rsidRPr="007745A7" w:rsidRDefault="007745A7" w:rsidP="007745A7">
            <w:pPr>
              <w:jc w:val="center"/>
              <w:rPr>
                <w:rFonts w:ascii="Arial" w:hAnsi="Arial" w:cs="Arial"/>
                <w:b/>
                <w:bCs/>
                <w:sz w:val="22"/>
                <w:szCs w:val="22"/>
                <w:lang w:val="en-GB" w:eastAsia="en-GB"/>
              </w:rPr>
            </w:pPr>
            <w:r w:rsidRPr="007745A7">
              <w:rPr>
                <w:rFonts w:ascii="Arial" w:hAnsi="Arial" w:cs="Arial"/>
                <w:b/>
                <w:bCs/>
                <w:sz w:val="22"/>
                <w:szCs w:val="22"/>
                <w:lang w:val="en-GB" w:eastAsia="en-GB"/>
              </w:rPr>
              <w:t>19</w:t>
            </w:r>
          </w:p>
        </w:tc>
      </w:tr>
      <w:tr w:rsidR="007745A7" w:rsidRPr="007745A7" w14:paraId="08A6FE27" w14:textId="77777777" w:rsidTr="007745A7">
        <w:trPr>
          <w:trHeight w:val="300"/>
        </w:trPr>
        <w:tc>
          <w:tcPr>
            <w:tcW w:w="1140" w:type="dxa"/>
            <w:tcBorders>
              <w:top w:val="nil"/>
              <w:left w:val="single" w:sz="4" w:space="0" w:color="auto"/>
              <w:bottom w:val="nil"/>
              <w:right w:val="nil"/>
            </w:tcBorders>
            <w:shd w:val="clear" w:color="auto" w:fill="auto"/>
            <w:noWrap/>
            <w:vAlign w:val="bottom"/>
            <w:hideMark/>
          </w:tcPr>
          <w:p w14:paraId="640D0591" w14:textId="77777777" w:rsidR="007745A7" w:rsidRPr="007745A7" w:rsidRDefault="007745A7" w:rsidP="007745A7">
            <w:pPr>
              <w:rPr>
                <w:rFonts w:ascii="Arial" w:hAnsi="Arial" w:cs="Arial"/>
                <w:color w:val="000000"/>
                <w:sz w:val="22"/>
                <w:szCs w:val="22"/>
                <w:lang w:val="en-GB" w:eastAsia="en-GB"/>
              </w:rPr>
            </w:pPr>
            <w:r w:rsidRPr="007745A7">
              <w:rPr>
                <w:rFonts w:ascii="Arial" w:hAnsi="Arial" w:cs="Arial"/>
                <w:color w:val="000000"/>
                <w:sz w:val="22"/>
                <w:szCs w:val="22"/>
                <w:lang w:val="en-GB" w:eastAsia="en-GB"/>
              </w:rPr>
              <w:t> </w:t>
            </w:r>
          </w:p>
        </w:tc>
        <w:tc>
          <w:tcPr>
            <w:tcW w:w="7160" w:type="dxa"/>
            <w:tcBorders>
              <w:top w:val="nil"/>
              <w:left w:val="nil"/>
              <w:bottom w:val="nil"/>
              <w:right w:val="nil"/>
            </w:tcBorders>
            <w:shd w:val="clear" w:color="auto" w:fill="auto"/>
            <w:hideMark/>
          </w:tcPr>
          <w:p w14:paraId="629B7FBD"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Net assets of the scheme available to fund</w:t>
            </w:r>
          </w:p>
        </w:tc>
        <w:tc>
          <w:tcPr>
            <w:tcW w:w="1040" w:type="dxa"/>
            <w:tcBorders>
              <w:top w:val="nil"/>
              <w:left w:val="nil"/>
              <w:bottom w:val="nil"/>
              <w:right w:val="nil"/>
            </w:tcBorders>
            <w:shd w:val="clear" w:color="auto" w:fill="auto"/>
            <w:noWrap/>
            <w:vAlign w:val="bottom"/>
            <w:hideMark/>
          </w:tcPr>
          <w:p w14:paraId="02805D5D" w14:textId="77777777" w:rsidR="007745A7" w:rsidRPr="007745A7" w:rsidRDefault="007745A7" w:rsidP="007745A7">
            <w:pPr>
              <w:rPr>
                <w:rFonts w:ascii="Arial" w:hAnsi="Arial" w:cs="Arial"/>
                <w:b/>
                <w:bCs/>
                <w:sz w:val="22"/>
                <w:szCs w:val="22"/>
                <w:lang w:val="en-GB" w:eastAsia="en-GB"/>
              </w:rPr>
            </w:pPr>
          </w:p>
        </w:tc>
        <w:tc>
          <w:tcPr>
            <w:tcW w:w="960" w:type="dxa"/>
            <w:tcBorders>
              <w:top w:val="nil"/>
              <w:left w:val="nil"/>
              <w:bottom w:val="nil"/>
              <w:right w:val="single" w:sz="4" w:space="0" w:color="auto"/>
            </w:tcBorders>
            <w:shd w:val="clear" w:color="auto" w:fill="auto"/>
            <w:noWrap/>
            <w:vAlign w:val="bottom"/>
            <w:hideMark/>
          </w:tcPr>
          <w:p w14:paraId="118A7B40" w14:textId="77777777" w:rsidR="007745A7" w:rsidRPr="007745A7" w:rsidRDefault="007745A7" w:rsidP="007745A7">
            <w:pPr>
              <w:jc w:val="center"/>
              <w:rPr>
                <w:rFonts w:ascii="Arial" w:hAnsi="Arial" w:cs="Arial"/>
                <w:b/>
                <w:bCs/>
                <w:sz w:val="22"/>
                <w:szCs w:val="22"/>
                <w:lang w:val="en-GB" w:eastAsia="en-GB"/>
              </w:rPr>
            </w:pPr>
            <w:r w:rsidRPr="007745A7">
              <w:rPr>
                <w:rFonts w:ascii="Arial" w:hAnsi="Arial" w:cs="Arial"/>
                <w:b/>
                <w:bCs/>
                <w:sz w:val="22"/>
                <w:szCs w:val="22"/>
                <w:lang w:val="en-GB" w:eastAsia="en-GB"/>
              </w:rPr>
              <w:t> </w:t>
            </w:r>
          </w:p>
        </w:tc>
      </w:tr>
      <w:tr w:rsidR="007745A7" w:rsidRPr="007745A7" w14:paraId="18356FF7" w14:textId="77777777" w:rsidTr="007745A7">
        <w:trPr>
          <w:trHeight w:val="300"/>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14:paraId="0970D59E"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 xml:space="preserve">   930,068 </w:t>
            </w:r>
          </w:p>
        </w:tc>
        <w:tc>
          <w:tcPr>
            <w:tcW w:w="7160" w:type="dxa"/>
            <w:tcBorders>
              <w:top w:val="nil"/>
              <w:left w:val="nil"/>
              <w:bottom w:val="single" w:sz="4" w:space="0" w:color="auto"/>
              <w:right w:val="nil"/>
            </w:tcBorders>
            <w:shd w:val="clear" w:color="auto" w:fill="auto"/>
            <w:vAlign w:val="bottom"/>
            <w:hideMark/>
          </w:tcPr>
          <w:p w14:paraId="48BFD1C2" w14:textId="77777777" w:rsidR="007745A7" w:rsidRPr="007745A7" w:rsidRDefault="007745A7" w:rsidP="007745A7">
            <w:pPr>
              <w:rPr>
                <w:rFonts w:ascii="Arial" w:hAnsi="Arial" w:cs="Arial"/>
                <w:b/>
                <w:bCs/>
                <w:sz w:val="22"/>
                <w:szCs w:val="22"/>
                <w:lang w:val="en-GB" w:eastAsia="en-GB"/>
              </w:rPr>
            </w:pPr>
            <w:r w:rsidRPr="007745A7">
              <w:rPr>
                <w:rFonts w:ascii="Arial" w:hAnsi="Arial" w:cs="Arial"/>
                <w:b/>
                <w:bCs/>
                <w:sz w:val="22"/>
                <w:szCs w:val="22"/>
                <w:lang w:val="en-GB" w:eastAsia="en-GB"/>
              </w:rPr>
              <w:t>benefits at the period end</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1DEE4A2" w14:textId="77777777" w:rsidR="007745A7" w:rsidRPr="007745A7" w:rsidRDefault="007745A7" w:rsidP="007745A7">
            <w:pPr>
              <w:jc w:val="right"/>
              <w:rPr>
                <w:rFonts w:ascii="Arial" w:hAnsi="Arial" w:cs="Arial"/>
                <w:b/>
                <w:bCs/>
                <w:sz w:val="22"/>
                <w:szCs w:val="22"/>
                <w:lang w:val="en-GB" w:eastAsia="en-GB"/>
              </w:rPr>
            </w:pPr>
            <w:r w:rsidRPr="007745A7">
              <w:rPr>
                <w:rFonts w:ascii="Arial" w:hAnsi="Arial" w:cs="Arial"/>
                <w:b/>
                <w:bCs/>
                <w:sz w:val="22"/>
                <w:szCs w:val="22"/>
                <w:lang w:val="en-GB" w:eastAsia="en-GB"/>
              </w:rPr>
              <w:t xml:space="preserve">  862,506 </w:t>
            </w:r>
          </w:p>
        </w:tc>
        <w:tc>
          <w:tcPr>
            <w:tcW w:w="960" w:type="dxa"/>
            <w:tcBorders>
              <w:top w:val="nil"/>
              <w:left w:val="nil"/>
              <w:bottom w:val="single" w:sz="4" w:space="0" w:color="auto"/>
              <w:right w:val="single" w:sz="4" w:space="0" w:color="auto"/>
            </w:tcBorders>
            <w:shd w:val="clear" w:color="auto" w:fill="auto"/>
            <w:noWrap/>
            <w:vAlign w:val="bottom"/>
            <w:hideMark/>
          </w:tcPr>
          <w:p w14:paraId="5EF5D691" w14:textId="77777777" w:rsidR="007745A7" w:rsidRPr="007745A7" w:rsidRDefault="007745A7" w:rsidP="007745A7">
            <w:pPr>
              <w:rPr>
                <w:rFonts w:ascii="Arial" w:hAnsi="Arial" w:cs="Arial"/>
                <w:sz w:val="22"/>
                <w:szCs w:val="22"/>
                <w:lang w:val="en-GB" w:eastAsia="en-GB"/>
              </w:rPr>
            </w:pPr>
            <w:r w:rsidRPr="007745A7">
              <w:rPr>
                <w:rFonts w:ascii="Arial" w:hAnsi="Arial" w:cs="Arial"/>
                <w:sz w:val="22"/>
                <w:szCs w:val="22"/>
                <w:lang w:val="en-GB" w:eastAsia="en-GB"/>
              </w:rPr>
              <w:t> </w:t>
            </w:r>
          </w:p>
        </w:tc>
      </w:tr>
    </w:tbl>
    <w:p w14:paraId="6B889333" w14:textId="30277010" w:rsidR="009C7422" w:rsidRDefault="009C7422">
      <w:pPr>
        <w:spacing w:before="40"/>
        <w:ind w:left="118"/>
        <w:rPr>
          <w:rFonts w:ascii="Arial" w:eastAsia="Arial" w:hAnsi="Arial" w:cs="Arial"/>
          <w:sz w:val="22"/>
          <w:szCs w:val="22"/>
        </w:rPr>
      </w:pPr>
    </w:p>
    <w:p w14:paraId="54CDE19C" w14:textId="77777777" w:rsidR="003A178D" w:rsidRDefault="003A178D">
      <w:pPr>
        <w:spacing w:before="40"/>
        <w:ind w:left="118"/>
        <w:rPr>
          <w:rFonts w:ascii="Arial" w:eastAsia="Arial" w:hAnsi="Arial" w:cs="Arial"/>
          <w:sz w:val="22"/>
          <w:szCs w:val="22"/>
        </w:rPr>
      </w:pPr>
      <w:r w:rsidRPr="003A178D">
        <w:rPr>
          <w:rFonts w:ascii="Arial" w:eastAsia="Arial" w:hAnsi="Arial" w:cs="Arial"/>
          <w:b/>
          <w:bCs/>
          <w:sz w:val="22"/>
          <w:szCs w:val="22"/>
        </w:rPr>
        <w:t>NOTE:</w:t>
      </w:r>
      <w:r>
        <w:rPr>
          <w:rFonts w:ascii="Arial" w:eastAsia="Arial" w:hAnsi="Arial" w:cs="Arial"/>
          <w:sz w:val="22"/>
          <w:szCs w:val="22"/>
        </w:rPr>
        <w:t xml:space="preserve"> the fund’s financial statements do not take account of liabilities to pay pensions and other benefits after the period end. The actuarial present value of promised retirement benefits is disclosed at Note 17a. </w:t>
      </w:r>
    </w:p>
    <w:p w14:paraId="7248135E" w14:textId="77777777" w:rsidR="00933FA8" w:rsidRDefault="00933FA8">
      <w:pPr>
        <w:spacing w:before="40"/>
        <w:ind w:left="118"/>
        <w:rPr>
          <w:rFonts w:ascii="Arial" w:eastAsia="Arial" w:hAnsi="Arial" w:cs="Arial"/>
          <w:sz w:val="22"/>
          <w:szCs w:val="22"/>
        </w:rPr>
      </w:pPr>
    </w:p>
    <w:p w14:paraId="60F90EAE" w14:textId="62A8E152" w:rsidR="009C7422" w:rsidRPr="0025435A" w:rsidRDefault="001706EB" w:rsidP="0025435A">
      <w:pPr>
        <w:spacing w:after="200" w:line="276" w:lineRule="auto"/>
        <w:ind w:right="74"/>
        <w:jc w:val="both"/>
        <w:rPr>
          <w:rFonts w:ascii="Arial" w:eastAsia="Arial" w:hAnsi="Arial" w:cs="Arial"/>
          <w:spacing w:val="3"/>
          <w:sz w:val="22"/>
          <w:szCs w:val="22"/>
        </w:rPr>
      </w:pPr>
      <w:r w:rsidRPr="00BD17CA">
        <w:rPr>
          <w:rFonts w:ascii="Arial" w:eastAsia="Arial" w:hAnsi="Arial" w:cs="Arial"/>
          <w:spacing w:val="3"/>
          <w:sz w:val="22"/>
          <w:szCs w:val="22"/>
        </w:rPr>
        <w:t>T</w:t>
      </w:r>
      <w:r w:rsidRPr="0025435A">
        <w:rPr>
          <w:rFonts w:ascii="Arial" w:eastAsia="Arial" w:hAnsi="Arial" w:cs="Arial"/>
          <w:spacing w:val="3"/>
          <w:sz w:val="22"/>
          <w:szCs w:val="22"/>
        </w:rPr>
        <w:t xml:space="preserve">he accounts </w:t>
      </w:r>
      <w:proofErr w:type="spellStart"/>
      <w:r w:rsidRPr="0025435A">
        <w:rPr>
          <w:rFonts w:ascii="Arial" w:eastAsia="Arial" w:hAnsi="Arial" w:cs="Arial"/>
          <w:spacing w:val="3"/>
          <w:sz w:val="22"/>
          <w:szCs w:val="22"/>
        </w:rPr>
        <w:t>summarise</w:t>
      </w:r>
      <w:proofErr w:type="spellEnd"/>
      <w:r w:rsidRPr="0025435A">
        <w:rPr>
          <w:rFonts w:ascii="Arial" w:eastAsia="Arial" w:hAnsi="Arial" w:cs="Arial"/>
          <w:spacing w:val="3"/>
          <w:sz w:val="22"/>
          <w:szCs w:val="22"/>
        </w:rPr>
        <w:t xml:space="preserve"> the transactions of the fund and report on the net assets available to pay</w:t>
      </w:r>
      <w:r w:rsidRPr="00BD17CA">
        <w:rPr>
          <w:rFonts w:ascii="Arial" w:eastAsia="Arial" w:hAnsi="Arial" w:cs="Arial"/>
          <w:spacing w:val="3"/>
          <w:sz w:val="22"/>
          <w:szCs w:val="22"/>
        </w:rPr>
        <w:t xml:space="preserve"> </w:t>
      </w:r>
      <w:r w:rsidRPr="0025435A">
        <w:rPr>
          <w:rFonts w:ascii="Arial" w:eastAsia="Arial" w:hAnsi="Arial" w:cs="Arial"/>
          <w:spacing w:val="3"/>
          <w:sz w:val="22"/>
          <w:szCs w:val="22"/>
        </w:rPr>
        <w:t xml:space="preserve">pension benefits. </w:t>
      </w:r>
      <w:r w:rsidRPr="00BD17CA">
        <w:rPr>
          <w:rFonts w:ascii="Arial" w:eastAsia="Arial" w:hAnsi="Arial" w:cs="Arial"/>
          <w:spacing w:val="3"/>
          <w:sz w:val="22"/>
          <w:szCs w:val="22"/>
        </w:rPr>
        <w:t>T</w:t>
      </w:r>
      <w:r w:rsidRPr="0025435A">
        <w:rPr>
          <w:rFonts w:ascii="Arial" w:eastAsia="Arial" w:hAnsi="Arial" w:cs="Arial"/>
          <w:spacing w:val="3"/>
          <w:sz w:val="22"/>
          <w:szCs w:val="22"/>
        </w:rPr>
        <w:t>he accounts do not ta</w:t>
      </w:r>
      <w:r w:rsidRPr="00BD17CA">
        <w:rPr>
          <w:rFonts w:ascii="Arial" w:eastAsia="Arial" w:hAnsi="Arial" w:cs="Arial"/>
          <w:spacing w:val="3"/>
          <w:sz w:val="22"/>
          <w:szCs w:val="22"/>
        </w:rPr>
        <w:t>k</w:t>
      </w:r>
      <w:r w:rsidRPr="0025435A">
        <w:rPr>
          <w:rFonts w:ascii="Arial" w:eastAsia="Arial" w:hAnsi="Arial" w:cs="Arial"/>
          <w:spacing w:val="3"/>
          <w:sz w:val="22"/>
          <w:szCs w:val="22"/>
        </w:rPr>
        <w:t>e account of obligations to pay pensions and benefits whi</w:t>
      </w:r>
      <w:r w:rsidRPr="00BD17CA">
        <w:rPr>
          <w:rFonts w:ascii="Arial" w:eastAsia="Arial" w:hAnsi="Arial" w:cs="Arial"/>
          <w:spacing w:val="3"/>
          <w:sz w:val="22"/>
          <w:szCs w:val="22"/>
        </w:rPr>
        <w:t>c</w:t>
      </w:r>
      <w:r w:rsidRPr="0025435A">
        <w:rPr>
          <w:rFonts w:ascii="Arial" w:eastAsia="Arial" w:hAnsi="Arial" w:cs="Arial"/>
          <w:spacing w:val="3"/>
          <w:sz w:val="22"/>
          <w:szCs w:val="22"/>
        </w:rPr>
        <w:t xml:space="preserve">h fall due after the end of the financial year.  </w:t>
      </w:r>
      <w:r w:rsidRPr="00BD17CA">
        <w:rPr>
          <w:rFonts w:ascii="Arial" w:eastAsia="Arial" w:hAnsi="Arial" w:cs="Arial"/>
          <w:spacing w:val="3"/>
          <w:sz w:val="22"/>
          <w:szCs w:val="22"/>
        </w:rPr>
        <w:t>T</w:t>
      </w:r>
      <w:r w:rsidRPr="0025435A">
        <w:rPr>
          <w:rFonts w:ascii="Arial" w:eastAsia="Arial" w:hAnsi="Arial" w:cs="Arial"/>
          <w:spacing w:val="3"/>
          <w:sz w:val="22"/>
          <w:szCs w:val="22"/>
        </w:rPr>
        <w:t>he actuarial present value of promised retirement benefits, valued using the International Accounting Standa</w:t>
      </w:r>
      <w:r w:rsidRPr="00BD17CA">
        <w:rPr>
          <w:rFonts w:ascii="Arial" w:eastAsia="Arial" w:hAnsi="Arial" w:cs="Arial"/>
          <w:spacing w:val="3"/>
          <w:sz w:val="22"/>
          <w:szCs w:val="22"/>
        </w:rPr>
        <w:t>r</w:t>
      </w:r>
      <w:r w:rsidRPr="0025435A">
        <w:rPr>
          <w:rFonts w:ascii="Arial" w:eastAsia="Arial" w:hAnsi="Arial" w:cs="Arial"/>
          <w:spacing w:val="3"/>
          <w:sz w:val="22"/>
          <w:szCs w:val="22"/>
        </w:rPr>
        <w:t xml:space="preserve">d IAS19 basis, is disclosed in Note </w:t>
      </w:r>
      <w:r w:rsidR="00247116" w:rsidRPr="0025435A">
        <w:rPr>
          <w:rFonts w:ascii="Arial" w:eastAsia="Arial" w:hAnsi="Arial" w:cs="Arial"/>
          <w:spacing w:val="3"/>
          <w:sz w:val="22"/>
          <w:szCs w:val="22"/>
        </w:rPr>
        <w:t xml:space="preserve">17a </w:t>
      </w:r>
      <w:r w:rsidRPr="0025435A">
        <w:rPr>
          <w:rFonts w:ascii="Arial" w:eastAsia="Arial" w:hAnsi="Arial" w:cs="Arial"/>
          <w:spacing w:val="3"/>
          <w:sz w:val="22"/>
          <w:szCs w:val="22"/>
        </w:rPr>
        <w:t>of these statements.</w:t>
      </w:r>
    </w:p>
    <w:p w14:paraId="509099BF" w14:textId="77777777" w:rsidR="009C7422" w:rsidRPr="00BD17CA" w:rsidRDefault="001706EB" w:rsidP="00FA3B7D">
      <w:pPr>
        <w:spacing w:after="200" w:line="276" w:lineRule="auto"/>
        <w:ind w:right="74"/>
        <w:jc w:val="both"/>
        <w:rPr>
          <w:rFonts w:ascii="Arial" w:eastAsia="Arial" w:hAnsi="Arial" w:cs="Arial"/>
          <w:sz w:val="22"/>
          <w:szCs w:val="22"/>
        </w:rPr>
      </w:pPr>
      <w:r w:rsidRPr="00BD17CA">
        <w:rPr>
          <w:rFonts w:ascii="Arial" w:eastAsia="Arial" w:hAnsi="Arial" w:cs="Arial"/>
          <w:b/>
          <w:sz w:val="22"/>
          <w:szCs w:val="22"/>
        </w:rPr>
        <w:t>N</w:t>
      </w:r>
      <w:r w:rsidRPr="00BD17CA">
        <w:rPr>
          <w:rFonts w:ascii="Arial" w:eastAsia="Arial" w:hAnsi="Arial" w:cs="Arial"/>
          <w:b/>
          <w:spacing w:val="1"/>
          <w:sz w:val="22"/>
          <w:szCs w:val="22"/>
        </w:rPr>
        <w:t>O</w:t>
      </w:r>
      <w:r w:rsidRPr="00BD17CA">
        <w:rPr>
          <w:rFonts w:ascii="Arial" w:eastAsia="Arial" w:hAnsi="Arial" w:cs="Arial"/>
          <w:b/>
          <w:spacing w:val="3"/>
          <w:sz w:val="22"/>
          <w:szCs w:val="22"/>
        </w:rPr>
        <w:t>T</w:t>
      </w:r>
      <w:r w:rsidRPr="00BD17CA">
        <w:rPr>
          <w:rFonts w:ascii="Arial" w:eastAsia="Arial" w:hAnsi="Arial" w:cs="Arial"/>
          <w:b/>
          <w:sz w:val="22"/>
          <w:szCs w:val="22"/>
        </w:rPr>
        <w:t>E</w:t>
      </w:r>
      <w:r w:rsidRPr="00BD17CA">
        <w:rPr>
          <w:rFonts w:ascii="Arial" w:eastAsia="Arial" w:hAnsi="Arial" w:cs="Arial"/>
          <w:b/>
          <w:spacing w:val="-7"/>
          <w:sz w:val="22"/>
          <w:szCs w:val="22"/>
        </w:rPr>
        <w:t xml:space="preserve"> </w:t>
      </w:r>
      <w:r w:rsidRPr="00BD17CA">
        <w:rPr>
          <w:rFonts w:ascii="Arial" w:eastAsia="Arial" w:hAnsi="Arial" w:cs="Arial"/>
          <w:b/>
          <w:sz w:val="22"/>
          <w:szCs w:val="22"/>
        </w:rPr>
        <w:t>1:</w:t>
      </w:r>
      <w:r w:rsidRPr="00BD17CA">
        <w:rPr>
          <w:rFonts w:ascii="Arial" w:eastAsia="Arial" w:hAnsi="Arial" w:cs="Arial"/>
          <w:b/>
          <w:spacing w:val="-2"/>
          <w:sz w:val="22"/>
          <w:szCs w:val="22"/>
        </w:rPr>
        <w:t xml:space="preserve"> </w:t>
      </w:r>
      <w:r w:rsidRPr="00BD17CA">
        <w:rPr>
          <w:rFonts w:ascii="Arial" w:eastAsia="Arial" w:hAnsi="Arial" w:cs="Arial"/>
          <w:b/>
          <w:sz w:val="22"/>
          <w:szCs w:val="22"/>
        </w:rPr>
        <w:t>DE</w:t>
      </w:r>
      <w:r w:rsidRPr="00BD17CA">
        <w:rPr>
          <w:rFonts w:ascii="Arial" w:eastAsia="Arial" w:hAnsi="Arial" w:cs="Arial"/>
          <w:b/>
          <w:spacing w:val="-1"/>
          <w:sz w:val="22"/>
          <w:szCs w:val="22"/>
        </w:rPr>
        <w:t>S</w:t>
      </w:r>
      <w:r w:rsidRPr="00BD17CA">
        <w:rPr>
          <w:rFonts w:ascii="Arial" w:eastAsia="Arial" w:hAnsi="Arial" w:cs="Arial"/>
          <w:b/>
          <w:spacing w:val="2"/>
          <w:sz w:val="22"/>
          <w:szCs w:val="22"/>
        </w:rPr>
        <w:t>C</w:t>
      </w:r>
      <w:r w:rsidRPr="00BD17CA">
        <w:rPr>
          <w:rFonts w:ascii="Arial" w:eastAsia="Arial" w:hAnsi="Arial" w:cs="Arial"/>
          <w:b/>
          <w:sz w:val="22"/>
          <w:szCs w:val="22"/>
        </w:rPr>
        <w:t>RI</w:t>
      </w:r>
      <w:r w:rsidRPr="00BD17CA">
        <w:rPr>
          <w:rFonts w:ascii="Arial" w:eastAsia="Arial" w:hAnsi="Arial" w:cs="Arial"/>
          <w:b/>
          <w:spacing w:val="-1"/>
          <w:sz w:val="22"/>
          <w:szCs w:val="22"/>
        </w:rPr>
        <w:t>P</w:t>
      </w:r>
      <w:r w:rsidRPr="00BD17CA">
        <w:rPr>
          <w:rFonts w:ascii="Arial" w:eastAsia="Arial" w:hAnsi="Arial" w:cs="Arial"/>
          <w:b/>
          <w:spacing w:val="3"/>
          <w:sz w:val="22"/>
          <w:szCs w:val="22"/>
        </w:rPr>
        <w:t>T</w:t>
      </w:r>
      <w:r w:rsidRPr="00BD17CA">
        <w:rPr>
          <w:rFonts w:ascii="Arial" w:eastAsia="Arial" w:hAnsi="Arial" w:cs="Arial"/>
          <w:b/>
          <w:sz w:val="22"/>
          <w:szCs w:val="22"/>
        </w:rPr>
        <w:t>I</w:t>
      </w:r>
      <w:r w:rsidRPr="00BD17CA">
        <w:rPr>
          <w:rFonts w:ascii="Arial" w:eastAsia="Arial" w:hAnsi="Arial" w:cs="Arial"/>
          <w:b/>
          <w:spacing w:val="1"/>
          <w:sz w:val="22"/>
          <w:szCs w:val="22"/>
        </w:rPr>
        <w:t>O</w:t>
      </w:r>
      <w:r w:rsidRPr="00BD17CA">
        <w:rPr>
          <w:rFonts w:ascii="Arial" w:eastAsia="Arial" w:hAnsi="Arial" w:cs="Arial"/>
          <w:b/>
          <w:sz w:val="22"/>
          <w:szCs w:val="22"/>
        </w:rPr>
        <w:t>N</w:t>
      </w:r>
      <w:r w:rsidRPr="00BD17CA">
        <w:rPr>
          <w:rFonts w:ascii="Arial" w:eastAsia="Arial" w:hAnsi="Arial" w:cs="Arial"/>
          <w:b/>
          <w:spacing w:val="-14"/>
          <w:sz w:val="22"/>
          <w:szCs w:val="22"/>
        </w:rPr>
        <w:t xml:space="preserve"> </w:t>
      </w:r>
      <w:r w:rsidRPr="00BD17CA">
        <w:rPr>
          <w:rFonts w:ascii="Arial" w:eastAsia="Arial" w:hAnsi="Arial" w:cs="Arial"/>
          <w:b/>
          <w:spacing w:val="1"/>
          <w:sz w:val="22"/>
          <w:szCs w:val="22"/>
        </w:rPr>
        <w:t>O</w:t>
      </w:r>
      <w:r w:rsidRPr="00BD17CA">
        <w:rPr>
          <w:rFonts w:ascii="Arial" w:eastAsia="Arial" w:hAnsi="Arial" w:cs="Arial"/>
          <w:b/>
          <w:sz w:val="22"/>
          <w:szCs w:val="22"/>
        </w:rPr>
        <w:t>F</w:t>
      </w:r>
      <w:r w:rsidRPr="00BD17CA">
        <w:rPr>
          <w:rFonts w:ascii="Arial" w:eastAsia="Arial" w:hAnsi="Arial" w:cs="Arial"/>
          <w:b/>
          <w:spacing w:val="-3"/>
          <w:sz w:val="22"/>
          <w:szCs w:val="22"/>
        </w:rPr>
        <w:t xml:space="preserve"> </w:t>
      </w:r>
      <w:r w:rsidRPr="00BD17CA">
        <w:rPr>
          <w:rFonts w:ascii="Arial" w:eastAsia="Arial" w:hAnsi="Arial" w:cs="Arial"/>
          <w:b/>
          <w:spacing w:val="3"/>
          <w:sz w:val="22"/>
          <w:szCs w:val="22"/>
        </w:rPr>
        <w:t>T</w:t>
      </w:r>
      <w:r w:rsidRPr="00BD17CA">
        <w:rPr>
          <w:rFonts w:ascii="Arial" w:eastAsia="Arial" w:hAnsi="Arial" w:cs="Arial"/>
          <w:b/>
          <w:sz w:val="22"/>
          <w:szCs w:val="22"/>
        </w:rPr>
        <w:t>HE</w:t>
      </w:r>
      <w:r w:rsidRPr="00BD17CA">
        <w:rPr>
          <w:rFonts w:ascii="Arial" w:eastAsia="Arial" w:hAnsi="Arial" w:cs="Arial"/>
          <w:b/>
          <w:spacing w:val="-5"/>
          <w:sz w:val="22"/>
          <w:szCs w:val="22"/>
        </w:rPr>
        <w:t xml:space="preserve"> </w:t>
      </w:r>
      <w:r w:rsidRPr="00BD17CA">
        <w:rPr>
          <w:rFonts w:ascii="Arial" w:eastAsia="Arial" w:hAnsi="Arial" w:cs="Arial"/>
          <w:b/>
          <w:sz w:val="22"/>
          <w:szCs w:val="22"/>
        </w:rPr>
        <w:t>FUND</w:t>
      </w:r>
    </w:p>
    <w:p w14:paraId="4ADE95A3" w14:textId="77777777" w:rsidR="009C7422" w:rsidRPr="00BD17CA" w:rsidRDefault="001706EB" w:rsidP="00FA3B7D">
      <w:pPr>
        <w:spacing w:after="200" w:line="276" w:lineRule="auto"/>
        <w:ind w:right="74"/>
        <w:jc w:val="both"/>
        <w:rPr>
          <w:rFonts w:ascii="Arial" w:eastAsia="Arial" w:hAnsi="Arial" w:cs="Arial"/>
          <w:sz w:val="22"/>
          <w:szCs w:val="22"/>
        </w:rPr>
      </w:pPr>
      <w:r w:rsidRPr="00BD17CA">
        <w:rPr>
          <w:rFonts w:ascii="Arial" w:eastAsia="Arial" w:hAnsi="Arial" w:cs="Arial"/>
          <w:spacing w:val="3"/>
          <w:sz w:val="22"/>
          <w:szCs w:val="22"/>
        </w:rPr>
        <w:t>T</w:t>
      </w:r>
      <w:r w:rsidRPr="00BD17CA">
        <w:rPr>
          <w:rFonts w:ascii="Arial" w:eastAsia="Arial" w:hAnsi="Arial" w:cs="Arial"/>
          <w:sz w:val="22"/>
          <w:szCs w:val="22"/>
        </w:rPr>
        <w:t>he</w:t>
      </w:r>
      <w:r w:rsidRPr="00BD17CA">
        <w:rPr>
          <w:rFonts w:ascii="Arial" w:eastAsia="Arial" w:hAnsi="Arial" w:cs="Arial"/>
          <w:spacing w:val="7"/>
          <w:sz w:val="22"/>
          <w:szCs w:val="22"/>
        </w:rPr>
        <w:t xml:space="preserve"> </w:t>
      </w:r>
      <w:r w:rsidRPr="00BD17CA">
        <w:rPr>
          <w:rFonts w:ascii="Arial" w:eastAsia="Arial" w:hAnsi="Arial" w:cs="Arial"/>
          <w:sz w:val="22"/>
          <w:szCs w:val="22"/>
        </w:rPr>
        <w:t>L</w:t>
      </w:r>
      <w:r w:rsidRPr="00BD17CA">
        <w:rPr>
          <w:rFonts w:ascii="Arial" w:eastAsia="Arial" w:hAnsi="Arial" w:cs="Arial"/>
          <w:spacing w:val="-1"/>
          <w:sz w:val="22"/>
          <w:szCs w:val="22"/>
        </w:rPr>
        <w:t>o</w:t>
      </w:r>
      <w:r w:rsidRPr="00BD17CA">
        <w:rPr>
          <w:rFonts w:ascii="Arial" w:eastAsia="Arial" w:hAnsi="Arial" w:cs="Arial"/>
          <w:sz w:val="22"/>
          <w:szCs w:val="22"/>
        </w:rPr>
        <w:t>nd</w:t>
      </w:r>
      <w:r w:rsidRPr="00BD17CA">
        <w:rPr>
          <w:rFonts w:ascii="Arial" w:eastAsia="Arial" w:hAnsi="Arial" w:cs="Arial"/>
          <w:spacing w:val="2"/>
          <w:sz w:val="22"/>
          <w:szCs w:val="22"/>
        </w:rPr>
        <w:t>o</w:t>
      </w:r>
      <w:r w:rsidRPr="00BD17CA">
        <w:rPr>
          <w:rFonts w:ascii="Arial" w:eastAsia="Arial" w:hAnsi="Arial" w:cs="Arial"/>
          <w:sz w:val="22"/>
          <w:szCs w:val="22"/>
        </w:rPr>
        <w:t>n</w:t>
      </w:r>
      <w:r w:rsidRPr="00BD17CA">
        <w:rPr>
          <w:rFonts w:ascii="Arial" w:eastAsia="Arial" w:hAnsi="Arial" w:cs="Arial"/>
          <w:spacing w:val="4"/>
          <w:sz w:val="22"/>
          <w:szCs w:val="22"/>
        </w:rPr>
        <w:t xml:space="preserve"> </w:t>
      </w:r>
      <w:r w:rsidRPr="00BD17CA">
        <w:rPr>
          <w:rFonts w:ascii="Arial" w:eastAsia="Arial" w:hAnsi="Arial" w:cs="Arial"/>
          <w:spacing w:val="-1"/>
          <w:sz w:val="22"/>
          <w:szCs w:val="22"/>
        </w:rPr>
        <w:t>B</w:t>
      </w:r>
      <w:r w:rsidRPr="00BD17CA">
        <w:rPr>
          <w:rFonts w:ascii="Arial" w:eastAsia="Arial" w:hAnsi="Arial" w:cs="Arial"/>
          <w:sz w:val="22"/>
          <w:szCs w:val="22"/>
        </w:rPr>
        <w:t>or</w:t>
      </w:r>
      <w:r w:rsidRPr="00BD17CA">
        <w:rPr>
          <w:rFonts w:ascii="Arial" w:eastAsia="Arial" w:hAnsi="Arial" w:cs="Arial"/>
          <w:spacing w:val="2"/>
          <w:sz w:val="22"/>
          <w:szCs w:val="22"/>
        </w:rPr>
        <w:t>o</w:t>
      </w:r>
      <w:r w:rsidRPr="00BD17CA">
        <w:rPr>
          <w:rFonts w:ascii="Arial" w:eastAsia="Arial" w:hAnsi="Arial" w:cs="Arial"/>
          <w:sz w:val="22"/>
          <w:szCs w:val="22"/>
        </w:rPr>
        <w:t>u</w:t>
      </w:r>
      <w:r w:rsidRPr="00BD17CA">
        <w:rPr>
          <w:rFonts w:ascii="Arial" w:eastAsia="Arial" w:hAnsi="Arial" w:cs="Arial"/>
          <w:spacing w:val="-1"/>
          <w:sz w:val="22"/>
          <w:szCs w:val="22"/>
        </w:rPr>
        <w:t>g</w:t>
      </w:r>
      <w:r w:rsidRPr="00BD17CA">
        <w:rPr>
          <w:rFonts w:ascii="Arial" w:eastAsia="Arial" w:hAnsi="Arial" w:cs="Arial"/>
          <w:sz w:val="22"/>
          <w:szCs w:val="22"/>
        </w:rPr>
        <w:t>h</w:t>
      </w:r>
      <w:r w:rsidRPr="00BD17CA">
        <w:rPr>
          <w:rFonts w:ascii="Arial" w:eastAsia="Arial" w:hAnsi="Arial" w:cs="Arial"/>
          <w:spacing w:val="5"/>
          <w:sz w:val="22"/>
          <w:szCs w:val="22"/>
        </w:rPr>
        <w:t xml:space="preserve"> </w:t>
      </w:r>
      <w:r w:rsidRPr="00BD17CA">
        <w:rPr>
          <w:rFonts w:ascii="Arial" w:eastAsia="Arial" w:hAnsi="Arial" w:cs="Arial"/>
          <w:sz w:val="22"/>
          <w:szCs w:val="22"/>
        </w:rPr>
        <w:t>of</w:t>
      </w:r>
      <w:r w:rsidRPr="00BD17CA">
        <w:rPr>
          <w:rFonts w:ascii="Arial" w:eastAsia="Arial" w:hAnsi="Arial" w:cs="Arial"/>
          <w:spacing w:val="6"/>
          <w:sz w:val="22"/>
          <w:szCs w:val="22"/>
        </w:rPr>
        <w:t xml:space="preserve"> </w:t>
      </w:r>
      <w:r w:rsidRPr="00BD17CA">
        <w:rPr>
          <w:rFonts w:ascii="Arial" w:eastAsia="Arial" w:hAnsi="Arial" w:cs="Arial"/>
          <w:spacing w:val="4"/>
          <w:sz w:val="22"/>
          <w:szCs w:val="22"/>
        </w:rPr>
        <w:t>W</w:t>
      </w:r>
      <w:r w:rsidRPr="00BD17CA">
        <w:rPr>
          <w:rFonts w:ascii="Arial" w:eastAsia="Arial" w:hAnsi="Arial" w:cs="Arial"/>
          <w:sz w:val="22"/>
          <w:szCs w:val="22"/>
        </w:rPr>
        <w:t>a</w:t>
      </w:r>
      <w:r w:rsidRPr="00BD17CA">
        <w:rPr>
          <w:rFonts w:ascii="Arial" w:eastAsia="Arial" w:hAnsi="Arial" w:cs="Arial"/>
          <w:spacing w:val="-1"/>
          <w:sz w:val="22"/>
          <w:szCs w:val="22"/>
        </w:rPr>
        <w:t>l</w:t>
      </w:r>
      <w:r w:rsidRPr="00BD17CA">
        <w:rPr>
          <w:rFonts w:ascii="Arial" w:eastAsia="Arial" w:hAnsi="Arial" w:cs="Arial"/>
          <w:sz w:val="22"/>
          <w:szCs w:val="22"/>
        </w:rPr>
        <w:t>t</w:t>
      </w:r>
      <w:r w:rsidRPr="00BD17CA">
        <w:rPr>
          <w:rFonts w:ascii="Arial" w:eastAsia="Arial" w:hAnsi="Arial" w:cs="Arial"/>
          <w:spacing w:val="2"/>
          <w:sz w:val="22"/>
          <w:szCs w:val="22"/>
        </w:rPr>
        <w:t>h</w:t>
      </w:r>
      <w:r w:rsidRPr="00BD17CA">
        <w:rPr>
          <w:rFonts w:ascii="Arial" w:eastAsia="Arial" w:hAnsi="Arial" w:cs="Arial"/>
          <w:sz w:val="22"/>
          <w:szCs w:val="22"/>
        </w:rPr>
        <w:t>am</w:t>
      </w:r>
      <w:r w:rsidRPr="00BD17CA">
        <w:rPr>
          <w:rFonts w:ascii="Arial" w:eastAsia="Arial" w:hAnsi="Arial" w:cs="Arial"/>
          <w:spacing w:val="7"/>
          <w:sz w:val="22"/>
          <w:szCs w:val="22"/>
        </w:rPr>
        <w:t xml:space="preserve"> </w:t>
      </w:r>
      <w:r w:rsidRPr="00BD17CA">
        <w:rPr>
          <w:rFonts w:ascii="Arial" w:eastAsia="Arial" w:hAnsi="Arial" w:cs="Arial"/>
          <w:sz w:val="22"/>
          <w:szCs w:val="22"/>
        </w:rPr>
        <w:t>Fore</w:t>
      </w:r>
      <w:r w:rsidRPr="00BD17CA">
        <w:rPr>
          <w:rFonts w:ascii="Arial" w:eastAsia="Arial" w:hAnsi="Arial" w:cs="Arial"/>
          <w:spacing w:val="1"/>
          <w:sz w:val="22"/>
          <w:szCs w:val="22"/>
        </w:rPr>
        <w:t>s</w:t>
      </w:r>
      <w:r w:rsidRPr="00BD17CA">
        <w:rPr>
          <w:rFonts w:ascii="Arial" w:eastAsia="Arial" w:hAnsi="Arial" w:cs="Arial"/>
          <w:sz w:val="22"/>
          <w:szCs w:val="22"/>
        </w:rPr>
        <w:t>t</w:t>
      </w:r>
      <w:r w:rsidRPr="00BD17CA">
        <w:rPr>
          <w:rFonts w:ascii="Arial" w:eastAsia="Arial" w:hAnsi="Arial" w:cs="Arial"/>
          <w:spacing w:val="5"/>
          <w:sz w:val="22"/>
          <w:szCs w:val="22"/>
        </w:rPr>
        <w:t xml:space="preserve"> </w:t>
      </w:r>
      <w:r w:rsidRPr="00BD17CA">
        <w:rPr>
          <w:rFonts w:ascii="Arial" w:eastAsia="Arial" w:hAnsi="Arial" w:cs="Arial"/>
          <w:spacing w:val="-1"/>
          <w:sz w:val="22"/>
          <w:szCs w:val="22"/>
        </w:rPr>
        <w:t>P</w:t>
      </w:r>
      <w:r w:rsidRPr="00BD17CA">
        <w:rPr>
          <w:rFonts w:ascii="Arial" w:eastAsia="Arial" w:hAnsi="Arial" w:cs="Arial"/>
          <w:sz w:val="22"/>
          <w:szCs w:val="22"/>
        </w:rPr>
        <w:t>e</w:t>
      </w:r>
      <w:r w:rsidRPr="00BD17CA">
        <w:rPr>
          <w:rFonts w:ascii="Arial" w:eastAsia="Arial" w:hAnsi="Arial" w:cs="Arial"/>
          <w:spacing w:val="-1"/>
          <w:sz w:val="22"/>
          <w:szCs w:val="22"/>
        </w:rPr>
        <w:t>n</w:t>
      </w:r>
      <w:r w:rsidRPr="00BD17CA">
        <w:rPr>
          <w:rFonts w:ascii="Arial" w:eastAsia="Arial" w:hAnsi="Arial" w:cs="Arial"/>
          <w:spacing w:val="1"/>
          <w:sz w:val="22"/>
          <w:szCs w:val="22"/>
        </w:rPr>
        <w:t>s</w:t>
      </w:r>
      <w:r w:rsidRPr="00BD17CA">
        <w:rPr>
          <w:rFonts w:ascii="Arial" w:eastAsia="Arial" w:hAnsi="Arial" w:cs="Arial"/>
          <w:spacing w:val="-1"/>
          <w:sz w:val="22"/>
          <w:szCs w:val="22"/>
        </w:rPr>
        <w:t>i</w:t>
      </w:r>
      <w:r w:rsidRPr="00BD17CA">
        <w:rPr>
          <w:rFonts w:ascii="Arial" w:eastAsia="Arial" w:hAnsi="Arial" w:cs="Arial"/>
          <w:sz w:val="22"/>
          <w:szCs w:val="22"/>
        </w:rPr>
        <w:t>on</w:t>
      </w:r>
      <w:r w:rsidRPr="00BD17CA">
        <w:rPr>
          <w:rFonts w:ascii="Arial" w:eastAsia="Arial" w:hAnsi="Arial" w:cs="Arial"/>
          <w:spacing w:val="3"/>
          <w:sz w:val="22"/>
          <w:szCs w:val="22"/>
        </w:rPr>
        <w:t xml:space="preserve"> </w:t>
      </w:r>
      <w:r w:rsidRPr="00BD17CA">
        <w:rPr>
          <w:rFonts w:ascii="Arial" w:eastAsia="Arial" w:hAnsi="Arial" w:cs="Arial"/>
          <w:sz w:val="22"/>
          <w:szCs w:val="22"/>
        </w:rPr>
        <w:t>F</w:t>
      </w:r>
      <w:r w:rsidRPr="00BD17CA">
        <w:rPr>
          <w:rFonts w:ascii="Arial" w:eastAsia="Arial" w:hAnsi="Arial" w:cs="Arial"/>
          <w:spacing w:val="2"/>
          <w:sz w:val="22"/>
          <w:szCs w:val="22"/>
        </w:rPr>
        <w:t>u</w:t>
      </w:r>
      <w:r w:rsidRPr="00BD17CA">
        <w:rPr>
          <w:rFonts w:ascii="Arial" w:eastAsia="Arial" w:hAnsi="Arial" w:cs="Arial"/>
          <w:sz w:val="22"/>
          <w:szCs w:val="22"/>
        </w:rPr>
        <w:t>nd</w:t>
      </w:r>
      <w:r w:rsidRPr="00BD17CA">
        <w:rPr>
          <w:rFonts w:ascii="Arial" w:eastAsia="Arial" w:hAnsi="Arial" w:cs="Arial"/>
          <w:spacing w:val="5"/>
          <w:sz w:val="22"/>
          <w:szCs w:val="22"/>
        </w:rPr>
        <w:t xml:space="preserve"> </w:t>
      </w:r>
      <w:r w:rsidRPr="00BD17CA">
        <w:rPr>
          <w:rFonts w:ascii="Arial" w:eastAsia="Arial" w:hAnsi="Arial" w:cs="Arial"/>
          <w:spacing w:val="1"/>
          <w:sz w:val="22"/>
          <w:szCs w:val="22"/>
        </w:rPr>
        <w:t>(</w:t>
      </w:r>
      <w:r w:rsidRPr="00BD17CA">
        <w:rPr>
          <w:rFonts w:ascii="Arial" w:eastAsia="Arial" w:hAnsi="Arial" w:cs="Arial"/>
          <w:sz w:val="22"/>
          <w:szCs w:val="22"/>
        </w:rPr>
        <w:t>'the</w:t>
      </w:r>
      <w:r w:rsidRPr="00BD17CA">
        <w:rPr>
          <w:rFonts w:ascii="Arial" w:eastAsia="Arial" w:hAnsi="Arial" w:cs="Arial"/>
          <w:spacing w:val="6"/>
          <w:sz w:val="22"/>
          <w:szCs w:val="22"/>
        </w:rPr>
        <w:t xml:space="preserve"> </w:t>
      </w:r>
      <w:r w:rsidRPr="00BD17CA">
        <w:rPr>
          <w:rFonts w:ascii="Arial" w:eastAsia="Arial" w:hAnsi="Arial" w:cs="Arial"/>
          <w:spacing w:val="2"/>
          <w:sz w:val="22"/>
          <w:szCs w:val="22"/>
        </w:rPr>
        <w:t>f</w:t>
      </w:r>
      <w:r w:rsidRPr="00BD17CA">
        <w:rPr>
          <w:rFonts w:ascii="Arial" w:eastAsia="Arial" w:hAnsi="Arial" w:cs="Arial"/>
          <w:sz w:val="22"/>
          <w:szCs w:val="22"/>
        </w:rPr>
        <w:t>u</w:t>
      </w:r>
      <w:r w:rsidRPr="00BD17CA">
        <w:rPr>
          <w:rFonts w:ascii="Arial" w:eastAsia="Arial" w:hAnsi="Arial" w:cs="Arial"/>
          <w:spacing w:val="-1"/>
          <w:sz w:val="22"/>
          <w:szCs w:val="22"/>
        </w:rPr>
        <w:t>n</w:t>
      </w:r>
      <w:r w:rsidRPr="00BD17CA">
        <w:rPr>
          <w:rFonts w:ascii="Arial" w:eastAsia="Arial" w:hAnsi="Arial" w:cs="Arial"/>
          <w:sz w:val="22"/>
          <w:szCs w:val="22"/>
        </w:rPr>
        <w:t>d')</w:t>
      </w:r>
      <w:r w:rsidRPr="00BD17CA">
        <w:rPr>
          <w:rFonts w:ascii="Arial" w:eastAsia="Arial" w:hAnsi="Arial" w:cs="Arial"/>
          <w:spacing w:val="6"/>
          <w:sz w:val="22"/>
          <w:szCs w:val="22"/>
        </w:rPr>
        <w:t xml:space="preserve"> </w:t>
      </w:r>
      <w:r w:rsidRPr="00BD17CA">
        <w:rPr>
          <w:rFonts w:ascii="Arial" w:eastAsia="Arial" w:hAnsi="Arial" w:cs="Arial"/>
          <w:spacing w:val="-1"/>
          <w:sz w:val="22"/>
          <w:szCs w:val="22"/>
        </w:rPr>
        <w:t>i</w:t>
      </w:r>
      <w:r w:rsidRPr="00BD17CA">
        <w:rPr>
          <w:rFonts w:ascii="Arial" w:eastAsia="Arial" w:hAnsi="Arial" w:cs="Arial"/>
          <w:sz w:val="22"/>
          <w:szCs w:val="22"/>
        </w:rPr>
        <w:t>s</w:t>
      </w:r>
      <w:r w:rsidRPr="00BD17CA">
        <w:rPr>
          <w:rFonts w:ascii="Arial" w:eastAsia="Arial" w:hAnsi="Arial" w:cs="Arial"/>
          <w:spacing w:val="11"/>
          <w:sz w:val="22"/>
          <w:szCs w:val="22"/>
        </w:rPr>
        <w:t xml:space="preserve"> </w:t>
      </w:r>
      <w:r w:rsidRPr="00BD17CA">
        <w:rPr>
          <w:rFonts w:ascii="Arial" w:eastAsia="Arial" w:hAnsi="Arial" w:cs="Arial"/>
          <w:sz w:val="22"/>
          <w:szCs w:val="22"/>
        </w:rPr>
        <w:t>p</w:t>
      </w:r>
      <w:r w:rsidRPr="00BD17CA">
        <w:rPr>
          <w:rFonts w:ascii="Arial" w:eastAsia="Arial" w:hAnsi="Arial" w:cs="Arial"/>
          <w:spacing w:val="-1"/>
          <w:sz w:val="22"/>
          <w:szCs w:val="22"/>
        </w:rPr>
        <w:t>a</w:t>
      </w:r>
      <w:r w:rsidRPr="00BD17CA">
        <w:rPr>
          <w:rFonts w:ascii="Arial" w:eastAsia="Arial" w:hAnsi="Arial" w:cs="Arial"/>
          <w:spacing w:val="1"/>
          <w:sz w:val="22"/>
          <w:szCs w:val="22"/>
        </w:rPr>
        <w:t>r</w:t>
      </w:r>
      <w:r w:rsidRPr="00BD17CA">
        <w:rPr>
          <w:rFonts w:ascii="Arial" w:eastAsia="Arial" w:hAnsi="Arial" w:cs="Arial"/>
          <w:sz w:val="22"/>
          <w:szCs w:val="22"/>
        </w:rPr>
        <w:t>t</w:t>
      </w:r>
      <w:r w:rsidRPr="00BD17CA">
        <w:rPr>
          <w:rFonts w:ascii="Arial" w:eastAsia="Arial" w:hAnsi="Arial" w:cs="Arial"/>
          <w:spacing w:val="8"/>
          <w:sz w:val="22"/>
          <w:szCs w:val="22"/>
        </w:rPr>
        <w:t xml:space="preserve"> </w:t>
      </w:r>
      <w:r w:rsidRPr="00BD17CA">
        <w:rPr>
          <w:rFonts w:ascii="Arial" w:eastAsia="Arial" w:hAnsi="Arial" w:cs="Arial"/>
          <w:sz w:val="22"/>
          <w:szCs w:val="22"/>
        </w:rPr>
        <w:t>of</w:t>
      </w:r>
      <w:r w:rsidRPr="00BD17CA">
        <w:rPr>
          <w:rFonts w:ascii="Arial" w:eastAsia="Arial" w:hAnsi="Arial" w:cs="Arial"/>
          <w:spacing w:val="10"/>
          <w:sz w:val="22"/>
          <w:szCs w:val="22"/>
        </w:rPr>
        <w:t xml:space="preserve"> </w:t>
      </w:r>
      <w:r w:rsidRPr="00BD17CA">
        <w:rPr>
          <w:rFonts w:ascii="Arial" w:eastAsia="Arial" w:hAnsi="Arial" w:cs="Arial"/>
          <w:sz w:val="22"/>
          <w:szCs w:val="22"/>
        </w:rPr>
        <w:t>t</w:t>
      </w:r>
      <w:r w:rsidRPr="00BD17CA">
        <w:rPr>
          <w:rFonts w:ascii="Arial" w:eastAsia="Arial" w:hAnsi="Arial" w:cs="Arial"/>
          <w:spacing w:val="2"/>
          <w:sz w:val="22"/>
          <w:szCs w:val="22"/>
        </w:rPr>
        <w:t>h</w:t>
      </w:r>
      <w:r w:rsidRPr="00BD17CA">
        <w:rPr>
          <w:rFonts w:ascii="Arial" w:eastAsia="Arial" w:hAnsi="Arial" w:cs="Arial"/>
          <w:sz w:val="22"/>
          <w:szCs w:val="22"/>
        </w:rPr>
        <w:t>e</w:t>
      </w:r>
      <w:r w:rsidRPr="00BD17CA">
        <w:rPr>
          <w:rFonts w:ascii="Arial" w:eastAsia="Arial" w:hAnsi="Arial" w:cs="Arial"/>
          <w:spacing w:val="8"/>
          <w:sz w:val="22"/>
          <w:szCs w:val="22"/>
        </w:rPr>
        <w:t xml:space="preserve"> </w:t>
      </w:r>
      <w:r w:rsidRPr="00BD17CA">
        <w:rPr>
          <w:rFonts w:ascii="Arial" w:eastAsia="Arial" w:hAnsi="Arial" w:cs="Arial"/>
          <w:sz w:val="22"/>
          <w:szCs w:val="22"/>
        </w:rPr>
        <w:t>L</w:t>
      </w:r>
      <w:r w:rsidRPr="00BD17CA">
        <w:rPr>
          <w:rFonts w:ascii="Arial" w:eastAsia="Arial" w:hAnsi="Arial" w:cs="Arial"/>
          <w:spacing w:val="-1"/>
          <w:sz w:val="22"/>
          <w:szCs w:val="22"/>
        </w:rPr>
        <w:t>o</w:t>
      </w:r>
      <w:r w:rsidRPr="00BD17CA">
        <w:rPr>
          <w:rFonts w:ascii="Arial" w:eastAsia="Arial" w:hAnsi="Arial" w:cs="Arial"/>
          <w:spacing w:val="1"/>
          <w:sz w:val="22"/>
          <w:szCs w:val="22"/>
        </w:rPr>
        <w:t>c</w:t>
      </w:r>
      <w:r w:rsidRPr="00BD17CA">
        <w:rPr>
          <w:rFonts w:ascii="Arial" w:eastAsia="Arial" w:hAnsi="Arial" w:cs="Arial"/>
          <w:sz w:val="22"/>
          <w:szCs w:val="22"/>
        </w:rPr>
        <w:t>al</w:t>
      </w:r>
      <w:r w:rsidRPr="00BD17CA">
        <w:rPr>
          <w:rFonts w:ascii="Arial" w:eastAsia="Arial" w:hAnsi="Arial" w:cs="Arial"/>
          <w:spacing w:val="4"/>
          <w:sz w:val="22"/>
          <w:szCs w:val="22"/>
        </w:rPr>
        <w:t xml:space="preserve"> </w:t>
      </w:r>
      <w:r w:rsidRPr="00BD17CA">
        <w:rPr>
          <w:rFonts w:ascii="Arial" w:eastAsia="Arial" w:hAnsi="Arial" w:cs="Arial"/>
          <w:spacing w:val="1"/>
          <w:sz w:val="22"/>
          <w:szCs w:val="22"/>
        </w:rPr>
        <w:t>G</w:t>
      </w:r>
      <w:r w:rsidRPr="00BD17CA">
        <w:rPr>
          <w:rFonts w:ascii="Arial" w:eastAsia="Arial" w:hAnsi="Arial" w:cs="Arial"/>
          <w:spacing w:val="2"/>
          <w:sz w:val="22"/>
          <w:szCs w:val="22"/>
        </w:rPr>
        <w:t>o</w:t>
      </w:r>
      <w:r w:rsidRPr="00BD17CA">
        <w:rPr>
          <w:rFonts w:ascii="Arial" w:eastAsia="Arial" w:hAnsi="Arial" w:cs="Arial"/>
          <w:spacing w:val="-1"/>
          <w:sz w:val="22"/>
          <w:szCs w:val="22"/>
        </w:rPr>
        <w:t>v</w:t>
      </w:r>
      <w:r w:rsidRPr="00BD17CA">
        <w:rPr>
          <w:rFonts w:ascii="Arial" w:eastAsia="Arial" w:hAnsi="Arial" w:cs="Arial"/>
          <w:sz w:val="22"/>
          <w:szCs w:val="22"/>
        </w:rPr>
        <w:t>e</w:t>
      </w:r>
      <w:r w:rsidRPr="00BD17CA">
        <w:rPr>
          <w:rFonts w:ascii="Arial" w:eastAsia="Arial" w:hAnsi="Arial" w:cs="Arial"/>
          <w:spacing w:val="3"/>
          <w:sz w:val="22"/>
          <w:szCs w:val="22"/>
        </w:rPr>
        <w:t>r</w:t>
      </w:r>
      <w:r w:rsidRPr="00BD17CA">
        <w:rPr>
          <w:rFonts w:ascii="Arial" w:eastAsia="Arial" w:hAnsi="Arial" w:cs="Arial"/>
          <w:sz w:val="22"/>
          <w:szCs w:val="22"/>
        </w:rPr>
        <w:t>n</w:t>
      </w:r>
      <w:r w:rsidRPr="00BD17CA">
        <w:rPr>
          <w:rFonts w:ascii="Arial" w:eastAsia="Arial" w:hAnsi="Arial" w:cs="Arial"/>
          <w:spacing w:val="4"/>
          <w:sz w:val="22"/>
          <w:szCs w:val="22"/>
        </w:rPr>
        <w:t>m</w:t>
      </w:r>
      <w:r w:rsidRPr="00BD17CA">
        <w:rPr>
          <w:rFonts w:ascii="Arial" w:eastAsia="Arial" w:hAnsi="Arial" w:cs="Arial"/>
          <w:sz w:val="22"/>
          <w:szCs w:val="22"/>
        </w:rPr>
        <w:t>e</w:t>
      </w:r>
      <w:r w:rsidRPr="00BD17CA">
        <w:rPr>
          <w:rFonts w:ascii="Arial" w:eastAsia="Arial" w:hAnsi="Arial" w:cs="Arial"/>
          <w:spacing w:val="-1"/>
          <w:sz w:val="22"/>
          <w:szCs w:val="22"/>
        </w:rPr>
        <w:t>n</w:t>
      </w:r>
      <w:r w:rsidRPr="00BD17CA">
        <w:rPr>
          <w:rFonts w:ascii="Arial" w:eastAsia="Arial" w:hAnsi="Arial" w:cs="Arial"/>
          <w:sz w:val="22"/>
          <w:szCs w:val="22"/>
        </w:rPr>
        <w:t xml:space="preserve">t </w:t>
      </w:r>
      <w:r w:rsidRPr="00BD17CA">
        <w:rPr>
          <w:rFonts w:ascii="Arial" w:eastAsia="Arial" w:hAnsi="Arial" w:cs="Arial"/>
          <w:spacing w:val="-1"/>
          <w:sz w:val="22"/>
          <w:szCs w:val="22"/>
        </w:rPr>
        <w:t>P</w:t>
      </w:r>
      <w:r w:rsidRPr="00BD17CA">
        <w:rPr>
          <w:rFonts w:ascii="Arial" w:eastAsia="Arial" w:hAnsi="Arial" w:cs="Arial"/>
          <w:sz w:val="22"/>
          <w:szCs w:val="22"/>
        </w:rPr>
        <w:t>e</w:t>
      </w:r>
      <w:r w:rsidRPr="00BD17CA">
        <w:rPr>
          <w:rFonts w:ascii="Arial" w:eastAsia="Arial" w:hAnsi="Arial" w:cs="Arial"/>
          <w:spacing w:val="-1"/>
          <w:sz w:val="22"/>
          <w:szCs w:val="22"/>
        </w:rPr>
        <w:t>n</w:t>
      </w:r>
      <w:r w:rsidRPr="00BD17CA">
        <w:rPr>
          <w:rFonts w:ascii="Arial" w:eastAsia="Arial" w:hAnsi="Arial" w:cs="Arial"/>
          <w:spacing w:val="1"/>
          <w:sz w:val="22"/>
          <w:szCs w:val="22"/>
        </w:rPr>
        <w:t>si</w:t>
      </w:r>
      <w:r w:rsidRPr="00BD17CA">
        <w:rPr>
          <w:rFonts w:ascii="Arial" w:eastAsia="Arial" w:hAnsi="Arial" w:cs="Arial"/>
          <w:sz w:val="22"/>
          <w:szCs w:val="22"/>
        </w:rPr>
        <w:t xml:space="preserve">on </w:t>
      </w:r>
      <w:r w:rsidRPr="00BD17CA">
        <w:rPr>
          <w:rFonts w:ascii="Arial" w:eastAsia="Arial" w:hAnsi="Arial" w:cs="Arial"/>
          <w:spacing w:val="-1"/>
          <w:sz w:val="22"/>
          <w:szCs w:val="22"/>
        </w:rPr>
        <w:t>S</w:t>
      </w:r>
      <w:r w:rsidRPr="00BD17CA">
        <w:rPr>
          <w:rFonts w:ascii="Arial" w:eastAsia="Arial" w:hAnsi="Arial" w:cs="Arial"/>
          <w:spacing w:val="1"/>
          <w:sz w:val="22"/>
          <w:szCs w:val="22"/>
        </w:rPr>
        <w:t>c</w:t>
      </w:r>
      <w:r w:rsidRPr="00BD17CA">
        <w:rPr>
          <w:rFonts w:ascii="Arial" w:eastAsia="Arial" w:hAnsi="Arial" w:cs="Arial"/>
          <w:sz w:val="22"/>
          <w:szCs w:val="22"/>
        </w:rPr>
        <w:t>h</w:t>
      </w:r>
      <w:r w:rsidRPr="00BD17CA">
        <w:rPr>
          <w:rFonts w:ascii="Arial" w:eastAsia="Arial" w:hAnsi="Arial" w:cs="Arial"/>
          <w:spacing w:val="-1"/>
          <w:sz w:val="22"/>
          <w:szCs w:val="22"/>
        </w:rPr>
        <w:t>e</w:t>
      </w:r>
      <w:r w:rsidRPr="00BD17CA">
        <w:rPr>
          <w:rFonts w:ascii="Arial" w:eastAsia="Arial" w:hAnsi="Arial" w:cs="Arial"/>
          <w:spacing w:val="4"/>
          <w:sz w:val="22"/>
          <w:szCs w:val="22"/>
        </w:rPr>
        <w:t>m</w:t>
      </w:r>
      <w:r w:rsidRPr="00BD17CA">
        <w:rPr>
          <w:rFonts w:ascii="Arial" w:eastAsia="Arial" w:hAnsi="Arial" w:cs="Arial"/>
          <w:sz w:val="22"/>
          <w:szCs w:val="22"/>
        </w:rPr>
        <w:t>e</w:t>
      </w:r>
      <w:r w:rsidRPr="00BD17CA">
        <w:rPr>
          <w:rFonts w:ascii="Arial" w:eastAsia="Arial" w:hAnsi="Arial" w:cs="Arial"/>
          <w:spacing w:val="-7"/>
          <w:sz w:val="22"/>
          <w:szCs w:val="22"/>
        </w:rPr>
        <w:t xml:space="preserve"> </w:t>
      </w:r>
      <w:r w:rsidRPr="00BD17CA">
        <w:rPr>
          <w:rFonts w:ascii="Arial" w:eastAsia="Arial" w:hAnsi="Arial" w:cs="Arial"/>
          <w:spacing w:val="-1"/>
          <w:sz w:val="22"/>
          <w:szCs w:val="22"/>
        </w:rPr>
        <w:t>a</w:t>
      </w:r>
      <w:r w:rsidRPr="00BD17CA">
        <w:rPr>
          <w:rFonts w:ascii="Arial" w:eastAsia="Arial" w:hAnsi="Arial" w:cs="Arial"/>
          <w:sz w:val="22"/>
          <w:szCs w:val="22"/>
        </w:rPr>
        <w:t>nd</w:t>
      </w:r>
      <w:r w:rsidRPr="00BD17CA">
        <w:rPr>
          <w:rFonts w:ascii="Arial" w:eastAsia="Arial" w:hAnsi="Arial" w:cs="Arial"/>
          <w:spacing w:val="-4"/>
          <w:sz w:val="22"/>
          <w:szCs w:val="22"/>
        </w:rPr>
        <w:t xml:space="preserve"> </w:t>
      </w:r>
      <w:r w:rsidRPr="00BD17CA">
        <w:rPr>
          <w:rFonts w:ascii="Arial" w:eastAsia="Arial" w:hAnsi="Arial" w:cs="Arial"/>
          <w:spacing w:val="-1"/>
          <w:sz w:val="22"/>
          <w:szCs w:val="22"/>
        </w:rPr>
        <w:t>i</w:t>
      </w:r>
      <w:r w:rsidRPr="00BD17CA">
        <w:rPr>
          <w:rFonts w:ascii="Arial" w:eastAsia="Arial" w:hAnsi="Arial" w:cs="Arial"/>
          <w:sz w:val="22"/>
          <w:szCs w:val="22"/>
        </w:rPr>
        <w:t>s</w:t>
      </w:r>
      <w:r w:rsidRPr="00BD17CA">
        <w:rPr>
          <w:rFonts w:ascii="Arial" w:eastAsia="Arial" w:hAnsi="Arial" w:cs="Arial"/>
          <w:spacing w:val="1"/>
          <w:sz w:val="22"/>
          <w:szCs w:val="22"/>
        </w:rPr>
        <w:t xml:space="preserve"> </w:t>
      </w:r>
      <w:r w:rsidRPr="00BD17CA">
        <w:rPr>
          <w:rFonts w:ascii="Arial" w:eastAsia="Arial" w:hAnsi="Arial" w:cs="Arial"/>
          <w:spacing w:val="2"/>
          <w:sz w:val="22"/>
          <w:szCs w:val="22"/>
        </w:rPr>
        <w:t>a</w:t>
      </w:r>
      <w:r w:rsidRPr="00BD17CA">
        <w:rPr>
          <w:rFonts w:ascii="Arial" w:eastAsia="Arial" w:hAnsi="Arial" w:cs="Arial"/>
          <w:sz w:val="22"/>
          <w:szCs w:val="22"/>
        </w:rPr>
        <w:t>d</w:t>
      </w:r>
      <w:r w:rsidRPr="00BD17CA">
        <w:rPr>
          <w:rFonts w:ascii="Arial" w:eastAsia="Arial" w:hAnsi="Arial" w:cs="Arial"/>
          <w:spacing w:val="4"/>
          <w:sz w:val="22"/>
          <w:szCs w:val="22"/>
        </w:rPr>
        <w:t>m</w:t>
      </w:r>
      <w:r w:rsidRPr="00BD17CA">
        <w:rPr>
          <w:rFonts w:ascii="Arial" w:eastAsia="Arial" w:hAnsi="Arial" w:cs="Arial"/>
          <w:spacing w:val="-1"/>
          <w:sz w:val="22"/>
          <w:szCs w:val="22"/>
        </w:rPr>
        <w:t>i</w:t>
      </w:r>
      <w:r w:rsidRPr="00BD17CA">
        <w:rPr>
          <w:rFonts w:ascii="Arial" w:eastAsia="Arial" w:hAnsi="Arial" w:cs="Arial"/>
          <w:sz w:val="22"/>
          <w:szCs w:val="22"/>
        </w:rPr>
        <w:t>n</w:t>
      </w:r>
      <w:r w:rsidRPr="00BD17CA">
        <w:rPr>
          <w:rFonts w:ascii="Arial" w:eastAsia="Arial" w:hAnsi="Arial" w:cs="Arial"/>
          <w:spacing w:val="-1"/>
          <w:sz w:val="22"/>
          <w:szCs w:val="22"/>
        </w:rPr>
        <w:t>i</w:t>
      </w:r>
      <w:r w:rsidRPr="00BD17CA">
        <w:rPr>
          <w:rFonts w:ascii="Arial" w:eastAsia="Arial" w:hAnsi="Arial" w:cs="Arial"/>
          <w:spacing w:val="1"/>
          <w:sz w:val="22"/>
          <w:szCs w:val="22"/>
        </w:rPr>
        <w:t>s</w:t>
      </w:r>
      <w:r w:rsidRPr="00BD17CA">
        <w:rPr>
          <w:rFonts w:ascii="Arial" w:eastAsia="Arial" w:hAnsi="Arial" w:cs="Arial"/>
          <w:sz w:val="22"/>
          <w:szCs w:val="22"/>
        </w:rPr>
        <w:t>ter</w:t>
      </w:r>
      <w:r w:rsidRPr="00BD17CA">
        <w:rPr>
          <w:rFonts w:ascii="Arial" w:eastAsia="Arial" w:hAnsi="Arial" w:cs="Arial"/>
          <w:spacing w:val="2"/>
          <w:sz w:val="22"/>
          <w:szCs w:val="22"/>
        </w:rPr>
        <w:t>e</w:t>
      </w:r>
      <w:r w:rsidRPr="00BD17CA">
        <w:rPr>
          <w:rFonts w:ascii="Arial" w:eastAsia="Arial" w:hAnsi="Arial" w:cs="Arial"/>
          <w:sz w:val="22"/>
          <w:szCs w:val="22"/>
        </w:rPr>
        <w:t>d</w:t>
      </w:r>
      <w:r w:rsidRPr="00BD17CA">
        <w:rPr>
          <w:rFonts w:ascii="Arial" w:eastAsia="Arial" w:hAnsi="Arial" w:cs="Arial"/>
          <w:spacing w:val="-11"/>
          <w:sz w:val="22"/>
          <w:szCs w:val="22"/>
        </w:rPr>
        <w:t xml:space="preserve"> </w:t>
      </w:r>
      <w:r w:rsidRPr="00BD17CA">
        <w:rPr>
          <w:rFonts w:ascii="Arial" w:eastAsia="Arial" w:hAnsi="Arial" w:cs="Arial"/>
          <w:spacing w:val="1"/>
          <w:sz w:val="22"/>
          <w:szCs w:val="22"/>
        </w:rPr>
        <w:t>b</w:t>
      </w:r>
      <w:r w:rsidRPr="00BD17CA">
        <w:rPr>
          <w:rFonts w:ascii="Arial" w:eastAsia="Arial" w:hAnsi="Arial" w:cs="Arial"/>
          <w:sz w:val="22"/>
          <w:szCs w:val="22"/>
        </w:rPr>
        <w:t>y</w:t>
      </w:r>
      <w:r w:rsidRPr="00BD17CA">
        <w:rPr>
          <w:rFonts w:ascii="Arial" w:eastAsia="Arial" w:hAnsi="Arial" w:cs="Arial"/>
          <w:spacing w:val="-4"/>
          <w:sz w:val="22"/>
          <w:szCs w:val="22"/>
        </w:rPr>
        <w:t xml:space="preserve"> </w:t>
      </w:r>
      <w:r w:rsidRPr="00BD17CA">
        <w:rPr>
          <w:rFonts w:ascii="Arial" w:eastAsia="Arial" w:hAnsi="Arial" w:cs="Arial"/>
          <w:sz w:val="22"/>
          <w:szCs w:val="22"/>
        </w:rPr>
        <w:t>the</w:t>
      </w:r>
      <w:r w:rsidRPr="00BD17CA">
        <w:rPr>
          <w:rFonts w:ascii="Arial" w:eastAsia="Arial" w:hAnsi="Arial" w:cs="Arial"/>
          <w:spacing w:val="-2"/>
          <w:sz w:val="22"/>
          <w:szCs w:val="22"/>
        </w:rPr>
        <w:t xml:space="preserve"> </w:t>
      </w:r>
      <w:r w:rsidRPr="00BD17CA">
        <w:rPr>
          <w:rFonts w:ascii="Arial" w:eastAsia="Arial" w:hAnsi="Arial" w:cs="Arial"/>
          <w:sz w:val="22"/>
          <w:szCs w:val="22"/>
        </w:rPr>
        <w:t>L</w:t>
      </w:r>
      <w:r w:rsidRPr="00BD17CA">
        <w:rPr>
          <w:rFonts w:ascii="Arial" w:eastAsia="Arial" w:hAnsi="Arial" w:cs="Arial"/>
          <w:spacing w:val="-1"/>
          <w:sz w:val="22"/>
          <w:szCs w:val="22"/>
        </w:rPr>
        <w:t>o</w:t>
      </w:r>
      <w:r w:rsidRPr="00BD17CA">
        <w:rPr>
          <w:rFonts w:ascii="Arial" w:eastAsia="Arial" w:hAnsi="Arial" w:cs="Arial"/>
          <w:spacing w:val="2"/>
          <w:sz w:val="22"/>
          <w:szCs w:val="22"/>
        </w:rPr>
        <w:t>n</w:t>
      </w:r>
      <w:r w:rsidRPr="00BD17CA">
        <w:rPr>
          <w:rFonts w:ascii="Arial" w:eastAsia="Arial" w:hAnsi="Arial" w:cs="Arial"/>
          <w:sz w:val="22"/>
          <w:szCs w:val="22"/>
        </w:rPr>
        <w:t>d</w:t>
      </w:r>
      <w:r w:rsidRPr="00BD17CA">
        <w:rPr>
          <w:rFonts w:ascii="Arial" w:eastAsia="Arial" w:hAnsi="Arial" w:cs="Arial"/>
          <w:spacing w:val="-1"/>
          <w:sz w:val="22"/>
          <w:szCs w:val="22"/>
        </w:rPr>
        <w:t>o</w:t>
      </w:r>
      <w:r w:rsidRPr="00BD17CA">
        <w:rPr>
          <w:rFonts w:ascii="Arial" w:eastAsia="Arial" w:hAnsi="Arial" w:cs="Arial"/>
          <w:sz w:val="22"/>
          <w:szCs w:val="22"/>
        </w:rPr>
        <w:t>n</w:t>
      </w:r>
      <w:r w:rsidRPr="00BD17CA">
        <w:rPr>
          <w:rFonts w:ascii="Arial" w:eastAsia="Arial" w:hAnsi="Arial" w:cs="Arial"/>
          <w:spacing w:val="-5"/>
          <w:sz w:val="22"/>
          <w:szCs w:val="22"/>
        </w:rPr>
        <w:t xml:space="preserve"> </w:t>
      </w:r>
      <w:r w:rsidRPr="00BD17CA">
        <w:rPr>
          <w:rFonts w:ascii="Arial" w:eastAsia="Arial" w:hAnsi="Arial" w:cs="Arial"/>
          <w:spacing w:val="-1"/>
          <w:sz w:val="22"/>
          <w:szCs w:val="22"/>
        </w:rPr>
        <w:t>B</w:t>
      </w:r>
      <w:r w:rsidRPr="00BD17CA">
        <w:rPr>
          <w:rFonts w:ascii="Arial" w:eastAsia="Arial" w:hAnsi="Arial" w:cs="Arial"/>
          <w:sz w:val="22"/>
          <w:szCs w:val="22"/>
        </w:rPr>
        <w:t>or</w:t>
      </w:r>
      <w:r w:rsidRPr="00BD17CA">
        <w:rPr>
          <w:rFonts w:ascii="Arial" w:eastAsia="Arial" w:hAnsi="Arial" w:cs="Arial"/>
          <w:spacing w:val="2"/>
          <w:sz w:val="22"/>
          <w:szCs w:val="22"/>
        </w:rPr>
        <w:t>o</w:t>
      </w:r>
      <w:r w:rsidRPr="00BD17CA">
        <w:rPr>
          <w:rFonts w:ascii="Arial" w:eastAsia="Arial" w:hAnsi="Arial" w:cs="Arial"/>
          <w:sz w:val="22"/>
          <w:szCs w:val="22"/>
        </w:rPr>
        <w:t>u</w:t>
      </w:r>
      <w:r w:rsidRPr="00BD17CA">
        <w:rPr>
          <w:rFonts w:ascii="Arial" w:eastAsia="Arial" w:hAnsi="Arial" w:cs="Arial"/>
          <w:spacing w:val="-1"/>
          <w:sz w:val="22"/>
          <w:szCs w:val="22"/>
        </w:rPr>
        <w:t>g</w:t>
      </w:r>
      <w:r w:rsidRPr="00BD17CA">
        <w:rPr>
          <w:rFonts w:ascii="Arial" w:eastAsia="Arial" w:hAnsi="Arial" w:cs="Arial"/>
          <w:sz w:val="22"/>
          <w:szCs w:val="22"/>
        </w:rPr>
        <w:t>h</w:t>
      </w:r>
      <w:r w:rsidRPr="00BD17CA">
        <w:rPr>
          <w:rFonts w:ascii="Arial" w:eastAsia="Arial" w:hAnsi="Arial" w:cs="Arial"/>
          <w:spacing w:val="-6"/>
          <w:sz w:val="22"/>
          <w:szCs w:val="22"/>
        </w:rPr>
        <w:t xml:space="preserve"> </w:t>
      </w:r>
      <w:r w:rsidRPr="00BD17CA">
        <w:rPr>
          <w:rFonts w:ascii="Arial" w:eastAsia="Arial" w:hAnsi="Arial" w:cs="Arial"/>
          <w:spacing w:val="2"/>
          <w:sz w:val="22"/>
          <w:szCs w:val="22"/>
        </w:rPr>
        <w:t>o</w:t>
      </w:r>
      <w:r w:rsidRPr="00BD17CA">
        <w:rPr>
          <w:rFonts w:ascii="Arial" w:eastAsia="Arial" w:hAnsi="Arial" w:cs="Arial"/>
          <w:sz w:val="22"/>
          <w:szCs w:val="22"/>
        </w:rPr>
        <w:t>f</w:t>
      </w:r>
      <w:r w:rsidRPr="00BD17CA">
        <w:rPr>
          <w:rFonts w:ascii="Arial" w:eastAsia="Arial" w:hAnsi="Arial" w:cs="Arial"/>
          <w:spacing w:val="-5"/>
          <w:sz w:val="22"/>
          <w:szCs w:val="22"/>
        </w:rPr>
        <w:t xml:space="preserve"> </w:t>
      </w:r>
      <w:r w:rsidRPr="00BD17CA">
        <w:rPr>
          <w:rFonts w:ascii="Arial" w:eastAsia="Arial" w:hAnsi="Arial" w:cs="Arial"/>
          <w:spacing w:val="9"/>
          <w:sz w:val="22"/>
          <w:szCs w:val="22"/>
        </w:rPr>
        <w:t>W</w:t>
      </w:r>
      <w:r w:rsidRPr="00BD17CA">
        <w:rPr>
          <w:rFonts w:ascii="Arial" w:eastAsia="Arial" w:hAnsi="Arial" w:cs="Arial"/>
          <w:sz w:val="22"/>
          <w:szCs w:val="22"/>
        </w:rPr>
        <w:t>a</w:t>
      </w:r>
      <w:r w:rsidRPr="00BD17CA">
        <w:rPr>
          <w:rFonts w:ascii="Arial" w:eastAsia="Arial" w:hAnsi="Arial" w:cs="Arial"/>
          <w:spacing w:val="-1"/>
          <w:sz w:val="22"/>
          <w:szCs w:val="22"/>
        </w:rPr>
        <w:t>l</w:t>
      </w:r>
      <w:r w:rsidRPr="00BD17CA">
        <w:rPr>
          <w:rFonts w:ascii="Arial" w:eastAsia="Arial" w:hAnsi="Arial" w:cs="Arial"/>
          <w:sz w:val="22"/>
          <w:szCs w:val="22"/>
        </w:rPr>
        <w:t>th</w:t>
      </w:r>
      <w:r w:rsidRPr="00BD17CA">
        <w:rPr>
          <w:rFonts w:ascii="Arial" w:eastAsia="Arial" w:hAnsi="Arial" w:cs="Arial"/>
          <w:spacing w:val="-3"/>
          <w:sz w:val="22"/>
          <w:szCs w:val="22"/>
        </w:rPr>
        <w:t>a</w:t>
      </w:r>
      <w:r w:rsidRPr="00BD17CA">
        <w:rPr>
          <w:rFonts w:ascii="Arial" w:eastAsia="Arial" w:hAnsi="Arial" w:cs="Arial"/>
          <w:sz w:val="22"/>
          <w:szCs w:val="22"/>
        </w:rPr>
        <w:t>m</w:t>
      </w:r>
      <w:r w:rsidRPr="00BD17CA">
        <w:rPr>
          <w:rFonts w:ascii="Arial" w:eastAsia="Arial" w:hAnsi="Arial" w:cs="Arial"/>
          <w:spacing w:val="-4"/>
          <w:sz w:val="22"/>
          <w:szCs w:val="22"/>
        </w:rPr>
        <w:t xml:space="preserve"> </w:t>
      </w:r>
      <w:r w:rsidRPr="00BD17CA">
        <w:rPr>
          <w:rFonts w:ascii="Arial" w:eastAsia="Arial" w:hAnsi="Arial" w:cs="Arial"/>
          <w:sz w:val="22"/>
          <w:szCs w:val="22"/>
        </w:rPr>
        <w:t>Fo</w:t>
      </w:r>
      <w:r w:rsidRPr="00BD17CA">
        <w:rPr>
          <w:rFonts w:ascii="Arial" w:eastAsia="Arial" w:hAnsi="Arial" w:cs="Arial"/>
          <w:spacing w:val="1"/>
          <w:sz w:val="22"/>
          <w:szCs w:val="22"/>
        </w:rPr>
        <w:t>r</w:t>
      </w:r>
      <w:r w:rsidRPr="00BD17CA">
        <w:rPr>
          <w:rFonts w:ascii="Arial" w:eastAsia="Arial" w:hAnsi="Arial" w:cs="Arial"/>
          <w:sz w:val="22"/>
          <w:szCs w:val="22"/>
        </w:rPr>
        <w:t>e</w:t>
      </w:r>
      <w:r w:rsidRPr="00BD17CA">
        <w:rPr>
          <w:rFonts w:ascii="Arial" w:eastAsia="Arial" w:hAnsi="Arial" w:cs="Arial"/>
          <w:spacing w:val="1"/>
          <w:sz w:val="22"/>
          <w:szCs w:val="22"/>
        </w:rPr>
        <w:t>s</w:t>
      </w:r>
      <w:r w:rsidRPr="00BD17CA">
        <w:rPr>
          <w:rFonts w:ascii="Arial" w:eastAsia="Arial" w:hAnsi="Arial" w:cs="Arial"/>
          <w:sz w:val="22"/>
          <w:szCs w:val="22"/>
        </w:rPr>
        <w:t>t.</w:t>
      </w:r>
      <w:r w:rsidRPr="00BD17CA">
        <w:rPr>
          <w:rFonts w:ascii="Arial" w:eastAsia="Arial" w:hAnsi="Arial" w:cs="Arial"/>
          <w:spacing w:val="46"/>
          <w:sz w:val="22"/>
          <w:szCs w:val="22"/>
        </w:rPr>
        <w:t xml:space="preserve"> </w:t>
      </w:r>
      <w:r w:rsidRPr="00BD17CA">
        <w:rPr>
          <w:rFonts w:ascii="Arial" w:eastAsia="Arial" w:hAnsi="Arial" w:cs="Arial"/>
          <w:spacing w:val="3"/>
          <w:sz w:val="22"/>
          <w:szCs w:val="22"/>
        </w:rPr>
        <w:t>T</w:t>
      </w:r>
      <w:r w:rsidRPr="00BD17CA">
        <w:rPr>
          <w:rFonts w:ascii="Arial" w:eastAsia="Arial" w:hAnsi="Arial" w:cs="Arial"/>
          <w:sz w:val="22"/>
          <w:szCs w:val="22"/>
        </w:rPr>
        <w:t>he</w:t>
      </w:r>
      <w:r w:rsidRPr="00BD17CA">
        <w:rPr>
          <w:rFonts w:ascii="Arial" w:eastAsia="Arial" w:hAnsi="Arial" w:cs="Arial"/>
          <w:spacing w:val="-4"/>
          <w:sz w:val="22"/>
          <w:szCs w:val="22"/>
        </w:rPr>
        <w:t xml:space="preserve"> </w:t>
      </w:r>
      <w:r w:rsidRPr="00BD17CA">
        <w:rPr>
          <w:rFonts w:ascii="Arial" w:eastAsia="Arial" w:hAnsi="Arial" w:cs="Arial"/>
          <w:sz w:val="22"/>
          <w:szCs w:val="22"/>
        </w:rPr>
        <w:t>L</w:t>
      </w:r>
      <w:r w:rsidRPr="00BD17CA">
        <w:rPr>
          <w:rFonts w:ascii="Arial" w:eastAsia="Arial" w:hAnsi="Arial" w:cs="Arial"/>
          <w:spacing w:val="-1"/>
          <w:sz w:val="22"/>
          <w:szCs w:val="22"/>
        </w:rPr>
        <w:t>o</w:t>
      </w:r>
      <w:r w:rsidRPr="00BD17CA">
        <w:rPr>
          <w:rFonts w:ascii="Arial" w:eastAsia="Arial" w:hAnsi="Arial" w:cs="Arial"/>
          <w:spacing w:val="2"/>
          <w:sz w:val="22"/>
          <w:szCs w:val="22"/>
        </w:rPr>
        <w:t>n</w:t>
      </w:r>
      <w:r w:rsidRPr="00BD17CA">
        <w:rPr>
          <w:rFonts w:ascii="Arial" w:eastAsia="Arial" w:hAnsi="Arial" w:cs="Arial"/>
          <w:sz w:val="22"/>
          <w:szCs w:val="22"/>
        </w:rPr>
        <w:t>d</w:t>
      </w:r>
      <w:r w:rsidRPr="00BD17CA">
        <w:rPr>
          <w:rFonts w:ascii="Arial" w:eastAsia="Arial" w:hAnsi="Arial" w:cs="Arial"/>
          <w:spacing w:val="-1"/>
          <w:sz w:val="22"/>
          <w:szCs w:val="22"/>
        </w:rPr>
        <w:t>o</w:t>
      </w:r>
      <w:r w:rsidRPr="00BD17CA">
        <w:rPr>
          <w:rFonts w:ascii="Arial" w:eastAsia="Arial" w:hAnsi="Arial" w:cs="Arial"/>
          <w:sz w:val="22"/>
          <w:szCs w:val="22"/>
        </w:rPr>
        <w:t>n</w:t>
      </w:r>
      <w:r w:rsidRPr="00BD17CA">
        <w:rPr>
          <w:rFonts w:ascii="Arial" w:eastAsia="Arial" w:hAnsi="Arial" w:cs="Arial"/>
          <w:spacing w:val="-5"/>
          <w:sz w:val="22"/>
          <w:szCs w:val="22"/>
        </w:rPr>
        <w:t xml:space="preserve"> </w:t>
      </w:r>
      <w:r w:rsidRPr="00BD17CA">
        <w:rPr>
          <w:rFonts w:ascii="Arial" w:eastAsia="Arial" w:hAnsi="Arial" w:cs="Arial"/>
          <w:spacing w:val="-1"/>
          <w:sz w:val="22"/>
          <w:szCs w:val="22"/>
        </w:rPr>
        <w:t>B</w:t>
      </w:r>
      <w:r w:rsidRPr="00BD17CA">
        <w:rPr>
          <w:rFonts w:ascii="Arial" w:eastAsia="Arial" w:hAnsi="Arial" w:cs="Arial"/>
          <w:sz w:val="22"/>
          <w:szCs w:val="22"/>
        </w:rPr>
        <w:t>oro</w:t>
      </w:r>
      <w:r w:rsidRPr="00BD17CA">
        <w:rPr>
          <w:rFonts w:ascii="Arial" w:eastAsia="Arial" w:hAnsi="Arial" w:cs="Arial"/>
          <w:spacing w:val="2"/>
          <w:sz w:val="22"/>
          <w:szCs w:val="22"/>
        </w:rPr>
        <w:t>u</w:t>
      </w:r>
      <w:r w:rsidRPr="00BD17CA">
        <w:rPr>
          <w:rFonts w:ascii="Arial" w:eastAsia="Arial" w:hAnsi="Arial" w:cs="Arial"/>
          <w:sz w:val="22"/>
          <w:szCs w:val="22"/>
        </w:rPr>
        <w:t>gh</w:t>
      </w:r>
      <w:r w:rsidRPr="00BD17CA">
        <w:rPr>
          <w:rFonts w:ascii="Arial" w:eastAsia="Arial" w:hAnsi="Arial" w:cs="Arial"/>
          <w:spacing w:val="-7"/>
          <w:sz w:val="22"/>
          <w:szCs w:val="22"/>
        </w:rPr>
        <w:t xml:space="preserve"> </w:t>
      </w:r>
      <w:r w:rsidRPr="00BD17CA">
        <w:rPr>
          <w:rFonts w:ascii="Arial" w:eastAsia="Arial" w:hAnsi="Arial" w:cs="Arial"/>
          <w:spacing w:val="-1"/>
          <w:sz w:val="22"/>
          <w:szCs w:val="22"/>
        </w:rPr>
        <w:t>i</w:t>
      </w:r>
      <w:r w:rsidRPr="00BD17CA">
        <w:rPr>
          <w:rFonts w:ascii="Arial" w:eastAsia="Arial" w:hAnsi="Arial" w:cs="Arial"/>
          <w:sz w:val="22"/>
          <w:szCs w:val="22"/>
        </w:rPr>
        <w:t>s t</w:t>
      </w:r>
      <w:r w:rsidRPr="00BD17CA">
        <w:rPr>
          <w:rFonts w:ascii="Arial" w:eastAsia="Arial" w:hAnsi="Arial" w:cs="Arial"/>
          <w:spacing w:val="-1"/>
          <w:sz w:val="22"/>
          <w:szCs w:val="22"/>
        </w:rPr>
        <w:t>h</w:t>
      </w:r>
      <w:r w:rsidRPr="00BD17CA">
        <w:rPr>
          <w:rFonts w:ascii="Arial" w:eastAsia="Arial" w:hAnsi="Arial" w:cs="Arial"/>
          <w:sz w:val="22"/>
          <w:szCs w:val="22"/>
        </w:rPr>
        <w:t>e</w:t>
      </w:r>
      <w:r w:rsidRPr="00BD17CA">
        <w:rPr>
          <w:rFonts w:ascii="Arial" w:eastAsia="Arial" w:hAnsi="Arial" w:cs="Arial"/>
          <w:spacing w:val="-3"/>
          <w:sz w:val="22"/>
          <w:szCs w:val="22"/>
        </w:rPr>
        <w:t xml:space="preserve"> </w:t>
      </w:r>
      <w:r w:rsidRPr="00BD17CA">
        <w:rPr>
          <w:rFonts w:ascii="Arial" w:eastAsia="Arial" w:hAnsi="Arial" w:cs="Arial"/>
          <w:sz w:val="22"/>
          <w:szCs w:val="22"/>
        </w:rPr>
        <w:t>r</w:t>
      </w:r>
      <w:r w:rsidRPr="00BD17CA">
        <w:rPr>
          <w:rFonts w:ascii="Arial" w:eastAsia="Arial" w:hAnsi="Arial" w:cs="Arial"/>
          <w:spacing w:val="2"/>
          <w:sz w:val="22"/>
          <w:szCs w:val="22"/>
        </w:rPr>
        <w:t>e</w:t>
      </w:r>
      <w:r w:rsidRPr="00BD17CA">
        <w:rPr>
          <w:rFonts w:ascii="Arial" w:eastAsia="Arial" w:hAnsi="Arial" w:cs="Arial"/>
          <w:sz w:val="22"/>
          <w:szCs w:val="22"/>
        </w:rPr>
        <w:t>p</w:t>
      </w:r>
      <w:r w:rsidRPr="00BD17CA">
        <w:rPr>
          <w:rFonts w:ascii="Arial" w:eastAsia="Arial" w:hAnsi="Arial" w:cs="Arial"/>
          <w:spacing w:val="-1"/>
          <w:sz w:val="22"/>
          <w:szCs w:val="22"/>
        </w:rPr>
        <w:t>o</w:t>
      </w:r>
      <w:r w:rsidRPr="00BD17CA">
        <w:rPr>
          <w:rFonts w:ascii="Arial" w:eastAsia="Arial" w:hAnsi="Arial" w:cs="Arial"/>
          <w:spacing w:val="1"/>
          <w:sz w:val="22"/>
          <w:szCs w:val="22"/>
        </w:rPr>
        <w:t>r</w:t>
      </w:r>
      <w:r w:rsidRPr="00BD17CA">
        <w:rPr>
          <w:rFonts w:ascii="Arial" w:eastAsia="Arial" w:hAnsi="Arial" w:cs="Arial"/>
          <w:sz w:val="22"/>
          <w:szCs w:val="22"/>
        </w:rPr>
        <w:t>t</w:t>
      </w:r>
      <w:r w:rsidRPr="00BD17CA">
        <w:rPr>
          <w:rFonts w:ascii="Arial" w:eastAsia="Arial" w:hAnsi="Arial" w:cs="Arial"/>
          <w:spacing w:val="1"/>
          <w:sz w:val="22"/>
          <w:szCs w:val="22"/>
        </w:rPr>
        <w:t>i</w:t>
      </w:r>
      <w:r w:rsidRPr="00BD17CA">
        <w:rPr>
          <w:rFonts w:ascii="Arial" w:eastAsia="Arial" w:hAnsi="Arial" w:cs="Arial"/>
          <w:spacing w:val="2"/>
          <w:sz w:val="22"/>
          <w:szCs w:val="22"/>
        </w:rPr>
        <w:t>n</w:t>
      </w:r>
      <w:r w:rsidRPr="00BD17CA">
        <w:rPr>
          <w:rFonts w:ascii="Arial" w:eastAsia="Arial" w:hAnsi="Arial" w:cs="Arial"/>
          <w:sz w:val="22"/>
          <w:szCs w:val="22"/>
        </w:rPr>
        <w:t>g e</w:t>
      </w:r>
      <w:r w:rsidRPr="00BD17CA">
        <w:rPr>
          <w:rFonts w:ascii="Arial" w:eastAsia="Arial" w:hAnsi="Arial" w:cs="Arial"/>
          <w:spacing w:val="-1"/>
          <w:sz w:val="22"/>
          <w:szCs w:val="22"/>
        </w:rPr>
        <w:t>n</w:t>
      </w:r>
      <w:r w:rsidRPr="00BD17CA">
        <w:rPr>
          <w:rFonts w:ascii="Arial" w:eastAsia="Arial" w:hAnsi="Arial" w:cs="Arial"/>
          <w:sz w:val="22"/>
          <w:szCs w:val="22"/>
        </w:rPr>
        <w:t>t</w:t>
      </w:r>
      <w:r w:rsidRPr="00BD17CA">
        <w:rPr>
          <w:rFonts w:ascii="Arial" w:eastAsia="Arial" w:hAnsi="Arial" w:cs="Arial"/>
          <w:spacing w:val="1"/>
          <w:sz w:val="22"/>
          <w:szCs w:val="22"/>
        </w:rPr>
        <w:t>i</w:t>
      </w:r>
      <w:r w:rsidRPr="00BD17CA">
        <w:rPr>
          <w:rFonts w:ascii="Arial" w:eastAsia="Arial" w:hAnsi="Arial" w:cs="Arial"/>
          <w:spacing w:val="2"/>
          <w:sz w:val="22"/>
          <w:szCs w:val="22"/>
        </w:rPr>
        <w:t>t</w:t>
      </w:r>
      <w:r w:rsidRPr="00BD17CA">
        <w:rPr>
          <w:rFonts w:ascii="Arial" w:eastAsia="Arial" w:hAnsi="Arial" w:cs="Arial"/>
          <w:sz w:val="22"/>
          <w:szCs w:val="22"/>
        </w:rPr>
        <w:t>y</w:t>
      </w:r>
      <w:r w:rsidRPr="00BD17CA">
        <w:rPr>
          <w:rFonts w:ascii="Arial" w:eastAsia="Arial" w:hAnsi="Arial" w:cs="Arial"/>
          <w:spacing w:val="-9"/>
          <w:sz w:val="22"/>
          <w:szCs w:val="22"/>
        </w:rPr>
        <w:t xml:space="preserve"> </w:t>
      </w:r>
      <w:r w:rsidRPr="00BD17CA">
        <w:rPr>
          <w:rFonts w:ascii="Arial" w:eastAsia="Arial" w:hAnsi="Arial" w:cs="Arial"/>
          <w:spacing w:val="2"/>
          <w:sz w:val="22"/>
          <w:szCs w:val="22"/>
        </w:rPr>
        <w:t>f</w:t>
      </w:r>
      <w:r w:rsidRPr="00BD17CA">
        <w:rPr>
          <w:rFonts w:ascii="Arial" w:eastAsia="Arial" w:hAnsi="Arial" w:cs="Arial"/>
          <w:sz w:val="22"/>
          <w:szCs w:val="22"/>
        </w:rPr>
        <w:t>or</w:t>
      </w:r>
      <w:r w:rsidRPr="00BD17CA">
        <w:rPr>
          <w:rFonts w:ascii="Arial" w:eastAsia="Arial" w:hAnsi="Arial" w:cs="Arial"/>
          <w:spacing w:val="-2"/>
          <w:sz w:val="22"/>
          <w:szCs w:val="22"/>
        </w:rPr>
        <w:t xml:space="preserve"> </w:t>
      </w:r>
      <w:r w:rsidRPr="00BD17CA">
        <w:rPr>
          <w:rFonts w:ascii="Arial" w:eastAsia="Arial" w:hAnsi="Arial" w:cs="Arial"/>
          <w:sz w:val="22"/>
          <w:szCs w:val="22"/>
        </w:rPr>
        <w:t>t</w:t>
      </w:r>
      <w:r w:rsidRPr="00BD17CA">
        <w:rPr>
          <w:rFonts w:ascii="Arial" w:eastAsia="Arial" w:hAnsi="Arial" w:cs="Arial"/>
          <w:spacing w:val="2"/>
          <w:sz w:val="22"/>
          <w:szCs w:val="22"/>
        </w:rPr>
        <w:t>h</w:t>
      </w:r>
      <w:r w:rsidRPr="00BD17CA">
        <w:rPr>
          <w:rFonts w:ascii="Arial" w:eastAsia="Arial" w:hAnsi="Arial" w:cs="Arial"/>
          <w:spacing w:val="-1"/>
          <w:sz w:val="22"/>
          <w:szCs w:val="22"/>
        </w:rPr>
        <w:t>i</w:t>
      </w:r>
      <w:r w:rsidRPr="00BD17CA">
        <w:rPr>
          <w:rFonts w:ascii="Arial" w:eastAsia="Arial" w:hAnsi="Arial" w:cs="Arial"/>
          <w:sz w:val="22"/>
          <w:szCs w:val="22"/>
        </w:rPr>
        <w:t>s</w:t>
      </w:r>
      <w:r w:rsidRPr="00BD17CA">
        <w:rPr>
          <w:rFonts w:ascii="Arial" w:eastAsia="Arial" w:hAnsi="Arial" w:cs="Arial"/>
          <w:spacing w:val="-2"/>
          <w:sz w:val="22"/>
          <w:szCs w:val="22"/>
        </w:rPr>
        <w:t xml:space="preserve"> </w:t>
      </w:r>
      <w:r w:rsidRPr="00BD17CA">
        <w:rPr>
          <w:rFonts w:ascii="Arial" w:eastAsia="Arial" w:hAnsi="Arial" w:cs="Arial"/>
          <w:spacing w:val="1"/>
          <w:sz w:val="22"/>
          <w:szCs w:val="22"/>
        </w:rPr>
        <w:t>P</w:t>
      </w:r>
      <w:r w:rsidRPr="00BD17CA">
        <w:rPr>
          <w:rFonts w:ascii="Arial" w:eastAsia="Arial" w:hAnsi="Arial" w:cs="Arial"/>
          <w:sz w:val="22"/>
          <w:szCs w:val="22"/>
        </w:rPr>
        <w:t>e</w:t>
      </w:r>
      <w:r w:rsidRPr="00BD17CA">
        <w:rPr>
          <w:rFonts w:ascii="Arial" w:eastAsia="Arial" w:hAnsi="Arial" w:cs="Arial"/>
          <w:spacing w:val="-1"/>
          <w:sz w:val="22"/>
          <w:szCs w:val="22"/>
        </w:rPr>
        <w:t>n</w:t>
      </w:r>
      <w:r w:rsidRPr="00BD17CA">
        <w:rPr>
          <w:rFonts w:ascii="Arial" w:eastAsia="Arial" w:hAnsi="Arial" w:cs="Arial"/>
          <w:spacing w:val="1"/>
          <w:sz w:val="22"/>
          <w:szCs w:val="22"/>
        </w:rPr>
        <w:t>s</w:t>
      </w:r>
      <w:r w:rsidRPr="00BD17CA">
        <w:rPr>
          <w:rFonts w:ascii="Arial" w:eastAsia="Arial" w:hAnsi="Arial" w:cs="Arial"/>
          <w:spacing w:val="-1"/>
          <w:sz w:val="22"/>
          <w:szCs w:val="22"/>
        </w:rPr>
        <w:t>i</w:t>
      </w:r>
      <w:r w:rsidRPr="00BD17CA">
        <w:rPr>
          <w:rFonts w:ascii="Arial" w:eastAsia="Arial" w:hAnsi="Arial" w:cs="Arial"/>
          <w:spacing w:val="2"/>
          <w:sz w:val="22"/>
          <w:szCs w:val="22"/>
        </w:rPr>
        <w:t>o</w:t>
      </w:r>
      <w:r w:rsidRPr="00BD17CA">
        <w:rPr>
          <w:rFonts w:ascii="Arial" w:eastAsia="Arial" w:hAnsi="Arial" w:cs="Arial"/>
          <w:sz w:val="22"/>
          <w:szCs w:val="22"/>
        </w:rPr>
        <w:t>n</w:t>
      </w:r>
      <w:r w:rsidRPr="00BD17CA">
        <w:rPr>
          <w:rFonts w:ascii="Arial" w:eastAsia="Arial" w:hAnsi="Arial" w:cs="Arial"/>
          <w:spacing w:val="-7"/>
          <w:sz w:val="22"/>
          <w:szCs w:val="22"/>
        </w:rPr>
        <w:t xml:space="preserve"> </w:t>
      </w:r>
      <w:r w:rsidRPr="00BD17CA">
        <w:rPr>
          <w:rFonts w:ascii="Arial" w:eastAsia="Arial" w:hAnsi="Arial" w:cs="Arial"/>
          <w:sz w:val="22"/>
          <w:szCs w:val="22"/>
        </w:rPr>
        <w:t>F</w:t>
      </w:r>
      <w:r w:rsidRPr="00BD17CA">
        <w:rPr>
          <w:rFonts w:ascii="Arial" w:eastAsia="Arial" w:hAnsi="Arial" w:cs="Arial"/>
          <w:spacing w:val="2"/>
          <w:sz w:val="22"/>
          <w:szCs w:val="22"/>
        </w:rPr>
        <w:t>u</w:t>
      </w:r>
      <w:r w:rsidRPr="00BD17CA">
        <w:rPr>
          <w:rFonts w:ascii="Arial" w:eastAsia="Arial" w:hAnsi="Arial" w:cs="Arial"/>
          <w:sz w:val="22"/>
          <w:szCs w:val="22"/>
        </w:rPr>
        <w:t>n</w:t>
      </w:r>
      <w:r w:rsidRPr="00BD17CA">
        <w:rPr>
          <w:rFonts w:ascii="Arial" w:eastAsia="Arial" w:hAnsi="Arial" w:cs="Arial"/>
          <w:spacing w:val="1"/>
          <w:sz w:val="22"/>
          <w:szCs w:val="22"/>
        </w:rPr>
        <w:t>d</w:t>
      </w:r>
      <w:r w:rsidRPr="00BD17CA">
        <w:rPr>
          <w:rFonts w:ascii="Arial" w:eastAsia="Arial" w:hAnsi="Arial" w:cs="Arial"/>
          <w:sz w:val="22"/>
          <w:szCs w:val="22"/>
        </w:rPr>
        <w:t>.</w:t>
      </w:r>
    </w:p>
    <w:p w14:paraId="3838FE75" w14:textId="76CB588B" w:rsidR="009C7422" w:rsidRPr="00FA3B7D" w:rsidRDefault="001706EB" w:rsidP="00FA3B7D">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a)</w:t>
      </w:r>
      <w:r w:rsidRPr="00FA3B7D">
        <w:rPr>
          <w:rFonts w:ascii="Arial" w:eastAsia="Arial" w:hAnsi="Arial" w:cs="Arial"/>
          <w:b/>
          <w:sz w:val="22"/>
          <w:szCs w:val="22"/>
        </w:rPr>
        <w:t xml:space="preserve"> G</w:t>
      </w:r>
      <w:r w:rsidRPr="00BD17CA">
        <w:rPr>
          <w:rFonts w:ascii="Arial" w:eastAsia="Arial" w:hAnsi="Arial" w:cs="Arial"/>
          <w:b/>
          <w:sz w:val="22"/>
          <w:szCs w:val="22"/>
        </w:rPr>
        <w:t>ene</w:t>
      </w:r>
      <w:r w:rsidRPr="00FA3B7D">
        <w:rPr>
          <w:rFonts w:ascii="Arial" w:eastAsia="Arial" w:hAnsi="Arial" w:cs="Arial"/>
          <w:b/>
          <w:sz w:val="22"/>
          <w:szCs w:val="22"/>
        </w:rPr>
        <w:t>ra</w:t>
      </w:r>
      <w:r w:rsidRPr="00BD17CA">
        <w:rPr>
          <w:rFonts w:ascii="Arial" w:eastAsia="Arial" w:hAnsi="Arial" w:cs="Arial"/>
          <w:b/>
          <w:sz w:val="22"/>
          <w:szCs w:val="22"/>
        </w:rPr>
        <w:t>l</w:t>
      </w:r>
    </w:p>
    <w:p w14:paraId="7D868F9D" w14:textId="77777777" w:rsidR="009C7422" w:rsidRPr="00FA3B7D" w:rsidRDefault="001706EB" w:rsidP="00FA3B7D">
      <w:pPr>
        <w:spacing w:after="200" w:line="276" w:lineRule="auto"/>
        <w:ind w:right="74"/>
        <w:jc w:val="both"/>
        <w:rPr>
          <w:rFonts w:ascii="Arial" w:eastAsia="Arial" w:hAnsi="Arial" w:cs="Arial"/>
          <w:spacing w:val="3"/>
          <w:sz w:val="22"/>
          <w:szCs w:val="22"/>
        </w:rPr>
      </w:pPr>
      <w:r w:rsidRPr="00BD17CA">
        <w:rPr>
          <w:rFonts w:ascii="Arial" w:eastAsia="Arial" w:hAnsi="Arial" w:cs="Arial"/>
          <w:spacing w:val="3"/>
          <w:sz w:val="22"/>
          <w:szCs w:val="22"/>
        </w:rPr>
        <w:t>T</w:t>
      </w:r>
      <w:r w:rsidRPr="00FA3B7D">
        <w:rPr>
          <w:rFonts w:ascii="Arial" w:eastAsia="Arial" w:hAnsi="Arial" w:cs="Arial"/>
          <w:spacing w:val="3"/>
          <w:sz w:val="22"/>
          <w:szCs w:val="22"/>
        </w:rPr>
        <w:t>he scheme is governed</w:t>
      </w:r>
      <w:r w:rsidRPr="00BD17CA">
        <w:rPr>
          <w:rFonts w:ascii="Arial" w:eastAsia="Arial" w:hAnsi="Arial" w:cs="Arial"/>
          <w:spacing w:val="3"/>
          <w:sz w:val="22"/>
          <w:szCs w:val="22"/>
        </w:rPr>
        <w:t xml:space="preserve"> </w:t>
      </w:r>
      <w:r w:rsidRPr="00FA3B7D">
        <w:rPr>
          <w:rFonts w:ascii="Arial" w:eastAsia="Arial" w:hAnsi="Arial" w:cs="Arial"/>
          <w:spacing w:val="3"/>
          <w:sz w:val="22"/>
          <w:szCs w:val="22"/>
        </w:rPr>
        <w:t>by the Public Services</w:t>
      </w:r>
      <w:r w:rsidRPr="00BD17CA">
        <w:rPr>
          <w:rFonts w:ascii="Arial" w:eastAsia="Arial" w:hAnsi="Arial" w:cs="Arial"/>
          <w:spacing w:val="3"/>
          <w:sz w:val="22"/>
          <w:szCs w:val="22"/>
        </w:rPr>
        <w:t xml:space="preserve"> </w:t>
      </w:r>
      <w:r w:rsidRPr="00FA3B7D">
        <w:rPr>
          <w:rFonts w:ascii="Arial" w:eastAsia="Arial" w:hAnsi="Arial" w:cs="Arial"/>
          <w:spacing w:val="3"/>
          <w:sz w:val="22"/>
          <w:szCs w:val="22"/>
        </w:rPr>
        <w:t xml:space="preserve">Pensions Act 2013. </w:t>
      </w:r>
      <w:r w:rsidRPr="00BD17CA">
        <w:rPr>
          <w:rFonts w:ascii="Arial" w:eastAsia="Arial" w:hAnsi="Arial" w:cs="Arial"/>
          <w:spacing w:val="3"/>
          <w:sz w:val="22"/>
          <w:szCs w:val="22"/>
        </w:rPr>
        <w:t>T</w:t>
      </w:r>
      <w:r w:rsidRPr="00FA3B7D">
        <w:rPr>
          <w:rFonts w:ascii="Arial" w:eastAsia="Arial" w:hAnsi="Arial" w:cs="Arial"/>
          <w:spacing w:val="3"/>
          <w:sz w:val="22"/>
          <w:szCs w:val="22"/>
        </w:rPr>
        <w:t>he fund is administered in accordan</w:t>
      </w:r>
      <w:r w:rsidRPr="00BD17CA">
        <w:rPr>
          <w:rFonts w:ascii="Arial" w:eastAsia="Arial" w:hAnsi="Arial" w:cs="Arial"/>
          <w:spacing w:val="3"/>
          <w:sz w:val="22"/>
          <w:szCs w:val="22"/>
        </w:rPr>
        <w:t>c</w:t>
      </w:r>
      <w:r w:rsidRPr="00FA3B7D">
        <w:rPr>
          <w:rFonts w:ascii="Arial" w:eastAsia="Arial" w:hAnsi="Arial" w:cs="Arial"/>
          <w:spacing w:val="3"/>
          <w:sz w:val="22"/>
          <w:szCs w:val="22"/>
        </w:rPr>
        <w:t>e with the following seconda</w:t>
      </w:r>
      <w:r w:rsidRPr="00BD17CA">
        <w:rPr>
          <w:rFonts w:ascii="Arial" w:eastAsia="Arial" w:hAnsi="Arial" w:cs="Arial"/>
          <w:spacing w:val="3"/>
          <w:sz w:val="22"/>
          <w:szCs w:val="22"/>
        </w:rPr>
        <w:t>r</w:t>
      </w:r>
      <w:r w:rsidRPr="00FA3B7D">
        <w:rPr>
          <w:rFonts w:ascii="Arial" w:eastAsia="Arial" w:hAnsi="Arial" w:cs="Arial"/>
          <w:spacing w:val="3"/>
          <w:sz w:val="22"/>
          <w:szCs w:val="22"/>
        </w:rPr>
        <w:t>y legislation:</w:t>
      </w:r>
    </w:p>
    <w:p w14:paraId="79BB320C" w14:textId="1FCE6C14" w:rsidR="009C7422" w:rsidRPr="00FA3B7D" w:rsidRDefault="001706EB" w:rsidP="00FA3B7D">
      <w:pPr>
        <w:pStyle w:val="ListParagraph"/>
        <w:numPr>
          <w:ilvl w:val="0"/>
          <w:numId w:val="6"/>
        </w:numPr>
        <w:spacing w:after="200" w:line="276" w:lineRule="auto"/>
        <w:ind w:left="567" w:right="74" w:hanging="567"/>
        <w:jc w:val="both"/>
        <w:rPr>
          <w:rFonts w:ascii="Arial" w:eastAsia="Arial" w:hAnsi="Arial" w:cs="Arial"/>
          <w:spacing w:val="3"/>
          <w:sz w:val="22"/>
          <w:szCs w:val="22"/>
        </w:rPr>
      </w:pPr>
      <w:r w:rsidRPr="00FA3B7D">
        <w:rPr>
          <w:rFonts w:ascii="Arial" w:eastAsia="Arial" w:hAnsi="Arial" w:cs="Arial"/>
          <w:spacing w:val="3"/>
          <w:sz w:val="22"/>
          <w:szCs w:val="22"/>
        </w:rPr>
        <w:t>the Local Government Pension Scheme Regulation</w:t>
      </w:r>
      <w:r w:rsidR="00FA3B7D" w:rsidRPr="00FA3B7D">
        <w:rPr>
          <w:rFonts w:ascii="Arial" w:eastAsia="Arial" w:hAnsi="Arial" w:cs="Arial"/>
          <w:spacing w:val="3"/>
          <w:sz w:val="22"/>
          <w:szCs w:val="22"/>
        </w:rPr>
        <w:t>s</w:t>
      </w:r>
      <w:r w:rsidRPr="00FA3B7D">
        <w:rPr>
          <w:rFonts w:ascii="Arial" w:eastAsia="Arial" w:hAnsi="Arial" w:cs="Arial"/>
          <w:spacing w:val="3"/>
          <w:sz w:val="22"/>
          <w:szCs w:val="22"/>
        </w:rPr>
        <w:t xml:space="preserve"> 2013 (as amended)</w:t>
      </w:r>
      <w:r w:rsidR="00FA3B7D" w:rsidRPr="00FA3B7D">
        <w:rPr>
          <w:rFonts w:ascii="Arial" w:eastAsia="Arial" w:hAnsi="Arial" w:cs="Arial"/>
          <w:spacing w:val="3"/>
          <w:sz w:val="22"/>
          <w:szCs w:val="22"/>
        </w:rPr>
        <w:t>;</w:t>
      </w:r>
    </w:p>
    <w:p w14:paraId="66A9EF16" w14:textId="4D14F290" w:rsidR="009C7422" w:rsidRPr="00FA3B7D" w:rsidRDefault="001706EB" w:rsidP="00FA3B7D">
      <w:pPr>
        <w:pStyle w:val="ListParagraph"/>
        <w:numPr>
          <w:ilvl w:val="0"/>
          <w:numId w:val="6"/>
        </w:numPr>
        <w:spacing w:after="200" w:line="276" w:lineRule="auto"/>
        <w:ind w:left="567" w:right="74" w:hanging="567"/>
        <w:jc w:val="both"/>
        <w:rPr>
          <w:rFonts w:ascii="Arial" w:eastAsia="Arial" w:hAnsi="Arial" w:cs="Arial"/>
          <w:spacing w:val="3"/>
          <w:sz w:val="22"/>
          <w:szCs w:val="22"/>
        </w:rPr>
      </w:pPr>
      <w:r w:rsidRPr="00FA3B7D">
        <w:rPr>
          <w:rFonts w:ascii="Arial" w:eastAsia="Arial" w:hAnsi="Arial" w:cs="Arial"/>
          <w:spacing w:val="3"/>
          <w:sz w:val="22"/>
          <w:szCs w:val="22"/>
        </w:rPr>
        <w:t>the Local Government Pension Scheme (Transitional Provisions, Savings and Amendment) Regulations</w:t>
      </w:r>
      <w:r w:rsidR="00FA3B7D" w:rsidRPr="00FA3B7D">
        <w:rPr>
          <w:rFonts w:ascii="Arial" w:eastAsia="Arial" w:hAnsi="Arial" w:cs="Arial"/>
          <w:spacing w:val="3"/>
          <w:sz w:val="22"/>
          <w:szCs w:val="22"/>
        </w:rPr>
        <w:t xml:space="preserve"> </w:t>
      </w:r>
      <w:r w:rsidRPr="00FA3B7D">
        <w:rPr>
          <w:rFonts w:ascii="Arial" w:eastAsia="Arial" w:hAnsi="Arial" w:cs="Arial"/>
          <w:spacing w:val="3"/>
          <w:sz w:val="22"/>
          <w:szCs w:val="22"/>
        </w:rPr>
        <w:t>2014 (as amended)</w:t>
      </w:r>
      <w:r w:rsidR="00FA3B7D" w:rsidRPr="00FA3B7D">
        <w:rPr>
          <w:rFonts w:ascii="Arial" w:eastAsia="Arial" w:hAnsi="Arial" w:cs="Arial"/>
          <w:spacing w:val="3"/>
          <w:sz w:val="22"/>
          <w:szCs w:val="22"/>
        </w:rPr>
        <w:t>;</w:t>
      </w:r>
    </w:p>
    <w:p w14:paraId="3C52DC68" w14:textId="37AA5A1A" w:rsidR="009C7422" w:rsidRPr="00FA3B7D" w:rsidRDefault="001706EB" w:rsidP="00FA3B7D">
      <w:pPr>
        <w:pStyle w:val="ListParagraph"/>
        <w:numPr>
          <w:ilvl w:val="0"/>
          <w:numId w:val="6"/>
        </w:numPr>
        <w:spacing w:after="200" w:line="276" w:lineRule="auto"/>
        <w:ind w:left="567" w:right="74" w:hanging="567"/>
        <w:jc w:val="both"/>
        <w:rPr>
          <w:rFonts w:ascii="Arial" w:eastAsia="Arial" w:hAnsi="Arial" w:cs="Arial"/>
          <w:spacing w:val="3"/>
          <w:sz w:val="22"/>
          <w:szCs w:val="22"/>
        </w:rPr>
      </w:pPr>
      <w:r w:rsidRPr="00FA3B7D">
        <w:rPr>
          <w:rFonts w:ascii="Arial" w:eastAsia="Arial" w:hAnsi="Arial" w:cs="Arial"/>
          <w:spacing w:val="3"/>
          <w:sz w:val="22"/>
          <w:szCs w:val="22"/>
        </w:rPr>
        <w:t>the Local Government Pension Scheme (Management and Investment of Funds) Regulations 2016</w:t>
      </w:r>
      <w:r w:rsidR="00FA3B7D" w:rsidRPr="00FA3B7D">
        <w:rPr>
          <w:rFonts w:ascii="Arial" w:eastAsia="Arial" w:hAnsi="Arial" w:cs="Arial"/>
          <w:spacing w:val="3"/>
          <w:sz w:val="22"/>
          <w:szCs w:val="22"/>
        </w:rPr>
        <w:t>.</w:t>
      </w:r>
    </w:p>
    <w:p w14:paraId="359C3738" w14:textId="6373D811" w:rsidR="009C7422" w:rsidRPr="00FA3B7D" w:rsidRDefault="001706EB" w:rsidP="00FA3B7D">
      <w:pPr>
        <w:spacing w:after="200" w:line="276" w:lineRule="auto"/>
        <w:ind w:right="74"/>
        <w:jc w:val="both"/>
        <w:rPr>
          <w:rFonts w:ascii="Arial" w:eastAsia="Arial" w:hAnsi="Arial" w:cs="Arial"/>
          <w:spacing w:val="3"/>
          <w:sz w:val="22"/>
          <w:szCs w:val="22"/>
        </w:rPr>
      </w:pPr>
      <w:r w:rsidRPr="00FA3B7D">
        <w:rPr>
          <w:rFonts w:ascii="Arial" w:eastAsia="Arial" w:hAnsi="Arial" w:cs="Arial"/>
          <w:spacing w:val="3"/>
          <w:sz w:val="22"/>
          <w:szCs w:val="22"/>
        </w:rPr>
        <w:lastRenderedPageBreak/>
        <w:t>It is a cont</w:t>
      </w:r>
      <w:r w:rsidRPr="00BD17CA">
        <w:rPr>
          <w:rFonts w:ascii="Arial" w:eastAsia="Arial" w:hAnsi="Arial" w:cs="Arial"/>
          <w:spacing w:val="3"/>
          <w:sz w:val="22"/>
          <w:szCs w:val="22"/>
        </w:rPr>
        <w:t>r</w:t>
      </w:r>
      <w:r w:rsidRPr="00FA3B7D">
        <w:rPr>
          <w:rFonts w:ascii="Arial" w:eastAsia="Arial" w:hAnsi="Arial" w:cs="Arial"/>
          <w:spacing w:val="3"/>
          <w:sz w:val="22"/>
          <w:szCs w:val="22"/>
        </w:rPr>
        <w:t>ibuto</w:t>
      </w:r>
      <w:r w:rsidRPr="00BD17CA">
        <w:rPr>
          <w:rFonts w:ascii="Arial" w:eastAsia="Arial" w:hAnsi="Arial" w:cs="Arial"/>
          <w:spacing w:val="3"/>
          <w:sz w:val="22"/>
          <w:szCs w:val="22"/>
        </w:rPr>
        <w:t>r</w:t>
      </w:r>
      <w:r w:rsidRPr="00FA3B7D">
        <w:rPr>
          <w:rFonts w:ascii="Arial" w:eastAsia="Arial" w:hAnsi="Arial" w:cs="Arial"/>
          <w:spacing w:val="3"/>
          <w:sz w:val="22"/>
          <w:szCs w:val="22"/>
        </w:rPr>
        <w:t>y defined benefit pension</w:t>
      </w:r>
      <w:r w:rsidRPr="00BD17CA">
        <w:rPr>
          <w:rFonts w:ascii="Arial" w:eastAsia="Arial" w:hAnsi="Arial" w:cs="Arial"/>
          <w:spacing w:val="3"/>
          <w:sz w:val="22"/>
          <w:szCs w:val="22"/>
        </w:rPr>
        <w:t xml:space="preserve"> </w:t>
      </w:r>
      <w:r w:rsidRPr="00FA3B7D">
        <w:rPr>
          <w:rFonts w:ascii="Arial" w:eastAsia="Arial" w:hAnsi="Arial" w:cs="Arial"/>
          <w:spacing w:val="3"/>
          <w:sz w:val="22"/>
          <w:szCs w:val="22"/>
        </w:rPr>
        <w:t>scheme administered by the London Borough</w:t>
      </w:r>
      <w:r w:rsidRPr="00BD17CA">
        <w:rPr>
          <w:rFonts w:ascii="Arial" w:eastAsia="Arial" w:hAnsi="Arial" w:cs="Arial"/>
          <w:spacing w:val="3"/>
          <w:sz w:val="22"/>
          <w:szCs w:val="22"/>
        </w:rPr>
        <w:t xml:space="preserve"> </w:t>
      </w:r>
      <w:r w:rsidRPr="00FA3B7D">
        <w:rPr>
          <w:rFonts w:ascii="Arial" w:eastAsia="Arial" w:hAnsi="Arial" w:cs="Arial"/>
          <w:spacing w:val="3"/>
          <w:sz w:val="22"/>
          <w:szCs w:val="22"/>
        </w:rPr>
        <w:t>of Waltham Forest Council to provide pension and other benefits</w:t>
      </w:r>
      <w:r w:rsidRPr="00BD17CA">
        <w:rPr>
          <w:rFonts w:ascii="Arial" w:eastAsia="Arial" w:hAnsi="Arial" w:cs="Arial"/>
          <w:spacing w:val="3"/>
          <w:sz w:val="22"/>
          <w:szCs w:val="22"/>
        </w:rPr>
        <w:t xml:space="preserve"> </w:t>
      </w:r>
      <w:r w:rsidRPr="00FA3B7D">
        <w:rPr>
          <w:rFonts w:ascii="Arial" w:eastAsia="Arial" w:hAnsi="Arial" w:cs="Arial"/>
          <w:spacing w:val="3"/>
          <w:sz w:val="22"/>
          <w:szCs w:val="22"/>
        </w:rPr>
        <w:t>for pen</w:t>
      </w:r>
      <w:r w:rsidRPr="00BD17CA">
        <w:rPr>
          <w:rFonts w:ascii="Arial" w:eastAsia="Arial" w:hAnsi="Arial" w:cs="Arial"/>
          <w:spacing w:val="3"/>
          <w:sz w:val="22"/>
          <w:szCs w:val="22"/>
        </w:rPr>
        <w:t>s</w:t>
      </w:r>
      <w:r w:rsidRPr="00FA3B7D">
        <w:rPr>
          <w:rFonts w:ascii="Arial" w:eastAsia="Arial" w:hAnsi="Arial" w:cs="Arial"/>
          <w:spacing w:val="3"/>
          <w:sz w:val="22"/>
          <w:szCs w:val="22"/>
        </w:rPr>
        <w:t>ionable employees</w:t>
      </w:r>
      <w:r w:rsidRPr="00BD17CA">
        <w:rPr>
          <w:rFonts w:ascii="Arial" w:eastAsia="Arial" w:hAnsi="Arial" w:cs="Arial"/>
          <w:spacing w:val="3"/>
          <w:sz w:val="22"/>
          <w:szCs w:val="22"/>
        </w:rPr>
        <w:t xml:space="preserve"> </w:t>
      </w:r>
      <w:r w:rsidRPr="00FA3B7D">
        <w:rPr>
          <w:rFonts w:ascii="Arial" w:eastAsia="Arial" w:hAnsi="Arial" w:cs="Arial"/>
          <w:spacing w:val="3"/>
          <w:sz w:val="22"/>
          <w:szCs w:val="22"/>
        </w:rPr>
        <w:t>of the London Borough</w:t>
      </w:r>
      <w:r w:rsidRPr="00BD17CA">
        <w:rPr>
          <w:rFonts w:ascii="Arial" w:eastAsia="Arial" w:hAnsi="Arial" w:cs="Arial"/>
          <w:spacing w:val="3"/>
          <w:sz w:val="22"/>
          <w:szCs w:val="22"/>
        </w:rPr>
        <w:t xml:space="preserve"> </w:t>
      </w:r>
      <w:r w:rsidRPr="00FA3B7D">
        <w:rPr>
          <w:rFonts w:ascii="Arial" w:eastAsia="Arial" w:hAnsi="Arial" w:cs="Arial"/>
          <w:spacing w:val="3"/>
          <w:sz w:val="22"/>
          <w:szCs w:val="22"/>
        </w:rPr>
        <w:t>of Waltham Forest</w:t>
      </w:r>
      <w:r w:rsidRPr="00BD17CA">
        <w:rPr>
          <w:rFonts w:ascii="Arial" w:eastAsia="Arial" w:hAnsi="Arial" w:cs="Arial"/>
          <w:spacing w:val="3"/>
          <w:sz w:val="22"/>
          <w:szCs w:val="22"/>
        </w:rPr>
        <w:t xml:space="preserve"> </w:t>
      </w:r>
      <w:r w:rsidRPr="00FA3B7D">
        <w:rPr>
          <w:rFonts w:ascii="Arial" w:eastAsia="Arial" w:hAnsi="Arial" w:cs="Arial"/>
          <w:spacing w:val="3"/>
          <w:sz w:val="22"/>
          <w:szCs w:val="22"/>
        </w:rPr>
        <w:t>Council and a range of other scheduled and admitted bodies within the borough.</w:t>
      </w:r>
      <w:r w:rsidRPr="00BD17CA">
        <w:rPr>
          <w:rFonts w:ascii="Arial" w:eastAsia="Arial" w:hAnsi="Arial" w:cs="Arial"/>
          <w:spacing w:val="3"/>
          <w:sz w:val="22"/>
          <w:szCs w:val="22"/>
        </w:rPr>
        <w:t xml:space="preserve"> T</w:t>
      </w:r>
      <w:r w:rsidRPr="00FA3B7D">
        <w:rPr>
          <w:rFonts w:ascii="Arial" w:eastAsia="Arial" w:hAnsi="Arial" w:cs="Arial"/>
          <w:spacing w:val="3"/>
          <w:sz w:val="22"/>
          <w:szCs w:val="22"/>
        </w:rPr>
        <w:t>eachers, poli</w:t>
      </w:r>
      <w:r w:rsidRPr="00BD17CA">
        <w:rPr>
          <w:rFonts w:ascii="Arial" w:eastAsia="Arial" w:hAnsi="Arial" w:cs="Arial"/>
          <w:spacing w:val="3"/>
          <w:sz w:val="22"/>
          <w:szCs w:val="22"/>
        </w:rPr>
        <w:t>c</w:t>
      </w:r>
      <w:r w:rsidRPr="00FA3B7D">
        <w:rPr>
          <w:rFonts w:ascii="Arial" w:eastAsia="Arial" w:hAnsi="Arial" w:cs="Arial"/>
          <w:spacing w:val="3"/>
          <w:sz w:val="22"/>
          <w:szCs w:val="22"/>
        </w:rPr>
        <w:t>e, firefighters and ex-NHS wo</w:t>
      </w:r>
      <w:r w:rsidRPr="00BD17CA">
        <w:rPr>
          <w:rFonts w:ascii="Arial" w:eastAsia="Arial" w:hAnsi="Arial" w:cs="Arial"/>
          <w:spacing w:val="3"/>
          <w:sz w:val="22"/>
          <w:szCs w:val="22"/>
        </w:rPr>
        <w:t>rk</w:t>
      </w:r>
      <w:r w:rsidRPr="00FA3B7D">
        <w:rPr>
          <w:rFonts w:ascii="Arial" w:eastAsia="Arial" w:hAnsi="Arial" w:cs="Arial"/>
          <w:spacing w:val="3"/>
          <w:sz w:val="22"/>
          <w:szCs w:val="22"/>
        </w:rPr>
        <w:t>ers (who transferred when Public Health became Local Authority controlled in Ap</w:t>
      </w:r>
      <w:r w:rsidRPr="00BD17CA">
        <w:rPr>
          <w:rFonts w:ascii="Arial" w:eastAsia="Arial" w:hAnsi="Arial" w:cs="Arial"/>
          <w:spacing w:val="3"/>
          <w:sz w:val="22"/>
          <w:szCs w:val="22"/>
        </w:rPr>
        <w:t>r</w:t>
      </w:r>
      <w:r w:rsidRPr="00FA3B7D">
        <w:rPr>
          <w:rFonts w:ascii="Arial" w:eastAsia="Arial" w:hAnsi="Arial" w:cs="Arial"/>
          <w:spacing w:val="3"/>
          <w:sz w:val="22"/>
          <w:szCs w:val="22"/>
        </w:rPr>
        <w:t>il</w:t>
      </w:r>
      <w:r w:rsidR="00FA3B7D" w:rsidRPr="00FA3B7D">
        <w:rPr>
          <w:rFonts w:ascii="Arial" w:eastAsia="Arial" w:hAnsi="Arial" w:cs="Arial"/>
          <w:spacing w:val="3"/>
          <w:sz w:val="22"/>
          <w:szCs w:val="22"/>
        </w:rPr>
        <w:t xml:space="preserve"> </w:t>
      </w:r>
      <w:r w:rsidRPr="00FA3B7D">
        <w:rPr>
          <w:rFonts w:ascii="Arial" w:eastAsia="Arial" w:hAnsi="Arial" w:cs="Arial"/>
          <w:spacing w:val="3"/>
          <w:sz w:val="22"/>
          <w:szCs w:val="22"/>
        </w:rPr>
        <w:t xml:space="preserve">2013) are not included as they come within other national pension schemes.  </w:t>
      </w:r>
      <w:r w:rsidRPr="00BD17CA">
        <w:rPr>
          <w:rFonts w:ascii="Arial" w:eastAsia="Arial" w:hAnsi="Arial" w:cs="Arial"/>
          <w:spacing w:val="3"/>
          <w:sz w:val="22"/>
          <w:szCs w:val="22"/>
        </w:rPr>
        <w:t>T</w:t>
      </w:r>
      <w:r w:rsidRPr="00FA3B7D">
        <w:rPr>
          <w:rFonts w:ascii="Arial" w:eastAsia="Arial" w:hAnsi="Arial" w:cs="Arial"/>
          <w:spacing w:val="3"/>
          <w:sz w:val="22"/>
          <w:szCs w:val="22"/>
        </w:rPr>
        <w:t>he fund is overseen by the London Borough of Waltham Forest Pension Committee, which is a Committee of the London Borough of Waltham Forest Council.</w:t>
      </w:r>
    </w:p>
    <w:p w14:paraId="0BC92E34" w14:textId="77777777" w:rsidR="009C7422" w:rsidRPr="00FA3B7D" w:rsidRDefault="001706EB" w:rsidP="00FA3B7D">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b)</w:t>
      </w:r>
      <w:r w:rsidRPr="00FA3B7D">
        <w:rPr>
          <w:rFonts w:ascii="Arial" w:eastAsia="Arial" w:hAnsi="Arial" w:cs="Arial"/>
          <w:b/>
          <w:sz w:val="22"/>
          <w:szCs w:val="22"/>
        </w:rPr>
        <w:t xml:space="preserve"> M</w:t>
      </w:r>
      <w:r w:rsidRPr="00BD17CA">
        <w:rPr>
          <w:rFonts w:ascii="Arial" w:eastAsia="Arial" w:hAnsi="Arial" w:cs="Arial"/>
          <w:b/>
          <w:sz w:val="22"/>
          <w:szCs w:val="22"/>
        </w:rPr>
        <w:t>em</w:t>
      </w:r>
      <w:r w:rsidRPr="00FA3B7D">
        <w:rPr>
          <w:rFonts w:ascii="Arial" w:eastAsia="Arial" w:hAnsi="Arial" w:cs="Arial"/>
          <w:b/>
          <w:sz w:val="22"/>
          <w:szCs w:val="22"/>
        </w:rPr>
        <w:t>b</w:t>
      </w:r>
      <w:r w:rsidRPr="00BD17CA">
        <w:rPr>
          <w:rFonts w:ascii="Arial" w:eastAsia="Arial" w:hAnsi="Arial" w:cs="Arial"/>
          <w:b/>
          <w:sz w:val="22"/>
          <w:szCs w:val="22"/>
        </w:rPr>
        <w:t>e</w:t>
      </w:r>
      <w:r w:rsidRPr="00FA3B7D">
        <w:rPr>
          <w:rFonts w:ascii="Arial" w:eastAsia="Arial" w:hAnsi="Arial" w:cs="Arial"/>
          <w:b/>
          <w:sz w:val="22"/>
          <w:szCs w:val="22"/>
        </w:rPr>
        <w:t>r</w:t>
      </w:r>
      <w:r w:rsidRPr="00BD17CA">
        <w:rPr>
          <w:rFonts w:ascii="Arial" w:eastAsia="Arial" w:hAnsi="Arial" w:cs="Arial"/>
          <w:b/>
          <w:sz w:val="22"/>
          <w:szCs w:val="22"/>
        </w:rPr>
        <w:t>ship</w:t>
      </w:r>
    </w:p>
    <w:p w14:paraId="3FFE25D5" w14:textId="77777777" w:rsidR="009C7422" w:rsidRPr="00FA3B7D" w:rsidRDefault="001706EB" w:rsidP="00FA3B7D">
      <w:pPr>
        <w:spacing w:after="200" w:line="276" w:lineRule="auto"/>
        <w:ind w:right="74"/>
        <w:jc w:val="both"/>
        <w:rPr>
          <w:rFonts w:ascii="Arial" w:eastAsia="Arial" w:hAnsi="Arial" w:cs="Arial"/>
          <w:spacing w:val="3"/>
          <w:sz w:val="22"/>
          <w:szCs w:val="22"/>
        </w:rPr>
      </w:pPr>
      <w:r w:rsidRPr="00FA3B7D">
        <w:rPr>
          <w:rFonts w:ascii="Arial" w:eastAsia="Arial" w:hAnsi="Arial" w:cs="Arial"/>
          <w:spacing w:val="3"/>
          <w:sz w:val="22"/>
          <w:szCs w:val="22"/>
        </w:rPr>
        <w:t>Membership of the L</w:t>
      </w:r>
      <w:r w:rsidRPr="00BD17CA">
        <w:rPr>
          <w:rFonts w:ascii="Arial" w:eastAsia="Arial" w:hAnsi="Arial" w:cs="Arial"/>
          <w:spacing w:val="3"/>
          <w:sz w:val="22"/>
          <w:szCs w:val="22"/>
        </w:rPr>
        <w:t>G</w:t>
      </w:r>
      <w:r w:rsidRPr="00FA3B7D">
        <w:rPr>
          <w:rFonts w:ascii="Arial" w:eastAsia="Arial" w:hAnsi="Arial" w:cs="Arial"/>
          <w:spacing w:val="3"/>
          <w:sz w:val="22"/>
          <w:szCs w:val="22"/>
        </w:rPr>
        <w:t>PS is volunta</w:t>
      </w:r>
      <w:r w:rsidRPr="00BD17CA">
        <w:rPr>
          <w:rFonts w:ascii="Arial" w:eastAsia="Arial" w:hAnsi="Arial" w:cs="Arial"/>
          <w:spacing w:val="3"/>
          <w:sz w:val="22"/>
          <w:szCs w:val="22"/>
        </w:rPr>
        <w:t>r</w:t>
      </w:r>
      <w:r w:rsidRPr="00FA3B7D">
        <w:rPr>
          <w:rFonts w:ascii="Arial" w:eastAsia="Arial" w:hAnsi="Arial" w:cs="Arial"/>
          <w:spacing w:val="3"/>
          <w:sz w:val="22"/>
          <w:szCs w:val="22"/>
        </w:rPr>
        <w:t>y and employees are free to choose whether to join the scheme, remain in the scheme or ma</w:t>
      </w:r>
      <w:r w:rsidRPr="00BD17CA">
        <w:rPr>
          <w:rFonts w:ascii="Arial" w:eastAsia="Arial" w:hAnsi="Arial" w:cs="Arial"/>
          <w:spacing w:val="3"/>
          <w:sz w:val="22"/>
          <w:szCs w:val="22"/>
        </w:rPr>
        <w:t>k</w:t>
      </w:r>
      <w:r w:rsidRPr="00FA3B7D">
        <w:rPr>
          <w:rFonts w:ascii="Arial" w:eastAsia="Arial" w:hAnsi="Arial" w:cs="Arial"/>
          <w:spacing w:val="3"/>
          <w:sz w:val="22"/>
          <w:szCs w:val="22"/>
        </w:rPr>
        <w:t>e their own personal</w:t>
      </w:r>
      <w:r w:rsidRPr="00BD17CA">
        <w:rPr>
          <w:rFonts w:ascii="Arial" w:eastAsia="Arial" w:hAnsi="Arial" w:cs="Arial"/>
          <w:spacing w:val="3"/>
          <w:sz w:val="22"/>
          <w:szCs w:val="22"/>
        </w:rPr>
        <w:t xml:space="preserve"> </w:t>
      </w:r>
      <w:r w:rsidRPr="00FA3B7D">
        <w:rPr>
          <w:rFonts w:ascii="Arial" w:eastAsia="Arial" w:hAnsi="Arial" w:cs="Arial"/>
          <w:spacing w:val="3"/>
          <w:sz w:val="22"/>
          <w:szCs w:val="22"/>
        </w:rPr>
        <w:t xml:space="preserve">arrangements outside the scheme. </w:t>
      </w:r>
      <w:proofErr w:type="spellStart"/>
      <w:r w:rsidRPr="00FA3B7D">
        <w:rPr>
          <w:rFonts w:ascii="Arial" w:eastAsia="Arial" w:hAnsi="Arial" w:cs="Arial"/>
          <w:spacing w:val="3"/>
          <w:sz w:val="22"/>
          <w:szCs w:val="22"/>
        </w:rPr>
        <w:t>Organisations</w:t>
      </w:r>
      <w:proofErr w:type="spellEnd"/>
      <w:r w:rsidRPr="00BD17CA">
        <w:rPr>
          <w:rFonts w:ascii="Arial" w:eastAsia="Arial" w:hAnsi="Arial" w:cs="Arial"/>
          <w:spacing w:val="3"/>
          <w:sz w:val="22"/>
          <w:szCs w:val="22"/>
        </w:rPr>
        <w:t xml:space="preserve"> </w:t>
      </w:r>
      <w:r w:rsidRPr="00FA3B7D">
        <w:rPr>
          <w:rFonts w:ascii="Arial" w:eastAsia="Arial" w:hAnsi="Arial" w:cs="Arial"/>
          <w:spacing w:val="3"/>
          <w:sz w:val="22"/>
          <w:szCs w:val="22"/>
        </w:rPr>
        <w:t>parti</w:t>
      </w:r>
      <w:r w:rsidRPr="00BD17CA">
        <w:rPr>
          <w:rFonts w:ascii="Arial" w:eastAsia="Arial" w:hAnsi="Arial" w:cs="Arial"/>
          <w:spacing w:val="3"/>
          <w:sz w:val="22"/>
          <w:szCs w:val="22"/>
        </w:rPr>
        <w:t>c</w:t>
      </w:r>
      <w:r w:rsidRPr="00FA3B7D">
        <w:rPr>
          <w:rFonts w:ascii="Arial" w:eastAsia="Arial" w:hAnsi="Arial" w:cs="Arial"/>
          <w:spacing w:val="3"/>
          <w:sz w:val="22"/>
          <w:szCs w:val="22"/>
        </w:rPr>
        <w:t>ipating in the London Borough of Waltham Forest Pension Fund include:</w:t>
      </w:r>
    </w:p>
    <w:p w14:paraId="17DAD1E5" w14:textId="1EDE751A" w:rsidR="009C7422" w:rsidRPr="0046695E" w:rsidRDefault="001706EB" w:rsidP="0046695E">
      <w:pPr>
        <w:pStyle w:val="ListParagraph"/>
        <w:numPr>
          <w:ilvl w:val="0"/>
          <w:numId w:val="6"/>
        </w:numPr>
        <w:spacing w:after="200" w:line="276" w:lineRule="auto"/>
        <w:ind w:left="567" w:right="74" w:hanging="567"/>
        <w:jc w:val="both"/>
        <w:rPr>
          <w:rFonts w:ascii="Arial" w:eastAsia="Arial" w:hAnsi="Arial" w:cs="Arial"/>
          <w:spacing w:val="3"/>
          <w:sz w:val="22"/>
          <w:szCs w:val="22"/>
        </w:rPr>
      </w:pPr>
      <w:r w:rsidRPr="0046695E">
        <w:rPr>
          <w:rFonts w:ascii="Arial" w:eastAsia="Arial" w:hAnsi="Arial" w:cs="Arial"/>
          <w:spacing w:val="3"/>
          <w:sz w:val="22"/>
          <w:szCs w:val="22"/>
        </w:rPr>
        <w:t>Scheduled bodies, which are automatically entitled to be members of the fund.</w:t>
      </w:r>
    </w:p>
    <w:p w14:paraId="713FBE51" w14:textId="775144EE" w:rsidR="0046695E" w:rsidRPr="00933FA8" w:rsidRDefault="001706EB" w:rsidP="005162D5">
      <w:pPr>
        <w:pStyle w:val="ListParagraph"/>
        <w:numPr>
          <w:ilvl w:val="0"/>
          <w:numId w:val="6"/>
        </w:numPr>
        <w:spacing w:after="200" w:line="276" w:lineRule="auto"/>
        <w:ind w:left="567" w:right="74" w:hanging="567"/>
        <w:jc w:val="both"/>
        <w:rPr>
          <w:rFonts w:ascii="Arial" w:eastAsia="Arial" w:hAnsi="Arial" w:cs="Arial"/>
          <w:sz w:val="22"/>
          <w:szCs w:val="22"/>
        </w:rPr>
      </w:pPr>
      <w:r w:rsidRPr="00933FA8">
        <w:rPr>
          <w:rFonts w:ascii="Arial" w:eastAsia="Arial" w:hAnsi="Arial" w:cs="Arial"/>
          <w:spacing w:val="3"/>
          <w:sz w:val="22"/>
          <w:szCs w:val="22"/>
        </w:rPr>
        <w:t xml:space="preserve">Admitted bodies, which are other </w:t>
      </w:r>
      <w:proofErr w:type="spellStart"/>
      <w:r w:rsidRPr="00933FA8">
        <w:rPr>
          <w:rFonts w:ascii="Arial" w:eastAsia="Arial" w:hAnsi="Arial" w:cs="Arial"/>
          <w:spacing w:val="3"/>
          <w:sz w:val="22"/>
          <w:szCs w:val="22"/>
        </w:rPr>
        <w:t>organisations</w:t>
      </w:r>
      <w:proofErr w:type="spellEnd"/>
      <w:r w:rsidRPr="00933FA8">
        <w:rPr>
          <w:rFonts w:ascii="Arial" w:eastAsia="Arial" w:hAnsi="Arial" w:cs="Arial"/>
          <w:spacing w:val="3"/>
          <w:sz w:val="22"/>
          <w:szCs w:val="22"/>
        </w:rPr>
        <w:t xml:space="preserve"> that participate in the fund under an admission agreement between the fund and the relevant </w:t>
      </w:r>
      <w:proofErr w:type="spellStart"/>
      <w:r w:rsidRPr="00933FA8">
        <w:rPr>
          <w:rFonts w:ascii="Arial" w:eastAsia="Arial" w:hAnsi="Arial" w:cs="Arial"/>
          <w:spacing w:val="3"/>
          <w:sz w:val="22"/>
          <w:szCs w:val="22"/>
        </w:rPr>
        <w:t>organisation</w:t>
      </w:r>
      <w:proofErr w:type="spellEnd"/>
      <w:r w:rsidRPr="00933FA8">
        <w:rPr>
          <w:rFonts w:ascii="Arial" w:eastAsia="Arial" w:hAnsi="Arial" w:cs="Arial"/>
          <w:spacing w:val="3"/>
          <w:sz w:val="22"/>
          <w:szCs w:val="22"/>
        </w:rPr>
        <w:t>. Admitted bodies include voluntary, charitable and similar bodies or private contractors undertaking a local authority function following</w:t>
      </w:r>
      <w:r w:rsidRPr="00933FA8">
        <w:rPr>
          <w:rFonts w:ascii="Arial" w:eastAsia="Arial" w:hAnsi="Arial" w:cs="Arial"/>
          <w:spacing w:val="5"/>
          <w:sz w:val="22"/>
          <w:szCs w:val="22"/>
        </w:rPr>
        <w:t xml:space="preserve"> </w:t>
      </w:r>
      <w:r w:rsidRPr="00933FA8">
        <w:rPr>
          <w:rFonts w:ascii="Arial" w:eastAsia="Arial" w:hAnsi="Arial" w:cs="Arial"/>
          <w:spacing w:val="2"/>
          <w:sz w:val="22"/>
          <w:szCs w:val="22"/>
        </w:rPr>
        <w:t>o</w:t>
      </w:r>
      <w:r w:rsidRPr="00933FA8">
        <w:rPr>
          <w:rFonts w:ascii="Arial" w:eastAsia="Arial" w:hAnsi="Arial" w:cs="Arial"/>
          <w:sz w:val="22"/>
          <w:szCs w:val="22"/>
        </w:rPr>
        <w:t>utso</w:t>
      </w:r>
      <w:r w:rsidRPr="00933FA8">
        <w:rPr>
          <w:rFonts w:ascii="Arial" w:eastAsia="Arial" w:hAnsi="Arial" w:cs="Arial"/>
          <w:spacing w:val="-1"/>
          <w:sz w:val="22"/>
          <w:szCs w:val="22"/>
        </w:rPr>
        <w:t>u</w:t>
      </w:r>
      <w:r w:rsidRPr="00933FA8">
        <w:rPr>
          <w:rFonts w:ascii="Arial" w:eastAsia="Arial" w:hAnsi="Arial" w:cs="Arial"/>
          <w:spacing w:val="1"/>
          <w:sz w:val="22"/>
          <w:szCs w:val="22"/>
        </w:rPr>
        <w:t>rc</w:t>
      </w:r>
      <w:r w:rsidRPr="00933FA8">
        <w:rPr>
          <w:rFonts w:ascii="Arial" w:eastAsia="Arial" w:hAnsi="Arial" w:cs="Arial"/>
          <w:spacing w:val="-1"/>
          <w:sz w:val="22"/>
          <w:szCs w:val="22"/>
        </w:rPr>
        <w:t>i</w:t>
      </w:r>
      <w:r w:rsidRPr="00933FA8">
        <w:rPr>
          <w:rFonts w:ascii="Arial" w:eastAsia="Arial" w:hAnsi="Arial" w:cs="Arial"/>
          <w:spacing w:val="2"/>
          <w:sz w:val="22"/>
          <w:szCs w:val="22"/>
        </w:rPr>
        <w:t>n</w:t>
      </w:r>
      <w:r w:rsidRPr="00933FA8">
        <w:rPr>
          <w:rFonts w:ascii="Arial" w:eastAsia="Arial" w:hAnsi="Arial" w:cs="Arial"/>
          <w:sz w:val="22"/>
          <w:szCs w:val="22"/>
        </w:rPr>
        <w:t>g to</w:t>
      </w:r>
      <w:r w:rsidRPr="00933FA8">
        <w:rPr>
          <w:rFonts w:ascii="Arial" w:eastAsia="Arial" w:hAnsi="Arial" w:cs="Arial"/>
          <w:spacing w:val="12"/>
          <w:sz w:val="22"/>
          <w:szCs w:val="22"/>
        </w:rPr>
        <w:t xml:space="preserve"> </w:t>
      </w:r>
      <w:r w:rsidRPr="00933FA8">
        <w:rPr>
          <w:rFonts w:ascii="Arial" w:eastAsia="Arial" w:hAnsi="Arial" w:cs="Arial"/>
          <w:sz w:val="22"/>
          <w:szCs w:val="22"/>
        </w:rPr>
        <w:t>the</w:t>
      </w:r>
      <w:r w:rsidRPr="00933FA8">
        <w:rPr>
          <w:rFonts w:ascii="Arial" w:eastAsia="Arial" w:hAnsi="Arial" w:cs="Arial"/>
          <w:spacing w:val="10"/>
          <w:sz w:val="22"/>
          <w:szCs w:val="22"/>
        </w:rPr>
        <w:t xml:space="preserve"> </w:t>
      </w:r>
      <w:r w:rsidRPr="00933FA8">
        <w:rPr>
          <w:rFonts w:ascii="Arial" w:eastAsia="Arial" w:hAnsi="Arial" w:cs="Arial"/>
          <w:sz w:val="22"/>
          <w:szCs w:val="22"/>
        </w:rPr>
        <w:t>pr</w:t>
      </w:r>
      <w:r w:rsidRPr="00933FA8">
        <w:rPr>
          <w:rFonts w:ascii="Arial" w:eastAsia="Arial" w:hAnsi="Arial" w:cs="Arial"/>
          <w:spacing w:val="2"/>
          <w:sz w:val="22"/>
          <w:szCs w:val="22"/>
        </w:rPr>
        <w:t>i</w:t>
      </w:r>
      <w:r w:rsidRPr="00933FA8">
        <w:rPr>
          <w:rFonts w:ascii="Arial" w:eastAsia="Arial" w:hAnsi="Arial" w:cs="Arial"/>
          <w:spacing w:val="-1"/>
          <w:sz w:val="22"/>
          <w:szCs w:val="22"/>
        </w:rPr>
        <w:t>v</w:t>
      </w:r>
      <w:r w:rsidRPr="00933FA8">
        <w:rPr>
          <w:rFonts w:ascii="Arial" w:eastAsia="Arial" w:hAnsi="Arial" w:cs="Arial"/>
          <w:sz w:val="22"/>
          <w:szCs w:val="22"/>
        </w:rPr>
        <w:t>a</w:t>
      </w:r>
      <w:r w:rsidRPr="00933FA8">
        <w:rPr>
          <w:rFonts w:ascii="Arial" w:eastAsia="Arial" w:hAnsi="Arial" w:cs="Arial"/>
          <w:spacing w:val="2"/>
          <w:sz w:val="22"/>
          <w:szCs w:val="22"/>
        </w:rPr>
        <w:t>t</w:t>
      </w:r>
      <w:r w:rsidRPr="00933FA8">
        <w:rPr>
          <w:rFonts w:ascii="Arial" w:eastAsia="Arial" w:hAnsi="Arial" w:cs="Arial"/>
          <w:sz w:val="22"/>
          <w:szCs w:val="22"/>
        </w:rPr>
        <w:t xml:space="preserve">e </w:t>
      </w:r>
      <w:r w:rsidRPr="00933FA8">
        <w:rPr>
          <w:rFonts w:ascii="Arial" w:eastAsia="Arial" w:hAnsi="Arial" w:cs="Arial"/>
          <w:spacing w:val="1"/>
          <w:sz w:val="22"/>
          <w:szCs w:val="22"/>
        </w:rPr>
        <w:t>s</w:t>
      </w:r>
      <w:r w:rsidRPr="00933FA8">
        <w:rPr>
          <w:rFonts w:ascii="Arial" w:eastAsia="Arial" w:hAnsi="Arial" w:cs="Arial"/>
          <w:sz w:val="22"/>
          <w:szCs w:val="22"/>
        </w:rPr>
        <w:t>e</w:t>
      </w:r>
      <w:r w:rsidRPr="00933FA8">
        <w:rPr>
          <w:rFonts w:ascii="Arial" w:eastAsia="Arial" w:hAnsi="Arial" w:cs="Arial"/>
          <w:spacing w:val="1"/>
          <w:sz w:val="22"/>
          <w:szCs w:val="22"/>
        </w:rPr>
        <w:t>c</w:t>
      </w:r>
      <w:r w:rsidRPr="00933FA8">
        <w:rPr>
          <w:rFonts w:ascii="Arial" w:eastAsia="Arial" w:hAnsi="Arial" w:cs="Arial"/>
          <w:sz w:val="22"/>
          <w:szCs w:val="22"/>
        </w:rPr>
        <w:t>tor.</w:t>
      </w:r>
    </w:p>
    <w:p w14:paraId="7E748ADC" w14:textId="00785DBC" w:rsidR="0046695E" w:rsidRDefault="0046695E"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 xml:space="preserve">The following table </w:t>
      </w:r>
      <w:proofErr w:type="spellStart"/>
      <w:r w:rsidRPr="0046695E">
        <w:rPr>
          <w:rFonts w:ascii="Arial" w:eastAsia="Arial" w:hAnsi="Arial" w:cs="Arial"/>
          <w:sz w:val="22"/>
          <w:szCs w:val="22"/>
        </w:rPr>
        <w:t>summarises</w:t>
      </w:r>
      <w:proofErr w:type="spellEnd"/>
      <w:r w:rsidRPr="0046695E">
        <w:rPr>
          <w:rFonts w:ascii="Arial" w:eastAsia="Arial" w:hAnsi="Arial" w:cs="Arial"/>
          <w:sz w:val="22"/>
          <w:szCs w:val="22"/>
        </w:rPr>
        <w:t xml:space="preserve"> the membership of the Fund as at 31 March 20</w:t>
      </w:r>
      <w:r w:rsidR="00DC7292">
        <w:rPr>
          <w:rFonts w:ascii="Arial" w:eastAsia="Arial" w:hAnsi="Arial" w:cs="Arial"/>
          <w:sz w:val="22"/>
          <w:szCs w:val="22"/>
        </w:rPr>
        <w:t>20 and 31 March 2019</w:t>
      </w:r>
      <w:r w:rsidRPr="0046695E">
        <w:rPr>
          <w:rFonts w:ascii="Arial" w:eastAsia="Arial" w:hAnsi="Arial" w:cs="Arial"/>
          <w:sz w:val="22"/>
          <w:szCs w:val="22"/>
        </w:rPr>
        <w:t>:</w:t>
      </w:r>
    </w:p>
    <w:tbl>
      <w:tblPr>
        <w:tblW w:w="9540" w:type="dxa"/>
        <w:tblLook w:val="04A0" w:firstRow="1" w:lastRow="0" w:firstColumn="1" w:lastColumn="0" w:noHBand="0" w:noVBand="1"/>
      </w:tblPr>
      <w:tblGrid>
        <w:gridCol w:w="1460"/>
        <w:gridCol w:w="960"/>
        <w:gridCol w:w="960"/>
        <w:gridCol w:w="4700"/>
        <w:gridCol w:w="1460"/>
      </w:tblGrid>
      <w:tr w:rsidR="00524ED8" w:rsidRPr="00524ED8" w14:paraId="0FF2D176" w14:textId="77777777" w:rsidTr="00524ED8">
        <w:trPr>
          <w:trHeight w:val="300"/>
        </w:trPr>
        <w:tc>
          <w:tcPr>
            <w:tcW w:w="1460" w:type="dxa"/>
            <w:tcBorders>
              <w:top w:val="single" w:sz="4" w:space="0" w:color="auto"/>
              <w:left w:val="single" w:sz="4" w:space="0" w:color="auto"/>
              <w:bottom w:val="nil"/>
              <w:right w:val="nil"/>
            </w:tcBorders>
            <w:shd w:val="clear" w:color="000000" w:fill="00CC99"/>
            <w:vAlign w:val="center"/>
            <w:hideMark/>
          </w:tcPr>
          <w:p w14:paraId="1EAD1EC2" w14:textId="77777777" w:rsidR="00524ED8" w:rsidRPr="00524ED8" w:rsidRDefault="00524ED8" w:rsidP="00524ED8">
            <w:pPr>
              <w:jc w:val="center"/>
              <w:rPr>
                <w:rFonts w:ascii="Arial" w:hAnsi="Arial" w:cs="Arial"/>
                <w:b/>
                <w:bCs/>
                <w:color w:val="000000"/>
                <w:lang w:val="en-GB" w:eastAsia="en-GB"/>
              </w:rPr>
            </w:pPr>
            <w:r w:rsidRPr="00524ED8">
              <w:rPr>
                <w:rFonts w:ascii="Arial" w:hAnsi="Arial" w:cs="Arial"/>
                <w:b/>
                <w:bCs/>
                <w:color w:val="000000"/>
                <w:lang w:val="en-GB" w:eastAsia="en-GB"/>
              </w:rPr>
              <w:t> </w:t>
            </w:r>
          </w:p>
        </w:tc>
        <w:tc>
          <w:tcPr>
            <w:tcW w:w="960" w:type="dxa"/>
            <w:tcBorders>
              <w:top w:val="single" w:sz="4" w:space="0" w:color="auto"/>
              <w:left w:val="nil"/>
              <w:bottom w:val="nil"/>
              <w:right w:val="nil"/>
            </w:tcBorders>
            <w:shd w:val="clear" w:color="000000" w:fill="00CC99"/>
            <w:vAlign w:val="center"/>
            <w:hideMark/>
          </w:tcPr>
          <w:p w14:paraId="7281B2FE" w14:textId="77777777" w:rsidR="00524ED8" w:rsidRPr="00524ED8" w:rsidRDefault="00524ED8" w:rsidP="00524ED8">
            <w:pPr>
              <w:jc w:val="center"/>
              <w:rPr>
                <w:rFonts w:ascii="Arial" w:hAnsi="Arial" w:cs="Arial"/>
                <w:b/>
                <w:bCs/>
                <w:color w:val="000000"/>
                <w:lang w:val="en-GB" w:eastAsia="en-GB"/>
              </w:rPr>
            </w:pPr>
            <w:r w:rsidRPr="00524ED8">
              <w:rPr>
                <w:rFonts w:ascii="Arial" w:hAnsi="Arial" w:cs="Arial"/>
                <w:b/>
                <w:bCs/>
                <w:color w:val="000000"/>
                <w:lang w:val="en-GB" w:eastAsia="en-GB"/>
              </w:rPr>
              <w:t> </w:t>
            </w:r>
          </w:p>
        </w:tc>
        <w:tc>
          <w:tcPr>
            <w:tcW w:w="960" w:type="dxa"/>
            <w:tcBorders>
              <w:top w:val="single" w:sz="4" w:space="0" w:color="auto"/>
              <w:left w:val="nil"/>
              <w:bottom w:val="nil"/>
              <w:right w:val="nil"/>
            </w:tcBorders>
            <w:shd w:val="clear" w:color="000000" w:fill="00CC99"/>
            <w:vAlign w:val="center"/>
            <w:hideMark/>
          </w:tcPr>
          <w:p w14:paraId="74BCB527" w14:textId="77777777" w:rsidR="00524ED8" w:rsidRPr="00524ED8" w:rsidRDefault="00524ED8" w:rsidP="00524ED8">
            <w:pPr>
              <w:jc w:val="center"/>
              <w:rPr>
                <w:rFonts w:ascii="Arial" w:hAnsi="Arial" w:cs="Arial"/>
                <w:b/>
                <w:bCs/>
                <w:color w:val="000000"/>
                <w:lang w:val="en-GB" w:eastAsia="en-GB"/>
              </w:rPr>
            </w:pPr>
            <w:r w:rsidRPr="00524ED8">
              <w:rPr>
                <w:rFonts w:ascii="Arial" w:hAnsi="Arial" w:cs="Arial"/>
                <w:b/>
                <w:bCs/>
                <w:color w:val="000000"/>
                <w:lang w:val="en-GB" w:eastAsia="en-GB"/>
              </w:rPr>
              <w:t> </w:t>
            </w:r>
          </w:p>
        </w:tc>
        <w:tc>
          <w:tcPr>
            <w:tcW w:w="4700" w:type="dxa"/>
            <w:tcBorders>
              <w:top w:val="single" w:sz="4" w:space="0" w:color="auto"/>
              <w:left w:val="nil"/>
              <w:bottom w:val="nil"/>
              <w:right w:val="nil"/>
            </w:tcBorders>
            <w:shd w:val="clear" w:color="000000" w:fill="00CC99"/>
            <w:vAlign w:val="center"/>
            <w:hideMark/>
          </w:tcPr>
          <w:p w14:paraId="067E952E" w14:textId="77777777" w:rsidR="00524ED8" w:rsidRPr="00524ED8" w:rsidRDefault="00524ED8" w:rsidP="00524ED8">
            <w:pPr>
              <w:jc w:val="center"/>
              <w:rPr>
                <w:rFonts w:ascii="Arial" w:hAnsi="Arial" w:cs="Arial"/>
                <w:b/>
                <w:bCs/>
                <w:color w:val="000000"/>
                <w:lang w:val="en-GB" w:eastAsia="en-GB"/>
              </w:rPr>
            </w:pPr>
            <w:r w:rsidRPr="00524ED8">
              <w:rPr>
                <w:rFonts w:ascii="Arial" w:hAnsi="Arial" w:cs="Arial"/>
                <w:b/>
                <w:bCs/>
                <w:color w:val="000000"/>
                <w:lang w:val="en-GB" w:eastAsia="en-GB"/>
              </w:rPr>
              <w:t> </w:t>
            </w:r>
          </w:p>
        </w:tc>
        <w:tc>
          <w:tcPr>
            <w:tcW w:w="1460" w:type="dxa"/>
            <w:tcBorders>
              <w:top w:val="single" w:sz="4" w:space="0" w:color="auto"/>
              <w:left w:val="nil"/>
              <w:bottom w:val="nil"/>
              <w:right w:val="single" w:sz="4" w:space="0" w:color="auto"/>
            </w:tcBorders>
            <w:shd w:val="clear" w:color="000000" w:fill="00CC99"/>
            <w:vAlign w:val="center"/>
            <w:hideMark/>
          </w:tcPr>
          <w:p w14:paraId="412DAA80" w14:textId="77777777" w:rsidR="00524ED8" w:rsidRPr="00524ED8" w:rsidRDefault="00524ED8" w:rsidP="00524ED8">
            <w:pPr>
              <w:jc w:val="center"/>
              <w:rPr>
                <w:rFonts w:ascii="Arial" w:hAnsi="Arial" w:cs="Arial"/>
                <w:b/>
                <w:bCs/>
                <w:color w:val="000000"/>
                <w:lang w:val="en-GB" w:eastAsia="en-GB"/>
              </w:rPr>
            </w:pPr>
            <w:r w:rsidRPr="00524ED8">
              <w:rPr>
                <w:rFonts w:ascii="Arial" w:hAnsi="Arial" w:cs="Arial"/>
                <w:b/>
                <w:bCs/>
                <w:color w:val="000000"/>
                <w:lang w:val="en-GB" w:eastAsia="en-GB"/>
              </w:rPr>
              <w:t> </w:t>
            </w:r>
          </w:p>
        </w:tc>
      </w:tr>
      <w:tr w:rsidR="00524ED8" w:rsidRPr="00524ED8" w14:paraId="1ED5C96B" w14:textId="77777777" w:rsidTr="00524ED8">
        <w:trPr>
          <w:trHeight w:val="300"/>
        </w:trPr>
        <w:tc>
          <w:tcPr>
            <w:tcW w:w="1460" w:type="dxa"/>
            <w:tcBorders>
              <w:top w:val="nil"/>
              <w:left w:val="single" w:sz="4" w:space="0" w:color="auto"/>
              <w:bottom w:val="single" w:sz="4" w:space="0" w:color="auto"/>
              <w:right w:val="nil"/>
            </w:tcBorders>
            <w:shd w:val="clear" w:color="000000" w:fill="00CC99"/>
            <w:vAlign w:val="center"/>
            <w:hideMark/>
          </w:tcPr>
          <w:p w14:paraId="715A50FD" w14:textId="77777777" w:rsidR="00524ED8" w:rsidRPr="00524ED8" w:rsidRDefault="00524ED8" w:rsidP="00524ED8">
            <w:pPr>
              <w:jc w:val="center"/>
              <w:rPr>
                <w:rFonts w:ascii="Arial" w:hAnsi="Arial" w:cs="Arial"/>
                <w:b/>
                <w:bCs/>
                <w:color w:val="000000"/>
                <w:lang w:val="en-GB" w:eastAsia="en-GB"/>
              </w:rPr>
            </w:pPr>
            <w:r w:rsidRPr="00524ED8">
              <w:rPr>
                <w:rFonts w:ascii="Arial" w:hAnsi="Arial" w:cs="Arial"/>
                <w:b/>
                <w:bCs/>
                <w:color w:val="000000"/>
                <w:lang w:val="en-GB" w:eastAsia="en-GB"/>
              </w:rPr>
              <w:t>31 March 2019</w:t>
            </w:r>
          </w:p>
        </w:tc>
        <w:tc>
          <w:tcPr>
            <w:tcW w:w="960" w:type="dxa"/>
            <w:tcBorders>
              <w:top w:val="nil"/>
              <w:left w:val="nil"/>
              <w:bottom w:val="single" w:sz="4" w:space="0" w:color="auto"/>
              <w:right w:val="nil"/>
            </w:tcBorders>
            <w:shd w:val="clear" w:color="000000" w:fill="00CC99"/>
            <w:vAlign w:val="center"/>
            <w:hideMark/>
          </w:tcPr>
          <w:p w14:paraId="30E1F1CC" w14:textId="77777777" w:rsidR="00524ED8" w:rsidRPr="00524ED8" w:rsidRDefault="00524ED8" w:rsidP="00524ED8">
            <w:pPr>
              <w:jc w:val="center"/>
              <w:rPr>
                <w:rFonts w:ascii="Arial" w:hAnsi="Arial" w:cs="Arial"/>
                <w:b/>
                <w:bCs/>
                <w:color w:val="000000"/>
                <w:lang w:val="en-GB" w:eastAsia="en-GB"/>
              </w:rPr>
            </w:pPr>
            <w:r w:rsidRPr="00524ED8">
              <w:rPr>
                <w:rFonts w:ascii="Arial" w:hAnsi="Arial" w:cs="Arial"/>
                <w:b/>
                <w:bCs/>
                <w:color w:val="000000"/>
                <w:lang w:val="en-GB" w:eastAsia="en-GB"/>
              </w:rPr>
              <w:t> </w:t>
            </w:r>
          </w:p>
        </w:tc>
        <w:tc>
          <w:tcPr>
            <w:tcW w:w="960" w:type="dxa"/>
            <w:tcBorders>
              <w:top w:val="nil"/>
              <w:left w:val="nil"/>
              <w:bottom w:val="single" w:sz="4" w:space="0" w:color="auto"/>
              <w:right w:val="nil"/>
            </w:tcBorders>
            <w:shd w:val="clear" w:color="000000" w:fill="00CC99"/>
            <w:vAlign w:val="center"/>
            <w:hideMark/>
          </w:tcPr>
          <w:p w14:paraId="6705EA8F" w14:textId="77777777" w:rsidR="00524ED8" w:rsidRPr="00524ED8" w:rsidRDefault="00524ED8" w:rsidP="00524ED8">
            <w:pPr>
              <w:jc w:val="center"/>
              <w:rPr>
                <w:rFonts w:ascii="Arial" w:hAnsi="Arial" w:cs="Arial"/>
                <w:b/>
                <w:bCs/>
                <w:color w:val="000000"/>
                <w:lang w:val="en-GB" w:eastAsia="en-GB"/>
              </w:rPr>
            </w:pPr>
            <w:r w:rsidRPr="00524ED8">
              <w:rPr>
                <w:rFonts w:ascii="Arial" w:hAnsi="Arial" w:cs="Arial"/>
                <w:b/>
                <w:bCs/>
                <w:color w:val="000000"/>
                <w:lang w:val="en-GB" w:eastAsia="en-GB"/>
              </w:rPr>
              <w:t> </w:t>
            </w:r>
          </w:p>
        </w:tc>
        <w:tc>
          <w:tcPr>
            <w:tcW w:w="4700" w:type="dxa"/>
            <w:tcBorders>
              <w:top w:val="nil"/>
              <w:left w:val="nil"/>
              <w:bottom w:val="single" w:sz="4" w:space="0" w:color="auto"/>
              <w:right w:val="nil"/>
            </w:tcBorders>
            <w:shd w:val="clear" w:color="000000" w:fill="00CC99"/>
            <w:vAlign w:val="center"/>
            <w:hideMark/>
          </w:tcPr>
          <w:p w14:paraId="69046CC7" w14:textId="77777777" w:rsidR="00524ED8" w:rsidRPr="00524ED8" w:rsidRDefault="00524ED8" w:rsidP="00524ED8">
            <w:pPr>
              <w:jc w:val="center"/>
              <w:rPr>
                <w:rFonts w:ascii="Arial" w:hAnsi="Arial" w:cs="Arial"/>
                <w:b/>
                <w:bCs/>
                <w:color w:val="000000"/>
                <w:lang w:val="en-GB" w:eastAsia="en-GB"/>
              </w:rPr>
            </w:pPr>
            <w:r w:rsidRPr="00524ED8">
              <w:rPr>
                <w:rFonts w:ascii="Arial" w:hAnsi="Arial" w:cs="Arial"/>
                <w:b/>
                <w:bCs/>
                <w:color w:val="000000"/>
                <w:lang w:val="en-GB" w:eastAsia="en-GB"/>
              </w:rPr>
              <w:t> </w:t>
            </w:r>
          </w:p>
        </w:tc>
        <w:tc>
          <w:tcPr>
            <w:tcW w:w="1460" w:type="dxa"/>
            <w:tcBorders>
              <w:top w:val="nil"/>
              <w:left w:val="nil"/>
              <w:bottom w:val="single" w:sz="4" w:space="0" w:color="auto"/>
              <w:right w:val="single" w:sz="4" w:space="0" w:color="auto"/>
            </w:tcBorders>
            <w:shd w:val="clear" w:color="000000" w:fill="00CC99"/>
            <w:vAlign w:val="center"/>
            <w:hideMark/>
          </w:tcPr>
          <w:p w14:paraId="69CDFFA8" w14:textId="77777777" w:rsidR="00524ED8" w:rsidRPr="00524ED8" w:rsidRDefault="00524ED8" w:rsidP="00524ED8">
            <w:pPr>
              <w:jc w:val="center"/>
              <w:rPr>
                <w:rFonts w:ascii="Arial" w:hAnsi="Arial" w:cs="Arial"/>
                <w:b/>
                <w:bCs/>
                <w:color w:val="000000"/>
                <w:lang w:val="en-GB" w:eastAsia="en-GB"/>
              </w:rPr>
            </w:pPr>
            <w:r w:rsidRPr="00524ED8">
              <w:rPr>
                <w:rFonts w:ascii="Arial" w:hAnsi="Arial" w:cs="Arial"/>
                <w:b/>
                <w:bCs/>
                <w:color w:val="000000"/>
                <w:lang w:val="en-GB" w:eastAsia="en-GB"/>
              </w:rPr>
              <w:t>31 March 2020</w:t>
            </w:r>
          </w:p>
        </w:tc>
      </w:tr>
      <w:tr w:rsidR="00524ED8" w:rsidRPr="00524ED8" w14:paraId="26B0D00D" w14:textId="77777777" w:rsidTr="00524ED8">
        <w:trPr>
          <w:trHeight w:val="300"/>
        </w:trPr>
        <w:tc>
          <w:tcPr>
            <w:tcW w:w="1460" w:type="dxa"/>
            <w:tcBorders>
              <w:top w:val="nil"/>
              <w:left w:val="single" w:sz="4" w:space="0" w:color="auto"/>
              <w:bottom w:val="nil"/>
              <w:right w:val="nil"/>
            </w:tcBorders>
            <w:shd w:val="clear" w:color="auto" w:fill="auto"/>
            <w:noWrap/>
            <w:vAlign w:val="bottom"/>
            <w:hideMark/>
          </w:tcPr>
          <w:p w14:paraId="0A9CCB3E" w14:textId="77777777" w:rsidR="00524ED8" w:rsidRPr="00524ED8" w:rsidRDefault="00524ED8" w:rsidP="00524ED8">
            <w:pPr>
              <w:rPr>
                <w:rFonts w:ascii="Calibri" w:hAnsi="Calibri" w:cs="Calibri"/>
                <w:color w:val="000000"/>
                <w:sz w:val="22"/>
                <w:szCs w:val="22"/>
                <w:lang w:val="en-GB" w:eastAsia="en-GB"/>
              </w:rPr>
            </w:pPr>
            <w:r w:rsidRPr="00524ED8">
              <w:rPr>
                <w:rFonts w:ascii="Calibri" w:hAnsi="Calibri" w:cs="Calibri"/>
                <w:color w:val="000000"/>
                <w:sz w:val="22"/>
                <w:szCs w:val="22"/>
                <w:lang w:val="en-GB" w:eastAsia="en-GB"/>
              </w:rPr>
              <w:t> </w:t>
            </w:r>
          </w:p>
        </w:tc>
        <w:tc>
          <w:tcPr>
            <w:tcW w:w="960" w:type="dxa"/>
            <w:tcBorders>
              <w:top w:val="single" w:sz="4" w:space="0" w:color="auto"/>
              <w:left w:val="nil"/>
              <w:bottom w:val="nil"/>
              <w:right w:val="nil"/>
            </w:tcBorders>
            <w:shd w:val="clear" w:color="auto" w:fill="auto"/>
            <w:noWrap/>
            <w:vAlign w:val="bottom"/>
            <w:hideMark/>
          </w:tcPr>
          <w:p w14:paraId="3C2DB3EF" w14:textId="77777777" w:rsidR="00524ED8" w:rsidRPr="00524ED8" w:rsidRDefault="00524ED8" w:rsidP="00524ED8">
            <w:pPr>
              <w:rPr>
                <w:rFonts w:ascii="Calibri" w:hAnsi="Calibri" w:cs="Calibri"/>
                <w:color w:val="000000"/>
                <w:sz w:val="22"/>
                <w:szCs w:val="22"/>
                <w:lang w:val="en-GB" w:eastAsia="en-GB"/>
              </w:rPr>
            </w:pPr>
            <w:r w:rsidRPr="00524ED8">
              <w:rPr>
                <w:rFonts w:ascii="Calibri" w:hAnsi="Calibri" w:cs="Calibri"/>
                <w:color w:val="000000"/>
                <w:sz w:val="22"/>
                <w:szCs w:val="22"/>
                <w:lang w:val="en-GB" w:eastAsia="en-GB"/>
              </w:rPr>
              <w:t> </w:t>
            </w:r>
          </w:p>
        </w:tc>
        <w:tc>
          <w:tcPr>
            <w:tcW w:w="960" w:type="dxa"/>
            <w:tcBorders>
              <w:top w:val="single" w:sz="4" w:space="0" w:color="auto"/>
              <w:left w:val="nil"/>
              <w:bottom w:val="nil"/>
              <w:right w:val="nil"/>
            </w:tcBorders>
            <w:shd w:val="clear" w:color="auto" w:fill="auto"/>
            <w:noWrap/>
            <w:vAlign w:val="bottom"/>
            <w:hideMark/>
          </w:tcPr>
          <w:p w14:paraId="405CAA52"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4700" w:type="dxa"/>
            <w:tcBorders>
              <w:top w:val="single" w:sz="4" w:space="0" w:color="auto"/>
              <w:left w:val="nil"/>
              <w:bottom w:val="nil"/>
              <w:right w:val="nil"/>
            </w:tcBorders>
            <w:shd w:val="clear" w:color="auto" w:fill="auto"/>
            <w:noWrap/>
            <w:vAlign w:val="bottom"/>
            <w:hideMark/>
          </w:tcPr>
          <w:p w14:paraId="3DFEE51B"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1460" w:type="dxa"/>
            <w:tcBorders>
              <w:top w:val="nil"/>
              <w:left w:val="nil"/>
              <w:bottom w:val="nil"/>
              <w:right w:val="single" w:sz="4" w:space="0" w:color="auto"/>
            </w:tcBorders>
            <w:shd w:val="clear" w:color="auto" w:fill="auto"/>
            <w:noWrap/>
            <w:vAlign w:val="bottom"/>
            <w:hideMark/>
          </w:tcPr>
          <w:p w14:paraId="76A80410" w14:textId="77777777" w:rsidR="00524ED8" w:rsidRPr="00524ED8" w:rsidRDefault="00524ED8" w:rsidP="00524ED8">
            <w:pPr>
              <w:rPr>
                <w:rFonts w:ascii="Calibri" w:hAnsi="Calibri" w:cs="Calibri"/>
                <w:color w:val="000000"/>
                <w:sz w:val="22"/>
                <w:szCs w:val="22"/>
                <w:lang w:val="en-GB" w:eastAsia="en-GB"/>
              </w:rPr>
            </w:pPr>
            <w:r w:rsidRPr="00524ED8">
              <w:rPr>
                <w:rFonts w:ascii="Calibri" w:hAnsi="Calibri" w:cs="Calibri"/>
                <w:color w:val="000000"/>
                <w:sz w:val="22"/>
                <w:szCs w:val="22"/>
                <w:lang w:val="en-GB" w:eastAsia="en-GB"/>
              </w:rPr>
              <w:t> </w:t>
            </w:r>
          </w:p>
        </w:tc>
      </w:tr>
      <w:tr w:rsidR="00524ED8" w:rsidRPr="00524ED8" w14:paraId="15F6A44C" w14:textId="77777777" w:rsidTr="00524ED8">
        <w:trPr>
          <w:trHeight w:val="300"/>
        </w:trPr>
        <w:tc>
          <w:tcPr>
            <w:tcW w:w="1460" w:type="dxa"/>
            <w:tcBorders>
              <w:top w:val="nil"/>
              <w:left w:val="single" w:sz="4" w:space="0" w:color="auto"/>
              <w:bottom w:val="nil"/>
              <w:right w:val="nil"/>
            </w:tcBorders>
            <w:shd w:val="clear" w:color="auto" w:fill="auto"/>
            <w:noWrap/>
            <w:vAlign w:val="bottom"/>
            <w:hideMark/>
          </w:tcPr>
          <w:p w14:paraId="682A4E79"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56</w:t>
            </w:r>
          </w:p>
        </w:tc>
        <w:tc>
          <w:tcPr>
            <w:tcW w:w="6620" w:type="dxa"/>
            <w:gridSpan w:val="3"/>
            <w:tcBorders>
              <w:top w:val="nil"/>
              <w:left w:val="nil"/>
              <w:bottom w:val="nil"/>
              <w:right w:val="nil"/>
            </w:tcBorders>
            <w:shd w:val="clear" w:color="auto" w:fill="auto"/>
            <w:noWrap/>
            <w:hideMark/>
          </w:tcPr>
          <w:p w14:paraId="3A116A4C"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xml:space="preserve">Number of employers with active members        </w:t>
            </w:r>
          </w:p>
        </w:tc>
        <w:tc>
          <w:tcPr>
            <w:tcW w:w="1460" w:type="dxa"/>
            <w:tcBorders>
              <w:top w:val="nil"/>
              <w:left w:val="nil"/>
              <w:bottom w:val="nil"/>
              <w:right w:val="single" w:sz="4" w:space="0" w:color="auto"/>
            </w:tcBorders>
            <w:shd w:val="clear" w:color="auto" w:fill="auto"/>
            <w:noWrap/>
            <w:vAlign w:val="bottom"/>
            <w:hideMark/>
          </w:tcPr>
          <w:p w14:paraId="4927C67E" w14:textId="77777777" w:rsidR="00524ED8" w:rsidRPr="00524ED8" w:rsidRDefault="00524ED8" w:rsidP="00524ED8">
            <w:pPr>
              <w:rPr>
                <w:rFonts w:ascii="Arial" w:hAnsi="Arial" w:cs="Arial"/>
                <w:lang w:val="en-GB" w:eastAsia="en-GB"/>
              </w:rPr>
            </w:pPr>
            <w:r w:rsidRPr="00524ED8">
              <w:rPr>
                <w:rFonts w:ascii="Arial" w:hAnsi="Arial" w:cs="Arial"/>
                <w:lang w:val="en-GB" w:eastAsia="en-GB"/>
              </w:rPr>
              <w:t xml:space="preserve">                  61 </w:t>
            </w:r>
          </w:p>
        </w:tc>
      </w:tr>
      <w:tr w:rsidR="00524ED8" w:rsidRPr="00524ED8" w14:paraId="5288DD9C" w14:textId="77777777" w:rsidTr="00524ED8">
        <w:trPr>
          <w:trHeight w:val="300"/>
        </w:trPr>
        <w:tc>
          <w:tcPr>
            <w:tcW w:w="1460" w:type="dxa"/>
            <w:tcBorders>
              <w:top w:val="nil"/>
              <w:left w:val="single" w:sz="4" w:space="0" w:color="auto"/>
              <w:bottom w:val="nil"/>
              <w:right w:val="nil"/>
            </w:tcBorders>
            <w:shd w:val="clear" w:color="auto" w:fill="auto"/>
            <w:noWrap/>
            <w:vAlign w:val="bottom"/>
            <w:hideMark/>
          </w:tcPr>
          <w:p w14:paraId="3209A6E4"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960" w:type="dxa"/>
            <w:tcBorders>
              <w:top w:val="nil"/>
              <w:left w:val="nil"/>
              <w:bottom w:val="nil"/>
              <w:right w:val="nil"/>
            </w:tcBorders>
            <w:shd w:val="clear" w:color="auto" w:fill="auto"/>
            <w:noWrap/>
            <w:hideMark/>
          </w:tcPr>
          <w:p w14:paraId="375443E8"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xml:space="preserve">     </w:t>
            </w:r>
          </w:p>
        </w:tc>
        <w:tc>
          <w:tcPr>
            <w:tcW w:w="960" w:type="dxa"/>
            <w:tcBorders>
              <w:top w:val="nil"/>
              <w:left w:val="nil"/>
              <w:bottom w:val="nil"/>
              <w:right w:val="nil"/>
            </w:tcBorders>
            <w:shd w:val="clear" w:color="auto" w:fill="auto"/>
            <w:noWrap/>
            <w:hideMark/>
          </w:tcPr>
          <w:p w14:paraId="36BDF545" w14:textId="77777777" w:rsidR="00524ED8" w:rsidRPr="00524ED8" w:rsidRDefault="00524ED8" w:rsidP="00524ED8">
            <w:pPr>
              <w:rPr>
                <w:rFonts w:ascii="Arial" w:hAnsi="Arial" w:cs="Arial"/>
                <w:color w:val="000000"/>
                <w:sz w:val="22"/>
                <w:szCs w:val="22"/>
                <w:lang w:val="en-GB" w:eastAsia="en-GB"/>
              </w:rPr>
            </w:pPr>
          </w:p>
        </w:tc>
        <w:tc>
          <w:tcPr>
            <w:tcW w:w="4700" w:type="dxa"/>
            <w:tcBorders>
              <w:top w:val="nil"/>
              <w:left w:val="nil"/>
              <w:bottom w:val="nil"/>
              <w:right w:val="nil"/>
            </w:tcBorders>
            <w:shd w:val="clear" w:color="auto" w:fill="auto"/>
            <w:noWrap/>
            <w:hideMark/>
          </w:tcPr>
          <w:p w14:paraId="307737AD" w14:textId="77777777" w:rsidR="00524ED8" w:rsidRPr="00524ED8" w:rsidRDefault="00524ED8" w:rsidP="00524ED8">
            <w:pPr>
              <w:rPr>
                <w:lang w:val="en-GB" w:eastAsia="en-GB"/>
              </w:rPr>
            </w:pPr>
          </w:p>
        </w:tc>
        <w:tc>
          <w:tcPr>
            <w:tcW w:w="1460" w:type="dxa"/>
            <w:tcBorders>
              <w:top w:val="nil"/>
              <w:left w:val="nil"/>
              <w:bottom w:val="nil"/>
              <w:right w:val="single" w:sz="4" w:space="0" w:color="auto"/>
            </w:tcBorders>
            <w:shd w:val="clear" w:color="auto" w:fill="auto"/>
            <w:noWrap/>
            <w:vAlign w:val="bottom"/>
            <w:hideMark/>
          </w:tcPr>
          <w:p w14:paraId="689FB8FE"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r>
      <w:tr w:rsidR="00524ED8" w:rsidRPr="00524ED8" w14:paraId="12C933CC" w14:textId="77777777" w:rsidTr="00524ED8">
        <w:trPr>
          <w:trHeight w:val="300"/>
        </w:trPr>
        <w:tc>
          <w:tcPr>
            <w:tcW w:w="1460" w:type="dxa"/>
            <w:tcBorders>
              <w:top w:val="nil"/>
              <w:left w:val="single" w:sz="4" w:space="0" w:color="auto"/>
              <w:bottom w:val="nil"/>
              <w:right w:val="nil"/>
            </w:tcBorders>
            <w:shd w:val="clear" w:color="auto" w:fill="auto"/>
            <w:noWrap/>
            <w:vAlign w:val="bottom"/>
            <w:hideMark/>
          </w:tcPr>
          <w:p w14:paraId="67AA94BE"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6620" w:type="dxa"/>
            <w:gridSpan w:val="3"/>
            <w:tcBorders>
              <w:top w:val="nil"/>
              <w:left w:val="nil"/>
              <w:bottom w:val="nil"/>
              <w:right w:val="nil"/>
            </w:tcBorders>
            <w:shd w:val="clear" w:color="auto" w:fill="auto"/>
            <w:noWrap/>
            <w:hideMark/>
          </w:tcPr>
          <w:p w14:paraId="16192C85" w14:textId="77777777" w:rsidR="00524ED8" w:rsidRPr="00524ED8" w:rsidRDefault="00524ED8" w:rsidP="00524ED8">
            <w:pPr>
              <w:rPr>
                <w:rFonts w:ascii="Arial" w:hAnsi="Arial" w:cs="Arial"/>
                <w:b/>
                <w:bCs/>
                <w:color w:val="000000"/>
                <w:sz w:val="22"/>
                <w:szCs w:val="22"/>
                <w:lang w:val="en-GB" w:eastAsia="en-GB"/>
              </w:rPr>
            </w:pPr>
            <w:r w:rsidRPr="00524ED8">
              <w:rPr>
                <w:rFonts w:ascii="Arial" w:hAnsi="Arial" w:cs="Arial"/>
                <w:b/>
                <w:bCs/>
                <w:color w:val="000000"/>
                <w:sz w:val="22"/>
                <w:szCs w:val="22"/>
                <w:lang w:val="en-GB" w:eastAsia="en-GB"/>
              </w:rPr>
              <w:t>Number of employees in scheme:</w:t>
            </w:r>
          </w:p>
        </w:tc>
        <w:tc>
          <w:tcPr>
            <w:tcW w:w="1460" w:type="dxa"/>
            <w:tcBorders>
              <w:top w:val="nil"/>
              <w:left w:val="nil"/>
              <w:bottom w:val="nil"/>
              <w:right w:val="single" w:sz="4" w:space="0" w:color="auto"/>
            </w:tcBorders>
            <w:shd w:val="clear" w:color="auto" w:fill="auto"/>
            <w:noWrap/>
            <w:vAlign w:val="bottom"/>
            <w:hideMark/>
          </w:tcPr>
          <w:p w14:paraId="5ECDA895"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r>
      <w:tr w:rsidR="00524ED8" w:rsidRPr="00524ED8" w14:paraId="2617C078" w14:textId="77777777" w:rsidTr="00524ED8">
        <w:trPr>
          <w:trHeight w:val="315"/>
        </w:trPr>
        <w:tc>
          <w:tcPr>
            <w:tcW w:w="1460" w:type="dxa"/>
            <w:tcBorders>
              <w:top w:val="nil"/>
              <w:left w:val="single" w:sz="4" w:space="0" w:color="auto"/>
              <w:bottom w:val="nil"/>
              <w:right w:val="nil"/>
            </w:tcBorders>
            <w:shd w:val="clear" w:color="auto" w:fill="auto"/>
            <w:noWrap/>
            <w:vAlign w:val="bottom"/>
            <w:hideMark/>
          </w:tcPr>
          <w:p w14:paraId="4BD4E084"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4,073</w:t>
            </w:r>
          </w:p>
        </w:tc>
        <w:tc>
          <w:tcPr>
            <w:tcW w:w="6620" w:type="dxa"/>
            <w:gridSpan w:val="3"/>
            <w:tcBorders>
              <w:top w:val="nil"/>
              <w:left w:val="nil"/>
              <w:bottom w:val="nil"/>
              <w:right w:val="nil"/>
            </w:tcBorders>
            <w:shd w:val="clear" w:color="auto" w:fill="auto"/>
            <w:noWrap/>
            <w:hideMark/>
          </w:tcPr>
          <w:p w14:paraId="40B605C3"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xml:space="preserve">London Borough of Waltham Forest  </w:t>
            </w:r>
          </w:p>
        </w:tc>
        <w:tc>
          <w:tcPr>
            <w:tcW w:w="1460" w:type="dxa"/>
            <w:tcBorders>
              <w:top w:val="nil"/>
              <w:left w:val="nil"/>
              <w:bottom w:val="single" w:sz="8" w:space="0" w:color="FFFFFF"/>
              <w:right w:val="single" w:sz="4" w:space="0" w:color="auto"/>
            </w:tcBorders>
            <w:shd w:val="clear" w:color="auto" w:fill="auto"/>
            <w:noWrap/>
            <w:vAlign w:val="bottom"/>
            <w:hideMark/>
          </w:tcPr>
          <w:p w14:paraId="2207F391"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4,463</w:t>
            </w:r>
          </w:p>
        </w:tc>
      </w:tr>
      <w:tr w:rsidR="00524ED8" w:rsidRPr="00524ED8" w14:paraId="0CD0ED42" w14:textId="77777777" w:rsidTr="00524ED8">
        <w:trPr>
          <w:trHeight w:val="300"/>
        </w:trPr>
        <w:tc>
          <w:tcPr>
            <w:tcW w:w="1460" w:type="dxa"/>
            <w:tcBorders>
              <w:top w:val="nil"/>
              <w:left w:val="single" w:sz="4" w:space="0" w:color="auto"/>
              <w:bottom w:val="nil"/>
              <w:right w:val="nil"/>
            </w:tcBorders>
            <w:shd w:val="clear" w:color="auto" w:fill="auto"/>
            <w:noWrap/>
            <w:vAlign w:val="bottom"/>
            <w:hideMark/>
          </w:tcPr>
          <w:p w14:paraId="783F774F"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2,208</w:t>
            </w:r>
          </w:p>
        </w:tc>
        <w:tc>
          <w:tcPr>
            <w:tcW w:w="6620" w:type="dxa"/>
            <w:gridSpan w:val="3"/>
            <w:tcBorders>
              <w:top w:val="nil"/>
              <w:left w:val="nil"/>
              <w:bottom w:val="nil"/>
              <w:right w:val="nil"/>
            </w:tcBorders>
            <w:shd w:val="clear" w:color="auto" w:fill="auto"/>
            <w:noWrap/>
            <w:hideMark/>
          </w:tcPr>
          <w:p w14:paraId="35D108FC"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xml:space="preserve">Other employers                                                           </w:t>
            </w:r>
          </w:p>
        </w:tc>
        <w:tc>
          <w:tcPr>
            <w:tcW w:w="1460" w:type="dxa"/>
            <w:tcBorders>
              <w:top w:val="nil"/>
              <w:left w:val="nil"/>
              <w:bottom w:val="nil"/>
              <w:right w:val="single" w:sz="4" w:space="0" w:color="auto"/>
            </w:tcBorders>
            <w:shd w:val="clear" w:color="auto" w:fill="auto"/>
            <w:noWrap/>
            <w:vAlign w:val="bottom"/>
            <w:hideMark/>
          </w:tcPr>
          <w:p w14:paraId="2F528BFB"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2,469</w:t>
            </w:r>
          </w:p>
        </w:tc>
      </w:tr>
      <w:tr w:rsidR="00524ED8" w:rsidRPr="00524ED8" w14:paraId="7627257F" w14:textId="77777777" w:rsidTr="00524ED8">
        <w:trPr>
          <w:trHeight w:val="300"/>
        </w:trPr>
        <w:tc>
          <w:tcPr>
            <w:tcW w:w="1460" w:type="dxa"/>
            <w:tcBorders>
              <w:top w:val="single" w:sz="4" w:space="0" w:color="auto"/>
              <w:left w:val="single" w:sz="4" w:space="0" w:color="auto"/>
              <w:bottom w:val="single" w:sz="4" w:space="0" w:color="auto"/>
              <w:right w:val="single" w:sz="12" w:space="0" w:color="FFFFFF"/>
            </w:tcBorders>
            <w:shd w:val="clear" w:color="auto" w:fill="auto"/>
            <w:noWrap/>
            <w:vAlign w:val="bottom"/>
            <w:hideMark/>
          </w:tcPr>
          <w:p w14:paraId="462AC4FC" w14:textId="77777777" w:rsidR="00524ED8" w:rsidRPr="00524ED8" w:rsidRDefault="00524ED8" w:rsidP="00524ED8">
            <w:pPr>
              <w:jc w:val="right"/>
              <w:rPr>
                <w:rFonts w:ascii="Arial" w:hAnsi="Arial" w:cs="Arial"/>
                <w:b/>
                <w:bCs/>
                <w:sz w:val="22"/>
                <w:szCs w:val="22"/>
                <w:lang w:val="en-GB" w:eastAsia="en-GB"/>
              </w:rPr>
            </w:pPr>
            <w:r w:rsidRPr="00524ED8">
              <w:rPr>
                <w:rFonts w:ascii="Arial" w:hAnsi="Arial" w:cs="Arial"/>
                <w:b/>
                <w:bCs/>
                <w:sz w:val="22"/>
                <w:szCs w:val="22"/>
                <w:lang w:val="en-GB" w:eastAsia="en-GB"/>
              </w:rPr>
              <w:t xml:space="preserve">              6,281</w:t>
            </w:r>
          </w:p>
        </w:tc>
        <w:tc>
          <w:tcPr>
            <w:tcW w:w="6620" w:type="dxa"/>
            <w:gridSpan w:val="3"/>
            <w:tcBorders>
              <w:top w:val="nil"/>
              <w:left w:val="nil"/>
              <w:bottom w:val="nil"/>
              <w:right w:val="nil"/>
            </w:tcBorders>
            <w:shd w:val="clear" w:color="auto" w:fill="auto"/>
            <w:noWrap/>
            <w:hideMark/>
          </w:tcPr>
          <w:p w14:paraId="71D3C060" w14:textId="77777777" w:rsidR="00524ED8" w:rsidRPr="00524ED8" w:rsidRDefault="00524ED8" w:rsidP="00524ED8">
            <w:pPr>
              <w:rPr>
                <w:rFonts w:ascii="Arial" w:hAnsi="Arial" w:cs="Arial"/>
                <w:b/>
                <w:bCs/>
                <w:color w:val="000000"/>
                <w:sz w:val="22"/>
                <w:szCs w:val="22"/>
                <w:lang w:val="en-GB" w:eastAsia="en-GB"/>
              </w:rPr>
            </w:pPr>
            <w:r w:rsidRPr="00524ED8">
              <w:rPr>
                <w:rFonts w:ascii="Arial" w:hAnsi="Arial" w:cs="Arial"/>
                <w:b/>
                <w:bCs/>
                <w:color w:val="000000"/>
                <w:sz w:val="22"/>
                <w:szCs w:val="22"/>
                <w:lang w:val="en-GB" w:eastAsia="en-GB"/>
              </w:rPr>
              <w:t xml:space="preserve">Total                                                                                   </w:t>
            </w:r>
          </w:p>
        </w:tc>
        <w:tc>
          <w:tcPr>
            <w:tcW w:w="1460" w:type="dxa"/>
            <w:tcBorders>
              <w:top w:val="single" w:sz="4" w:space="0" w:color="auto"/>
              <w:left w:val="single" w:sz="12" w:space="0" w:color="FFFFFF"/>
              <w:bottom w:val="single" w:sz="4" w:space="0" w:color="auto"/>
              <w:right w:val="single" w:sz="4" w:space="0" w:color="auto"/>
            </w:tcBorders>
            <w:shd w:val="clear" w:color="auto" w:fill="auto"/>
            <w:noWrap/>
            <w:vAlign w:val="bottom"/>
            <w:hideMark/>
          </w:tcPr>
          <w:p w14:paraId="638811FE" w14:textId="77777777" w:rsidR="00524ED8" w:rsidRPr="00524ED8" w:rsidRDefault="00524ED8" w:rsidP="00524ED8">
            <w:pPr>
              <w:jc w:val="right"/>
              <w:rPr>
                <w:rFonts w:ascii="Arial" w:hAnsi="Arial" w:cs="Arial"/>
                <w:b/>
                <w:bCs/>
                <w:sz w:val="22"/>
                <w:szCs w:val="22"/>
                <w:lang w:val="en-GB" w:eastAsia="en-GB"/>
              </w:rPr>
            </w:pPr>
            <w:r w:rsidRPr="00524ED8">
              <w:rPr>
                <w:rFonts w:ascii="Arial" w:hAnsi="Arial" w:cs="Arial"/>
                <w:b/>
                <w:bCs/>
                <w:sz w:val="22"/>
                <w:szCs w:val="22"/>
                <w:lang w:val="en-GB" w:eastAsia="en-GB"/>
              </w:rPr>
              <w:t xml:space="preserve">              6,932</w:t>
            </w:r>
          </w:p>
        </w:tc>
      </w:tr>
      <w:tr w:rsidR="00524ED8" w:rsidRPr="00524ED8" w14:paraId="4FDB7A41" w14:textId="77777777" w:rsidTr="00524ED8">
        <w:trPr>
          <w:trHeight w:val="300"/>
        </w:trPr>
        <w:tc>
          <w:tcPr>
            <w:tcW w:w="1460" w:type="dxa"/>
            <w:tcBorders>
              <w:top w:val="nil"/>
              <w:left w:val="single" w:sz="4" w:space="0" w:color="auto"/>
              <w:bottom w:val="nil"/>
              <w:right w:val="nil"/>
            </w:tcBorders>
            <w:shd w:val="clear" w:color="auto" w:fill="auto"/>
            <w:noWrap/>
            <w:vAlign w:val="bottom"/>
            <w:hideMark/>
          </w:tcPr>
          <w:p w14:paraId="56D66C60"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960" w:type="dxa"/>
            <w:tcBorders>
              <w:top w:val="nil"/>
              <w:left w:val="nil"/>
              <w:bottom w:val="nil"/>
              <w:right w:val="nil"/>
            </w:tcBorders>
            <w:shd w:val="clear" w:color="auto" w:fill="auto"/>
            <w:noWrap/>
            <w:hideMark/>
          </w:tcPr>
          <w:p w14:paraId="7B0886CC" w14:textId="77777777" w:rsidR="00524ED8" w:rsidRPr="00524ED8" w:rsidRDefault="00524ED8" w:rsidP="00524ED8">
            <w:pPr>
              <w:jc w:val="right"/>
              <w:rPr>
                <w:rFonts w:ascii="Arial" w:hAnsi="Arial" w:cs="Arial"/>
                <w:color w:val="000000"/>
                <w:sz w:val="22"/>
                <w:szCs w:val="22"/>
                <w:lang w:val="en-GB" w:eastAsia="en-GB"/>
              </w:rPr>
            </w:pPr>
          </w:p>
        </w:tc>
        <w:tc>
          <w:tcPr>
            <w:tcW w:w="960" w:type="dxa"/>
            <w:tcBorders>
              <w:top w:val="nil"/>
              <w:left w:val="nil"/>
              <w:bottom w:val="nil"/>
              <w:right w:val="nil"/>
            </w:tcBorders>
            <w:shd w:val="clear" w:color="auto" w:fill="auto"/>
            <w:noWrap/>
            <w:hideMark/>
          </w:tcPr>
          <w:p w14:paraId="11283DD8" w14:textId="77777777" w:rsidR="00524ED8" w:rsidRPr="00524ED8" w:rsidRDefault="00524ED8" w:rsidP="00524ED8">
            <w:pPr>
              <w:rPr>
                <w:lang w:val="en-GB" w:eastAsia="en-GB"/>
              </w:rPr>
            </w:pPr>
          </w:p>
        </w:tc>
        <w:tc>
          <w:tcPr>
            <w:tcW w:w="4700" w:type="dxa"/>
            <w:tcBorders>
              <w:top w:val="nil"/>
              <w:left w:val="nil"/>
              <w:bottom w:val="nil"/>
              <w:right w:val="nil"/>
            </w:tcBorders>
            <w:shd w:val="clear" w:color="auto" w:fill="auto"/>
            <w:noWrap/>
            <w:hideMark/>
          </w:tcPr>
          <w:p w14:paraId="4FD93327" w14:textId="77777777" w:rsidR="00524ED8" w:rsidRPr="00524ED8" w:rsidRDefault="00524ED8" w:rsidP="00524ED8">
            <w:pPr>
              <w:rPr>
                <w:lang w:val="en-GB" w:eastAsia="en-GB"/>
              </w:rPr>
            </w:pPr>
          </w:p>
        </w:tc>
        <w:tc>
          <w:tcPr>
            <w:tcW w:w="1460" w:type="dxa"/>
            <w:tcBorders>
              <w:top w:val="nil"/>
              <w:left w:val="nil"/>
              <w:bottom w:val="nil"/>
              <w:right w:val="single" w:sz="4" w:space="0" w:color="auto"/>
            </w:tcBorders>
            <w:shd w:val="clear" w:color="auto" w:fill="auto"/>
            <w:noWrap/>
            <w:vAlign w:val="bottom"/>
            <w:hideMark/>
          </w:tcPr>
          <w:p w14:paraId="5A8C3509"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r>
      <w:tr w:rsidR="00524ED8" w:rsidRPr="00524ED8" w14:paraId="6F3A59D0" w14:textId="77777777" w:rsidTr="00524ED8">
        <w:trPr>
          <w:trHeight w:val="300"/>
        </w:trPr>
        <w:tc>
          <w:tcPr>
            <w:tcW w:w="1460" w:type="dxa"/>
            <w:tcBorders>
              <w:top w:val="nil"/>
              <w:left w:val="single" w:sz="4" w:space="0" w:color="auto"/>
              <w:bottom w:val="nil"/>
              <w:right w:val="nil"/>
            </w:tcBorders>
            <w:shd w:val="clear" w:color="auto" w:fill="auto"/>
            <w:noWrap/>
            <w:vAlign w:val="bottom"/>
            <w:hideMark/>
          </w:tcPr>
          <w:p w14:paraId="31EDDD3D"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6620" w:type="dxa"/>
            <w:gridSpan w:val="3"/>
            <w:tcBorders>
              <w:top w:val="nil"/>
              <w:left w:val="nil"/>
              <w:bottom w:val="nil"/>
              <w:right w:val="nil"/>
            </w:tcBorders>
            <w:shd w:val="clear" w:color="auto" w:fill="auto"/>
            <w:noWrap/>
            <w:hideMark/>
          </w:tcPr>
          <w:p w14:paraId="0D4D4DE5" w14:textId="77777777" w:rsidR="00524ED8" w:rsidRPr="00524ED8" w:rsidRDefault="00524ED8" w:rsidP="00524ED8">
            <w:pPr>
              <w:rPr>
                <w:rFonts w:ascii="Arial" w:hAnsi="Arial" w:cs="Arial"/>
                <w:b/>
                <w:bCs/>
                <w:color w:val="000000"/>
                <w:sz w:val="22"/>
                <w:szCs w:val="22"/>
                <w:lang w:val="en-GB" w:eastAsia="en-GB"/>
              </w:rPr>
            </w:pPr>
            <w:r w:rsidRPr="00524ED8">
              <w:rPr>
                <w:rFonts w:ascii="Arial" w:hAnsi="Arial" w:cs="Arial"/>
                <w:b/>
                <w:bCs/>
                <w:color w:val="000000"/>
                <w:sz w:val="22"/>
                <w:szCs w:val="22"/>
                <w:lang w:val="en-GB" w:eastAsia="en-GB"/>
              </w:rPr>
              <w:t>Number of pensioners:</w:t>
            </w:r>
          </w:p>
        </w:tc>
        <w:tc>
          <w:tcPr>
            <w:tcW w:w="1460" w:type="dxa"/>
            <w:tcBorders>
              <w:top w:val="nil"/>
              <w:left w:val="nil"/>
              <w:bottom w:val="nil"/>
              <w:right w:val="single" w:sz="4" w:space="0" w:color="auto"/>
            </w:tcBorders>
            <w:shd w:val="clear" w:color="auto" w:fill="auto"/>
            <w:noWrap/>
            <w:vAlign w:val="bottom"/>
            <w:hideMark/>
          </w:tcPr>
          <w:p w14:paraId="69B210C6"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r>
      <w:tr w:rsidR="00524ED8" w:rsidRPr="00524ED8" w14:paraId="60840574" w14:textId="77777777" w:rsidTr="00524ED8">
        <w:trPr>
          <w:trHeight w:val="315"/>
        </w:trPr>
        <w:tc>
          <w:tcPr>
            <w:tcW w:w="1460" w:type="dxa"/>
            <w:tcBorders>
              <w:top w:val="nil"/>
              <w:left w:val="single" w:sz="4" w:space="0" w:color="auto"/>
              <w:bottom w:val="nil"/>
              <w:right w:val="nil"/>
            </w:tcBorders>
            <w:shd w:val="clear" w:color="auto" w:fill="auto"/>
            <w:noWrap/>
            <w:vAlign w:val="bottom"/>
            <w:hideMark/>
          </w:tcPr>
          <w:p w14:paraId="2C947142"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6,797</w:t>
            </w:r>
          </w:p>
        </w:tc>
        <w:tc>
          <w:tcPr>
            <w:tcW w:w="6620" w:type="dxa"/>
            <w:gridSpan w:val="3"/>
            <w:tcBorders>
              <w:top w:val="nil"/>
              <w:left w:val="nil"/>
              <w:bottom w:val="nil"/>
              <w:right w:val="nil"/>
            </w:tcBorders>
            <w:shd w:val="clear" w:color="auto" w:fill="auto"/>
            <w:noWrap/>
            <w:hideMark/>
          </w:tcPr>
          <w:p w14:paraId="55C9ABA5"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xml:space="preserve">London Borough of Waltham Forest   </w:t>
            </w:r>
          </w:p>
        </w:tc>
        <w:tc>
          <w:tcPr>
            <w:tcW w:w="1460" w:type="dxa"/>
            <w:tcBorders>
              <w:top w:val="nil"/>
              <w:left w:val="nil"/>
              <w:bottom w:val="single" w:sz="8" w:space="0" w:color="FFFFFF"/>
              <w:right w:val="single" w:sz="4" w:space="0" w:color="auto"/>
            </w:tcBorders>
            <w:shd w:val="clear" w:color="auto" w:fill="auto"/>
            <w:noWrap/>
            <w:vAlign w:val="bottom"/>
            <w:hideMark/>
          </w:tcPr>
          <w:p w14:paraId="34CABB66"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6,861</w:t>
            </w:r>
          </w:p>
        </w:tc>
      </w:tr>
      <w:tr w:rsidR="00524ED8" w:rsidRPr="00524ED8" w14:paraId="6A2E668D" w14:textId="77777777" w:rsidTr="00524ED8">
        <w:trPr>
          <w:trHeight w:val="300"/>
        </w:trPr>
        <w:tc>
          <w:tcPr>
            <w:tcW w:w="1460" w:type="dxa"/>
            <w:tcBorders>
              <w:top w:val="nil"/>
              <w:left w:val="single" w:sz="4" w:space="0" w:color="auto"/>
              <w:bottom w:val="nil"/>
              <w:right w:val="nil"/>
            </w:tcBorders>
            <w:shd w:val="clear" w:color="auto" w:fill="auto"/>
            <w:noWrap/>
            <w:vAlign w:val="bottom"/>
            <w:hideMark/>
          </w:tcPr>
          <w:p w14:paraId="43D22555"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715</w:t>
            </w:r>
          </w:p>
        </w:tc>
        <w:tc>
          <w:tcPr>
            <w:tcW w:w="6620" w:type="dxa"/>
            <w:gridSpan w:val="3"/>
            <w:tcBorders>
              <w:top w:val="nil"/>
              <w:left w:val="nil"/>
              <w:bottom w:val="nil"/>
              <w:right w:val="nil"/>
            </w:tcBorders>
            <w:shd w:val="clear" w:color="auto" w:fill="auto"/>
            <w:noWrap/>
            <w:hideMark/>
          </w:tcPr>
          <w:p w14:paraId="6FEF00D2"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xml:space="preserve">Other employers                                                          </w:t>
            </w:r>
          </w:p>
        </w:tc>
        <w:tc>
          <w:tcPr>
            <w:tcW w:w="1460" w:type="dxa"/>
            <w:tcBorders>
              <w:top w:val="nil"/>
              <w:left w:val="nil"/>
              <w:bottom w:val="nil"/>
              <w:right w:val="single" w:sz="4" w:space="0" w:color="auto"/>
            </w:tcBorders>
            <w:shd w:val="clear" w:color="auto" w:fill="auto"/>
            <w:noWrap/>
            <w:vAlign w:val="bottom"/>
            <w:hideMark/>
          </w:tcPr>
          <w:p w14:paraId="3EFF7B6A"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818</w:t>
            </w:r>
          </w:p>
        </w:tc>
      </w:tr>
      <w:tr w:rsidR="00524ED8" w:rsidRPr="00524ED8" w14:paraId="2DA0D870" w14:textId="77777777" w:rsidTr="00524ED8">
        <w:trPr>
          <w:trHeight w:val="300"/>
        </w:trPr>
        <w:tc>
          <w:tcPr>
            <w:tcW w:w="1460" w:type="dxa"/>
            <w:tcBorders>
              <w:top w:val="single" w:sz="4" w:space="0" w:color="auto"/>
              <w:left w:val="single" w:sz="4" w:space="0" w:color="auto"/>
              <w:bottom w:val="single" w:sz="4" w:space="0" w:color="auto"/>
              <w:right w:val="single" w:sz="12" w:space="0" w:color="FFFFFF"/>
            </w:tcBorders>
            <w:shd w:val="clear" w:color="auto" w:fill="auto"/>
            <w:noWrap/>
            <w:vAlign w:val="bottom"/>
            <w:hideMark/>
          </w:tcPr>
          <w:p w14:paraId="11210F49" w14:textId="77777777" w:rsidR="00524ED8" w:rsidRPr="00524ED8" w:rsidRDefault="00524ED8" w:rsidP="00524ED8">
            <w:pPr>
              <w:jc w:val="right"/>
              <w:rPr>
                <w:rFonts w:ascii="Arial" w:hAnsi="Arial" w:cs="Arial"/>
                <w:b/>
                <w:bCs/>
                <w:sz w:val="22"/>
                <w:szCs w:val="22"/>
                <w:lang w:val="en-GB" w:eastAsia="en-GB"/>
              </w:rPr>
            </w:pPr>
            <w:r w:rsidRPr="00524ED8">
              <w:rPr>
                <w:rFonts w:ascii="Arial" w:hAnsi="Arial" w:cs="Arial"/>
                <w:b/>
                <w:bCs/>
                <w:sz w:val="22"/>
                <w:szCs w:val="22"/>
                <w:lang w:val="en-GB" w:eastAsia="en-GB"/>
              </w:rPr>
              <w:t xml:space="preserve">              7,512</w:t>
            </w:r>
          </w:p>
        </w:tc>
        <w:tc>
          <w:tcPr>
            <w:tcW w:w="960" w:type="dxa"/>
            <w:tcBorders>
              <w:top w:val="nil"/>
              <w:left w:val="nil"/>
              <w:bottom w:val="nil"/>
              <w:right w:val="nil"/>
            </w:tcBorders>
            <w:shd w:val="clear" w:color="auto" w:fill="auto"/>
            <w:noWrap/>
            <w:hideMark/>
          </w:tcPr>
          <w:p w14:paraId="3C5411C0" w14:textId="77777777" w:rsidR="00524ED8" w:rsidRPr="00524ED8" w:rsidRDefault="00524ED8" w:rsidP="00524ED8">
            <w:pPr>
              <w:rPr>
                <w:rFonts w:ascii="Arial" w:hAnsi="Arial" w:cs="Arial"/>
                <w:b/>
                <w:bCs/>
                <w:color w:val="000000"/>
                <w:sz w:val="22"/>
                <w:szCs w:val="22"/>
                <w:lang w:val="en-GB" w:eastAsia="en-GB"/>
              </w:rPr>
            </w:pPr>
            <w:r w:rsidRPr="00524ED8">
              <w:rPr>
                <w:rFonts w:ascii="Arial" w:hAnsi="Arial" w:cs="Arial"/>
                <w:b/>
                <w:bCs/>
                <w:color w:val="000000"/>
                <w:sz w:val="22"/>
                <w:szCs w:val="22"/>
                <w:lang w:val="en-GB" w:eastAsia="en-GB"/>
              </w:rPr>
              <w:t>Total</w:t>
            </w:r>
          </w:p>
        </w:tc>
        <w:tc>
          <w:tcPr>
            <w:tcW w:w="960" w:type="dxa"/>
            <w:tcBorders>
              <w:top w:val="nil"/>
              <w:left w:val="nil"/>
              <w:bottom w:val="nil"/>
              <w:right w:val="nil"/>
            </w:tcBorders>
            <w:shd w:val="clear" w:color="auto" w:fill="auto"/>
            <w:noWrap/>
            <w:hideMark/>
          </w:tcPr>
          <w:p w14:paraId="0039CF5E" w14:textId="77777777" w:rsidR="00524ED8" w:rsidRPr="00524ED8" w:rsidRDefault="00524ED8" w:rsidP="00524ED8">
            <w:pPr>
              <w:rPr>
                <w:rFonts w:ascii="Arial" w:hAnsi="Arial" w:cs="Arial"/>
                <w:b/>
                <w:bCs/>
                <w:color w:val="000000"/>
                <w:sz w:val="22"/>
                <w:szCs w:val="22"/>
                <w:lang w:val="en-GB" w:eastAsia="en-GB"/>
              </w:rPr>
            </w:pPr>
          </w:p>
        </w:tc>
        <w:tc>
          <w:tcPr>
            <w:tcW w:w="4700" w:type="dxa"/>
            <w:tcBorders>
              <w:top w:val="nil"/>
              <w:left w:val="nil"/>
              <w:bottom w:val="nil"/>
              <w:right w:val="nil"/>
            </w:tcBorders>
            <w:shd w:val="clear" w:color="auto" w:fill="auto"/>
            <w:noWrap/>
            <w:hideMark/>
          </w:tcPr>
          <w:p w14:paraId="44D4E9BE" w14:textId="77777777" w:rsidR="00524ED8" w:rsidRPr="00524ED8" w:rsidRDefault="00524ED8" w:rsidP="00524ED8">
            <w:pPr>
              <w:rPr>
                <w:lang w:val="en-GB" w:eastAsia="en-GB"/>
              </w:rPr>
            </w:pPr>
          </w:p>
        </w:tc>
        <w:tc>
          <w:tcPr>
            <w:tcW w:w="1460" w:type="dxa"/>
            <w:tcBorders>
              <w:top w:val="single" w:sz="4" w:space="0" w:color="auto"/>
              <w:left w:val="single" w:sz="12" w:space="0" w:color="FFFFFF"/>
              <w:bottom w:val="single" w:sz="4" w:space="0" w:color="auto"/>
              <w:right w:val="single" w:sz="4" w:space="0" w:color="auto"/>
            </w:tcBorders>
            <w:shd w:val="clear" w:color="auto" w:fill="auto"/>
            <w:noWrap/>
            <w:vAlign w:val="bottom"/>
            <w:hideMark/>
          </w:tcPr>
          <w:p w14:paraId="3717F864" w14:textId="77777777" w:rsidR="00524ED8" w:rsidRPr="00524ED8" w:rsidRDefault="00524ED8" w:rsidP="00524ED8">
            <w:pPr>
              <w:jc w:val="right"/>
              <w:rPr>
                <w:rFonts w:ascii="Arial" w:hAnsi="Arial" w:cs="Arial"/>
                <w:b/>
                <w:bCs/>
                <w:sz w:val="22"/>
                <w:szCs w:val="22"/>
                <w:lang w:val="en-GB" w:eastAsia="en-GB"/>
              </w:rPr>
            </w:pPr>
            <w:r w:rsidRPr="00524ED8">
              <w:rPr>
                <w:rFonts w:ascii="Arial" w:hAnsi="Arial" w:cs="Arial"/>
                <w:b/>
                <w:bCs/>
                <w:sz w:val="22"/>
                <w:szCs w:val="22"/>
                <w:lang w:val="en-GB" w:eastAsia="en-GB"/>
              </w:rPr>
              <w:t xml:space="preserve">              7,679</w:t>
            </w:r>
          </w:p>
        </w:tc>
      </w:tr>
      <w:tr w:rsidR="00524ED8" w:rsidRPr="00524ED8" w14:paraId="74E28DA7" w14:textId="77777777" w:rsidTr="00524ED8">
        <w:trPr>
          <w:trHeight w:val="300"/>
        </w:trPr>
        <w:tc>
          <w:tcPr>
            <w:tcW w:w="1460" w:type="dxa"/>
            <w:tcBorders>
              <w:top w:val="nil"/>
              <w:left w:val="single" w:sz="4" w:space="0" w:color="auto"/>
              <w:bottom w:val="nil"/>
              <w:right w:val="nil"/>
            </w:tcBorders>
            <w:shd w:val="clear" w:color="auto" w:fill="auto"/>
            <w:noWrap/>
            <w:vAlign w:val="bottom"/>
            <w:hideMark/>
          </w:tcPr>
          <w:p w14:paraId="0E9C1ECD"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960" w:type="dxa"/>
            <w:tcBorders>
              <w:top w:val="nil"/>
              <w:left w:val="nil"/>
              <w:bottom w:val="nil"/>
              <w:right w:val="nil"/>
            </w:tcBorders>
            <w:shd w:val="clear" w:color="auto" w:fill="auto"/>
            <w:noWrap/>
            <w:hideMark/>
          </w:tcPr>
          <w:p w14:paraId="16565759" w14:textId="77777777" w:rsidR="00524ED8" w:rsidRPr="00524ED8" w:rsidRDefault="00524ED8" w:rsidP="00524ED8">
            <w:pPr>
              <w:jc w:val="right"/>
              <w:rPr>
                <w:rFonts w:ascii="Arial" w:hAnsi="Arial" w:cs="Arial"/>
                <w:color w:val="000000"/>
                <w:sz w:val="22"/>
                <w:szCs w:val="22"/>
                <w:lang w:val="en-GB" w:eastAsia="en-GB"/>
              </w:rPr>
            </w:pPr>
          </w:p>
        </w:tc>
        <w:tc>
          <w:tcPr>
            <w:tcW w:w="960" w:type="dxa"/>
            <w:tcBorders>
              <w:top w:val="nil"/>
              <w:left w:val="nil"/>
              <w:bottom w:val="nil"/>
              <w:right w:val="nil"/>
            </w:tcBorders>
            <w:shd w:val="clear" w:color="auto" w:fill="auto"/>
            <w:noWrap/>
            <w:hideMark/>
          </w:tcPr>
          <w:p w14:paraId="09619FA4" w14:textId="77777777" w:rsidR="00524ED8" w:rsidRPr="00524ED8" w:rsidRDefault="00524ED8" w:rsidP="00524ED8">
            <w:pPr>
              <w:rPr>
                <w:lang w:val="en-GB" w:eastAsia="en-GB"/>
              </w:rPr>
            </w:pPr>
          </w:p>
        </w:tc>
        <w:tc>
          <w:tcPr>
            <w:tcW w:w="4700" w:type="dxa"/>
            <w:tcBorders>
              <w:top w:val="nil"/>
              <w:left w:val="nil"/>
              <w:bottom w:val="nil"/>
              <w:right w:val="nil"/>
            </w:tcBorders>
            <w:shd w:val="clear" w:color="auto" w:fill="auto"/>
            <w:noWrap/>
            <w:hideMark/>
          </w:tcPr>
          <w:p w14:paraId="013613CC" w14:textId="77777777" w:rsidR="00524ED8" w:rsidRPr="00524ED8" w:rsidRDefault="00524ED8" w:rsidP="00524ED8">
            <w:pPr>
              <w:rPr>
                <w:lang w:val="en-GB" w:eastAsia="en-GB"/>
              </w:rPr>
            </w:pPr>
          </w:p>
        </w:tc>
        <w:tc>
          <w:tcPr>
            <w:tcW w:w="1460" w:type="dxa"/>
            <w:tcBorders>
              <w:top w:val="nil"/>
              <w:left w:val="nil"/>
              <w:bottom w:val="nil"/>
              <w:right w:val="single" w:sz="4" w:space="0" w:color="auto"/>
            </w:tcBorders>
            <w:shd w:val="clear" w:color="auto" w:fill="auto"/>
            <w:noWrap/>
            <w:vAlign w:val="bottom"/>
            <w:hideMark/>
          </w:tcPr>
          <w:p w14:paraId="12A23BF3"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r>
      <w:tr w:rsidR="00524ED8" w:rsidRPr="00524ED8" w14:paraId="057A43C4" w14:textId="77777777" w:rsidTr="00524ED8">
        <w:trPr>
          <w:trHeight w:val="300"/>
        </w:trPr>
        <w:tc>
          <w:tcPr>
            <w:tcW w:w="1460" w:type="dxa"/>
            <w:tcBorders>
              <w:top w:val="nil"/>
              <w:left w:val="single" w:sz="4" w:space="0" w:color="auto"/>
              <w:bottom w:val="nil"/>
              <w:right w:val="nil"/>
            </w:tcBorders>
            <w:shd w:val="clear" w:color="auto" w:fill="auto"/>
            <w:noWrap/>
            <w:vAlign w:val="bottom"/>
            <w:hideMark/>
          </w:tcPr>
          <w:p w14:paraId="326123BC"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6620" w:type="dxa"/>
            <w:gridSpan w:val="3"/>
            <w:tcBorders>
              <w:top w:val="nil"/>
              <w:left w:val="nil"/>
              <w:bottom w:val="nil"/>
              <w:right w:val="nil"/>
            </w:tcBorders>
            <w:shd w:val="clear" w:color="auto" w:fill="auto"/>
            <w:noWrap/>
            <w:hideMark/>
          </w:tcPr>
          <w:p w14:paraId="53A4C048" w14:textId="77777777" w:rsidR="00524ED8" w:rsidRPr="00524ED8" w:rsidRDefault="00524ED8" w:rsidP="00524ED8">
            <w:pPr>
              <w:rPr>
                <w:rFonts w:ascii="Arial" w:hAnsi="Arial" w:cs="Arial"/>
                <w:b/>
                <w:bCs/>
                <w:color w:val="000000"/>
                <w:sz w:val="22"/>
                <w:szCs w:val="22"/>
                <w:lang w:val="en-GB" w:eastAsia="en-GB"/>
              </w:rPr>
            </w:pPr>
            <w:r w:rsidRPr="00524ED8">
              <w:rPr>
                <w:rFonts w:ascii="Arial" w:hAnsi="Arial" w:cs="Arial"/>
                <w:b/>
                <w:bCs/>
                <w:color w:val="000000"/>
                <w:sz w:val="22"/>
                <w:szCs w:val="22"/>
                <w:lang w:val="en-GB" w:eastAsia="en-GB"/>
              </w:rPr>
              <w:t>Number of Deferred members:</w:t>
            </w:r>
          </w:p>
        </w:tc>
        <w:tc>
          <w:tcPr>
            <w:tcW w:w="1460" w:type="dxa"/>
            <w:tcBorders>
              <w:top w:val="nil"/>
              <w:left w:val="nil"/>
              <w:bottom w:val="nil"/>
              <w:right w:val="single" w:sz="4" w:space="0" w:color="auto"/>
            </w:tcBorders>
            <w:shd w:val="clear" w:color="auto" w:fill="auto"/>
            <w:noWrap/>
            <w:vAlign w:val="bottom"/>
            <w:hideMark/>
          </w:tcPr>
          <w:p w14:paraId="727173F4"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r>
      <w:tr w:rsidR="00524ED8" w:rsidRPr="00524ED8" w14:paraId="0C78C75B" w14:textId="77777777" w:rsidTr="00524ED8">
        <w:trPr>
          <w:trHeight w:val="315"/>
        </w:trPr>
        <w:tc>
          <w:tcPr>
            <w:tcW w:w="1460" w:type="dxa"/>
            <w:tcBorders>
              <w:top w:val="nil"/>
              <w:left w:val="single" w:sz="4" w:space="0" w:color="auto"/>
              <w:bottom w:val="nil"/>
              <w:right w:val="nil"/>
            </w:tcBorders>
            <w:shd w:val="clear" w:color="auto" w:fill="auto"/>
            <w:noWrap/>
            <w:vAlign w:val="bottom"/>
            <w:hideMark/>
          </w:tcPr>
          <w:p w14:paraId="3E866DE0"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7,492</w:t>
            </w:r>
          </w:p>
        </w:tc>
        <w:tc>
          <w:tcPr>
            <w:tcW w:w="6620" w:type="dxa"/>
            <w:gridSpan w:val="3"/>
            <w:tcBorders>
              <w:top w:val="nil"/>
              <w:left w:val="nil"/>
              <w:bottom w:val="nil"/>
              <w:right w:val="nil"/>
            </w:tcBorders>
            <w:shd w:val="clear" w:color="auto" w:fill="auto"/>
            <w:noWrap/>
            <w:hideMark/>
          </w:tcPr>
          <w:p w14:paraId="463202A4"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London Borough of Waltham Forest</w:t>
            </w:r>
          </w:p>
        </w:tc>
        <w:tc>
          <w:tcPr>
            <w:tcW w:w="1460" w:type="dxa"/>
            <w:tcBorders>
              <w:top w:val="nil"/>
              <w:left w:val="nil"/>
              <w:bottom w:val="single" w:sz="8" w:space="0" w:color="FFFFFF"/>
              <w:right w:val="single" w:sz="4" w:space="0" w:color="auto"/>
            </w:tcBorders>
            <w:shd w:val="clear" w:color="auto" w:fill="auto"/>
            <w:noWrap/>
            <w:vAlign w:val="bottom"/>
            <w:hideMark/>
          </w:tcPr>
          <w:p w14:paraId="079C265F"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7,506</w:t>
            </w:r>
          </w:p>
        </w:tc>
      </w:tr>
      <w:tr w:rsidR="00524ED8" w:rsidRPr="00524ED8" w14:paraId="4D8E4F88" w14:textId="77777777" w:rsidTr="00524ED8">
        <w:trPr>
          <w:trHeight w:val="300"/>
        </w:trPr>
        <w:tc>
          <w:tcPr>
            <w:tcW w:w="1460" w:type="dxa"/>
            <w:tcBorders>
              <w:top w:val="nil"/>
              <w:left w:val="single" w:sz="4" w:space="0" w:color="auto"/>
              <w:bottom w:val="nil"/>
              <w:right w:val="nil"/>
            </w:tcBorders>
            <w:shd w:val="clear" w:color="auto" w:fill="auto"/>
            <w:noWrap/>
            <w:vAlign w:val="bottom"/>
            <w:hideMark/>
          </w:tcPr>
          <w:p w14:paraId="1084B46B"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2,167</w:t>
            </w:r>
          </w:p>
        </w:tc>
        <w:tc>
          <w:tcPr>
            <w:tcW w:w="1920" w:type="dxa"/>
            <w:gridSpan w:val="2"/>
            <w:tcBorders>
              <w:top w:val="nil"/>
              <w:left w:val="nil"/>
              <w:bottom w:val="nil"/>
              <w:right w:val="nil"/>
            </w:tcBorders>
            <w:shd w:val="clear" w:color="auto" w:fill="auto"/>
            <w:noWrap/>
            <w:hideMark/>
          </w:tcPr>
          <w:p w14:paraId="4E0A35DA"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Other employers</w:t>
            </w:r>
          </w:p>
        </w:tc>
        <w:tc>
          <w:tcPr>
            <w:tcW w:w="4700" w:type="dxa"/>
            <w:tcBorders>
              <w:top w:val="nil"/>
              <w:left w:val="nil"/>
              <w:bottom w:val="nil"/>
              <w:right w:val="nil"/>
            </w:tcBorders>
            <w:shd w:val="clear" w:color="auto" w:fill="auto"/>
            <w:noWrap/>
            <w:hideMark/>
          </w:tcPr>
          <w:p w14:paraId="78C0C2E2" w14:textId="77777777" w:rsidR="00524ED8" w:rsidRPr="00524ED8" w:rsidRDefault="00524ED8" w:rsidP="00524ED8">
            <w:pPr>
              <w:rPr>
                <w:rFonts w:ascii="Arial" w:hAnsi="Arial" w:cs="Arial"/>
                <w:color w:val="000000"/>
                <w:sz w:val="22"/>
                <w:szCs w:val="22"/>
                <w:lang w:val="en-GB" w:eastAsia="en-GB"/>
              </w:rPr>
            </w:pPr>
          </w:p>
        </w:tc>
        <w:tc>
          <w:tcPr>
            <w:tcW w:w="1460" w:type="dxa"/>
            <w:tcBorders>
              <w:top w:val="nil"/>
              <w:left w:val="nil"/>
              <w:bottom w:val="nil"/>
              <w:right w:val="single" w:sz="4" w:space="0" w:color="auto"/>
            </w:tcBorders>
            <w:shd w:val="clear" w:color="auto" w:fill="auto"/>
            <w:noWrap/>
            <w:vAlign w:val="bottom"/>
            <w:hideMark/>
          </w:tcPr>
          <w:p w14:paraId="16015E60"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2,380</w:t>
            </w:r>
          </w:p>
        </w:tc>
      </w:tr>
      <w:tr w:rsidR="00524ED8" w:rsidRPr="00524ED8" w14:paraId="774234B9" w14:textId="77777777" w:rsidTr="00524ED8">
        <w:trPr>
          <w:trHeight w:val="300"/>
        </w:trPr>
        <w:tc>
          <w:tcPr>
            <w:tcW w:w="1460" w:type="dxa"/>
            <w:tcBorders>
              <w:top w:val="single" w:sz="4" w:space="0" w:color="auto"/>
              <w:left w:val="single" w:sz="4" w:space="0" w:color="auto"/>
              <w:bottom w:val="single" w:sz="4" w:space="0" w:color="auto"/>
              <w:right w:val="single" w:sz="12" w:space="0" w:color="FFFFFF"/>
            </w:tcBorders>
            <w:shd w:val="clear" w:color="auto" w:fill="auto"/>
            <w:noWrap/>
            <w:vAlign w:val="bottom"/>
            <w:hideMark/>
          </w:tcPr>
          <w:p w14:paraId="678DF942" w14:textId="77777777" w:rsidR="00524ED8" w:rsidRPr="00524ED8" w:rsidRDefault="00524ED8" w:rsidP="00524ED8">
            <w:pPr>
              <w:jc w:val="right"/>
              <w:rPr>
                <w:rFonts w:ascii="Arial" w:hAnsi="Arial" w:cs="Arial"/>
                <w:b/>
                <w:bCs/>
                <w:sz w:val="22"/>
                <w:szCs w:val="22"/>
                <w:lang w:val="en-GB" w:eastAsia="en-GB"/>
              </w:rPr>
            </w:pPr>
            <w:r w:rsidRPr="00524ED8">
              <w:rPr>
                <w:rFonts w:ascii="Arial" w:hAnsi="Arial" w:cs="Arial"/>
                <w:b/>
                <w:bCs/>
                <w:sz w:val="22"/>
                <w:szCs w:val="22"/>
                <w:lang w:val="en-GB" w:eastAsia="en-GB"/>
              </w:rPr>
              <w:t xml:space="preserve">              9,659</w:t>
            </w:r>
          </w:p>
        </w:tc>
        <w:tc>
          <w:tcPr>
            <w:tcW w:w="960" w:type="dxa"/>
            <w:tcBorders>
              <w:top w:val="nil"/>
              <w:left w:val="nil"/>
              <w:bottom w:val="nil"/>
              <w:right w:val="nil"/>
            </w:tcBorders>
            <w:shd w:val="clear" w:color="auto" w:fill="auto"/>
            <w:noWrap/>
            <w:hideMark/>
          </w:tcPr>
          <w:p w14:paraId="4CA0458C" w14:textId="77777777" w:rsidR="00524ED8" w:rsidRPr="00524ED8" w:rsidRDefault="00524ED8" w:rsidP="00524ED8">
            <w:pPr>
              <w:rPr>
                <w:rFonts w:ascii="Arial" w:hAnsi="Arial" w:cs="Arial"/>
                <w:b/>
                <w:bCs/>
                <w:color w:val="000000"/>
                <w:sz w:val="22"/>
                <w:szCs w:val="22"/>
                <w:lang w:val="en-GB" w:eastAsia="en-GB"/>
              </w:rPr>
            </w:pPr>
            <w:r w:rsidRPr="00524ED8">
              <w:rPr>
                <w:rFonts w:ascii="Arial" w:hAnsi="Arial" w:cs="Arial"/>
                <w:b/>
                <w:bCs/>
                <w:color w:val="000000"/>
                <w:sz w:val="22"/>
                <w:szCs w:val="22"/>
                <w:lang w:val="en-GB" w:eastAsia="en-GB"/>
              </w:rPr>
              <w:t>Total</w:t>
            </w:r>
          </w:p>
        </w:tc>
        <w:tc>
          <w:tcPr>
            <w:tcW w:w="960" w:type="dxa"/>
            <w:tcBorders>
              <w:top w:val="nil"/>
              <w:left w:val="nil"/>
              <w:bottom w:val="nil"/>
              <w:right w:val="nil"/>
            </w:tcBorders>
            <w:shd w:val="clear" w:color="auto" w:fill="auto"/>
            <w:noWrap/>
            <w:hideMark/>
          </w:tcPr>
          <w:p w14:paraId="3B98ED44" w14:textId="77777777" w:rsidR="00524ED8" w:rsidRPr="00524ED8" w:rsidRDefault="00524ED8" w:rsidP="00524ED8">
            <w:pPr>
              <w:rPr>
                <w:rFonts w:ascii="Arial" w:hAnsi="Arial" w:cs="Arial"/>
                <w:b/>
                <w:bCs/>
                <w:color w:val="000000"/>
                <w:sz w:val="22"/>
                <w:szCs w:val="22"/>
                <w:lang w:val="en-GB" w:eastAsia="en-GB"/>
              </w:rPr>
            </w:pPr>
          </w:p>
        </w:tc>
        <w:tc>
          <w:tcPr>
            <w:tcW w:w="4700" w:type="dxa"/>
            <w:tcBorders>
              <w:top w:val="nil"/>
              <w:left w:val="nil"/>
              <w:bottom w:val="nil"/>
              <w:right w:val="nil"/>
            </w:tcBorders>
            <w:shd w:val="clear" w:color="auto" w:fill="auto"/>
            <w:noWrap/>
            <w:hideMark/>
          </w:tcPr>
          <w:p w14:paraId="74D328A2" w14:textId="77777777" w:rsidR="00524ED8" w:rsidRPr="00524ED8" w:rsidRDefault="00524ED8" w:rsidP="00524ED8">
            <w:pPr>
              <w:rPr>
                <w:lang w:val="en-GB" w:eastAsia="en-GB"/>
              </w:rPr>
            </w:pPr>
          </w:p>
        </w:tc>
        <w:tc>
          <w:tcPr>
            <w:tcW w:w="1460" w:type="dxa"/>
            <w:tcBorders>
              <w:top w:val="single" w:sz="4" w:space="0" w:color="auto"/>
              <w:left w:val="single" w:sz="12" w:space="0" w:color="FFFFFF"/>
              <w:bottom w:val="single" w:sz="4" w:space="0" w:color="auto"/>
              <w:right w:val="single" w:sz="4" w:space="0" w:color="auto"/>
            </w:tcBorders>
            <w:shd w:val="clear" w:color="auto" w:fill="auto"/>
            <w:noWrap/>
            <w:vAlign w:val="bottom"/>
            <w:hideMark/>
          </w:tcPr>
          <w:p w14:paraId="63CAD45F" w14:textId="77777777" w:rsidR="00524ED8" w:rsidRPr="00524ED8" w:rsidRDefault="00524ED8" w:rsidP="00524ED8">
            <w:pPr>
              <w:jc w:val="right"/>
              <w:rPr>
                <w:rFonts w:ascii="Arial" w:hAnsi="Arial" w:cs="Arial"/>
                <w:b/>
                <w:bCs/>
                <w:sz w:val="22"/>
                <w:szCs w:val="22"/>
                <w:lang w:val="en-GB" w:eastAsia="en-GB"/>
              </w:rPr>
            </w:pPr>
            <w:r w:rsidRPr="00524ED8">
              <w:rPr>
                <w:rFonts w:ascii="Arial" w:hAnsi="Arial" w:cs="Arial"/>
                <w:b/>
                <w:bCs/>
                <w:sz w:val="22"/>
                <w:szCs w:val="22"/>
                <w:lang w:val="en-GB" w:eastAsia="en-GB"/>
              </w:rPr>
              <w:t xml:space="preserve">              9,886</w:t>
            </w:r>
          </w:p>
        </w:tc>
      </w:tr>
      <w:tr w:rsidR="00524ED8" w:rsidRPr="00524ED8" w14:paraId="393CA024" w14:textId="77777777" w:rsidTr="00524ED8">
        <w:trPr>
          <w:trHeight w:val="300"/>
        </w:trPr>
        <w:tc>
          <w:tcPr>
            <w:tcW w:w="1460" w:type="dxa"/>
            <w:tcBorders>
              <w:top w:val="nil"/>
              <w:left w:val="single" w:sz="4" w:space="0" w:color="auto"/>
              <w:bottom w:val="nil"/>
              <w:right w:val="nil"/>
            </w:tcBorders>
            <w:shd w:val="clear" w:color="auto" w:fill="auto"/>
            <w:noWrap/>
            <w:vAlign w:val="bottom"/>
            <w:hideMark/>
          </w:tcPr>
          <w:p w14:paraId="41ED92D8"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960" w:type="dxa"/>
            <w:tcBorders>
              <w:top w:val="nil"/>
              <w:left w:val="nil"/>
              <w:bottom w:val="nil"/>
              <w:right w:val="nil"/>
            </w:tcBorders>
            <w:shd w:val="clear" w:color="auto" w:fill="auto"/>
            <w:noWrap/>
            <w:hideMark/>
          </w:tcPr>
          <w:p w14:paraId="52274933" w14:textId="77777777" w:rsidR="00524ED8" w:rsidRPr="00524ED8" w:rsidRDefault="00524ED8" w:rsidP="00524ED8">
            <w:pPr>
              <w:jc w:val="right"/>
              <w:rPr>
                <w:rFonts w:ascii="Arial" w:hAnsi="Arial" w:cs="Arial"/>
                <w:color w:val="000000"/>
                <w:sz w:val="22"/>
                <w:szCs w:val="22"/>
                <w:lang w:val="en-GB" w:eastAsia="en-GB"/>
              </w:rPr>
            </w:pPr>
          </w:p>
        </w:tc>
        <w:tc>
          <w:tcPr>
            <w:tcW w:w="960" w:type="dxa"/>
            <w:tcBorders>
              <w:top w:val="nil"/>
              <w:left w:val="nil"/>
              <w:bottom w:val="nil"/>
              <w:right w:val="nil"/>
            </w:tcBorders>
            <w:shd w:val="clear" w:color="auto" w:fill="auto"/>
            <w:noWrap/>
            <w:hideMark/>
          </w:tcPr>
          <w:p w14:paraId="48301679" w14:textId="77777777" w:rsidR="00524ED8" w:rsidRPr="00524ED8" w:rsidRDefault="00524ED8" w:rsidP="00524ED8">
            <w:pPr>
              <w:rPr>
                <w:lang w:val="en-GB" w:eastAsia="en-GB"/>
              </w:rPr>
            </w:pPr>
          </w:p>
        </w:tc>
        <w:tc>
          <w:tcPr>
            <w:tcW w:w="4700" w:type="dxa"/>
            <w:tcBorders>
              <w:top w:val="nil"/>
              <w:left w:val="nil"/>
              <w:bottom w:val="nil"/>
              <w:right w:val="nil"/>
            </w:tcBorders>
            <w:shd w:val="clear" w:color="auto" w:fill="auto"/>
            <w:noWrap/>
            <w:hideMark/>
          </w:tcPr>
          <w:p w14:paraId="77DAFDD7" w14:textId="77777777" w:rsidR="00524ED8" w:rsidRPr="00524ED8" w:rsidRDefault="00524ED8" w:rsidP="00524ED8">
            <w:pPr>
              <w:rPr>
                <w:lang w:val="en-GB" w:eastAsia="en-GB"/>
              </w:rPr>
            </w:pPr>
          </w:p>
        </w:tc>
        <w:tc>
          <w:tcPr>
            <w:tcW w:w="1460" w:type="dxa"/>
            <w:tcBorders>
              <w:top w:val="nil"/>
              <w:left w:val="nil"/>
              <w:bottom w:val="nil"/>
              <w:right w:val="single" w:sz="4" w:space="0" w:color="auto"/>
            </w:tcBorders>
            <w:shd w:val="clear" w:color="auto" w:fill="auto"/>
            <w:noWrap/>
            <w:vAlign w:val="bottom"/>
            <w:hideMark/>
          </w:tcPr>
          <w:p w14:paraId="274911CD" w14:textId="77777777" w:rsidR="00524ED8" w:rsidRPr="00524ED8" w:rsidRDefault="00524ED8" w:rsidP="00524ED8">
            <w:pPr>
              <w:jc w:val="right"/>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r>
      <w:tr w:rsidR="00524ED8" w:rsidRPr="00524ED8" w14:paraId="1887B583" w14:textId="77777777" w:rsidTr="00524ED8">
        <w:trPr>
          <w:trHeight w:val="315"/>
        </w:trPr>
        <w:tc>
          <w:tcPr>
            <w:tcW w:w="1460" w:type="dxa"/>
            <w:tcBorders>
              <w:top w:val="single" w:sz="4" w:space="0" w:color="auto"/>
              <w:left w:val="single" w:sz="4" w:space="0" w:color="auto"/>
              <w:bottom w:val="single" w:sz="8" w:space="0" w:color="auto"/>
              <w:right w:val="single" w:sz="12" w:space="0" w:color="FFFFFF"/>
            </w:tcBorders>
            <w:shd w:val="clear" w:color="auto" w:fill="auto"/>
            <w:noWrap/>
            <w:vAlign w:val="bottom"/>
            <w:hideMark/>
          </w:tcPr>
          <w:p w14:paraId="65D86788" w14:textId="77777777" w:rsidR="00524ED8" w:rsidRPr="00524ED8" w:rsidRDefault="00524ED8" w:rsidP="00524ED8">
            <w:pPr>
              <w:jc w:val="right"/>
              <w:rPr>
                <w:rFonts w:ascii="Arial" w:hAnsi="Arial" w:cs="Arial"/>
                <w:b/>
                <w:bCs/>
                <w:sz w:val="22"/>
                <w:szCs w:val="22"/>
                <w:lang w:val="en-GB" w:eastAsia="en-GB"/>
              </w:rPr>
            </w:pPr>
            <w:r w:rsidRPr="00524ED8">
              <w:rPr>
                <w:rFonts w:ascii="Arial" w:hAnsi="Arial" w:cs="Arial"/>
                <w:b/>
                <w:bCs/>
                <w:sz w:val="22"/>
                <w:szCs w:val="22"/>
                <w:lang w:val="en-GB" w:eastAsia="en-GB"/>
              </w:rPr>
              <w:t xml:space="preserve">            23,452</w:t>
            </w:r>
          </w:p>
        </w:tc>
        <w:tc>
          <w:tcPr>
            <w:tcW w:w="6620" w:type="dxa"/>
            <w:gridSpan w:val="3"/>
            <w:tcBorders>
              <w:top w:val="nil"/>
              <w:left w:val="nil"/>
              <w:bottom w:val="nil"/>
              <w:right w:val="nil"/>
            </w:tcBorders>
            <w:shd w:val="clear" w:color="auto" w:fill="auto"/>
            <w:noWrap/>
            <w:hideMark/>
          </w:tcPr>
          <w:p w14:paraId="3A08C02C" w14:textId="77777777" w:rsidR="00524ED8" w:rsidRPr="00524ED8" w:rsidRDefault="00524ED8" w:rsidP="00524ED8">
            <w:pPr>
              <w:rPr>
                <w:rFonts w:ascii="Arial" w:hAnsi="Arial" w:cs="Arial"/>
                <w:b/>
                <w:bCs/>
                <w:color w:val="000000"/>
                <w:sz w:val="22"/>
                <w:szCs w:val="22"/>
                <w:lang w:val="en-GB" w:eastAsia="en-GB"/>
              </w:rPr>
            </w:pPr>
            <w:r w:rsidRPr="00524ED8">
              <w:rPr>
                <w:rFonts w:ascii="Arial" w:hAnsi="Arial" w:cs="Arial"/>
                <w:b/>
                <w:bCs/>
                <w:color w:val="000000"/>
                <w:sz w:val="22"/>
                <w:szCs w:val="22"/>
                <w:lang w:val="en-GB" w:eastAsia="en-GB"/>
              </w:rPr>
              <w:t>Total number of members in the scheme</w:t>
            </w:r>
          </w:p>
        </w:tc>
        <w:tc>
          <w:tcPr>
            <w:tcW w:w="1460" w:type="dxa"/>
            <w:tcBorders>
              <w:top w:val="single" w:sz="4" w:space="0" w:color="auto"/>
              <w:left w:val="single" w:sz="12" w:space="0" w:color="FFFFFF"/>
              <w:bottom w:val="single" w:sz="8" w:space="0" w:color="auto"/>
              <w:right w:val="single" w:sz="4" w:space="0" w:color="auto"/>
            </w:tcBorders>
            <w:shd w:val="clear" w:color="auto" w:fill="auto"/>
            <w:noWrap/>
            <w:vAlign w:val="bottom"/>
            <w:hideMark/>
          </w:tcPr>
          <w:p w14:paraId="7CC123CF" w14:textId="77777777" w:rsidR="00524ED8" w:rsidRPr="00524ED8" w:rsidRDefault="00524ED8" w:rsidP="00524ED8">
            <w:pPr>
              <w:jc w:val="right"/>
              <w:rPr>
                <w:rFonts w:ascii="Arial" w:hAnsi="Arial" w:cs="Arial"/>
                <w:b/>
                <w:bCs/>
                <w:sz w:val="22"/>
                <w:szCs w:val="22"/>
                <w:lang w:val="en-GB" w:eastAsia="en-GB"/>
              </w:rPr>
            </w:pPr>
            <w:r w:rsidRPr="00524ED8">
              <w:rPr>
                <w:rFonts w:ascii="Arial" w:hAnsi="Arial" w:cs="Arial"/>
                <w:b/>
                <w:bCs/>
                <w:sz w:val="22"/>
                <w:szCs w:val="22"/>
                <w:lang w:val="en-GB" w:eastAsia="en-GB"/>
              </w:rPr>
              <w:t xml:space="preserve">            24,497</w:t>
            </w:r>
          </w:p>
        </w:tc>
      </w:tr>
      <w:tr w:rsidR="00524ED8" w:rsidRPr="00524ED8" w14:paraId="5C9C5300" w14:textId="77777777" w:rsidTr="00524ED8">
        <w:trPr>
          <w:trHeight w:val="300"/>
        </w:trPr>
        <w:tc>
          <w:tcPr>
            <w:tcW w:w="1460" w:type="dxa"/>
            <w:tcBorders>
              <w:top w:val="nil"/>
              <w:left w:val="single" w:sz="4" w:space="0" w:color="auto"/>
              <w:bottom w:val="single" w:sz="4" w:space="0" w:color="auto"/>
              <w:right w:val="nil"/>
            </w:tcBorders>
            <w:shd w:val="clear" w:color="auto" w:fill="auto"/>
            <w:noWrap/>
            <w:vAlign w:val="bottom"/>
            <w:hideMark/>
          </w:tcPr>
          <w:p w14:paraId="294B1910"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960" w:type="dxa"/>
            <w:tcBorders>
              <w:top w:val="nil"/>
              <w:left w:val="nil"/>
              <w:bottom w:val="single" w:sz="4" w:space="0" w:color="auto"/>
              <w:right w:val="nil"/>
            </w:tcBorders>
            <w:shd w:val="clear" w:color="auto" w:fill="auto"/>
            <w:noWrap/>
            <w:vAlign w:val="bottom"/>
            <w:hideMark/>
          </w:tcPr>
          <w:p w14:paraId="410D56AD"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960" w:type="dxa"/>
            <w:tcBorders>
              <w:top w:val="nil"/>
              <w:left w:val="nil"/>
              <w:bottom w:val="single" w:sz="4" w:space="0" w:color="auto"/>
              <w:right w:val="nil"/>
            </w:tcBorders>
            <w:shd w:val="clear" w:color="auto" w:fill="auto"/>
            <w:noWrap/>
            <w:vAlign w:val="bottom"/>
            <w:hideMark/>
          </w:tcPr>
          <w:p w14:paraId="37C2F8D9"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4700" w:type="dxa"/>
            <w:tcBorders>
              <w:top w:val="nil"/>
              <w:left w:val="nil"/>
              <w:bottom w:val="single" w:sz="4" w:space="0" w:color="auto"/>
              <w:right w:val="nil"/>
            </w:tcBorders>
            <w:shd w:val="clear" w:color="auto" w:fill="auto"/>
            <w:noWrap/>
            <w:vAlign w:val="bottom"/>
            <w:hideMark/>
          </w:tcPr>
          <w:p w14:paraId="4DD17A0B"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7843D055" w14:textId="77777777" w:rsidR="00524ED8" w:rsidRPr="00524ED8" w:rsidRDefault="00524ED8" w:rsidP="00524ED8">
            <w:pPr>
              <w:rPr>
                <w:rFonts w:ascii="Arial" w:hAnsi="Arial" w:cs="Arial"/>
                <w:color w:val="000000"/>
                <w:sz w:val="22"/>
                <w:szCs w:val="22"/>
                <w:lang w:val="en-GB" w:eastAsia="en-GB"/>
              </w:rPr>
            </w:pPr>
            <w:r w:rsidRPr="00524ED8">
              <w:rPr>
                <w:rFonts w:ascii="Arial" w:hAnsi="Arial" w:cs="Arial"/>
                <w:color w:val="000000"/>
                <w:sz w:val="22"/>
                <w:szCs w:val="22"/>
                <w:lang w:val="en-GB" w:eastAsia="en-GB"/>
              </w:rPr>
              <w:t> </w:t>
            </w:r>
          </w:p>
        </w:tc>
      </w:tr>
    </w:tbl>
    <w:p w14:paraId="628CC42D" w14:textId="24B0B54A" w:rsidR="009C7422" w:rsidRDefault="009C7422" w:rsidP="005F5E71">
      <w:pPr>
        <w:spacing w:after="200" w:line="276" w:lineRule="auto"/>
        <w:ind w:right="74"/>
        <w:jc w:val="both"/>
        <w:rPr>
          <w:rFonts w:ascii="Arial" w:eastAsia="Arial" w:hAnsi="Arial" w:cs="Arial"/>
          <w:sz w:val="22"/>
          <w:szCs w:val="22"/>
        </w:rPr>
      </w:pPr>
    </w:p>
    <w:p w14:paraId="0549F19D" w14:textId="434D871A" w:rsidR="008A6C22" w:rsidRDefault="008A6C22" w:rsidP="005F5E71">
      <w:pPr>
        <w:spacing w:after="200" w:line="276" w:lineRule="auto"/>
        <w:ind w:right="74"/>
        <w:jc w:val="both"/>
        <w:rPr>
          <w:rFonts w:eastAsia="Arial"/>
        </w:rPr>
      </w:pPr>
    </w:p>
    <w:p w14:paraId="1044C052" w14:textId="77777777" w:rsidR="00524ED8" w:rsidRPr="005F5E71" w:rsidRDefault="00524ED8" w:rsidP="005F5E71">
      <w:pPr>
        <w:spacing w:after="200" w:line="276" w:lineRule="auto"/>
        <w:ind w:right="74"/>
        <w:jc w:val="both"/>
        <w:rPr>
          <w:rFonts w:ascii="Arial" w:eastAsia="Arial" w:hAnsi="Arial" w:cs="Arial"/>
          <w:sz w:val="22"/>
          <w:szCs w:val="22"/>
        </w:rPr>
      </w:pPr>
    </w:p>
    <w:p w14:paraId="1A41F34F" w14:textId="77777777" w:rsidR="009C7422" w:rsidRP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lastRenderedPageBreak/>
        <w:t>c)</w:t>
      </w:r>
      <w:r w:rsidRPr="0046695E">
        <w:rPr>
          <w:rFonts w:ascii="Arial" w:eastAsia="Arial" w:hAnsi="Arial" w:cs="Arial"/>
          <w:b/>
          <w:sz w:val="22"/>
          <w:szCs w:val="22"/>
        </w:rPr>
        <w:t xml:space="preserve"> F</w:t>
      </w:r>
      <w:r w:rsidRPr="00BD17CA">
        <w:rPr>
          <w:rFonts w:ascii="Arial" w:eastAsia="Arial" w:hAnsi="Arial" w:cs="Arial"/>
          <w:b/>
          <w:sz w:val="22"/>
          <w:szCs w:val="22"/>
        </w:rPr>
        <w:t>unding</w:t>
      </w:r>
    </w:p>
    <w:p w14:paraId="6F1FEE65" w14:textId="3120422C" w:rsidR="009C7422" w:rsidRPr="00BD17CA"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B</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e</w:t>
      </w:r>
      <w:r w:rsidRPr="0046695E">
        <w:rPr>
          <w:rFonts w:ascii="Arial" w:eastAsia="Arial" w:hAnsi="Arial" w:cs="Arial"/>
          <w:sz w:val="22"/>
          <w:szCs w:val="22"/>
        </w:rPr>
        <w:t>fi</w:t>
      </w:r>
      <w:r w:rsidRPr="00BD17CA">
        <w:rPr>
          <w:rFonts w:ascii="Arial" w:eastAsia="Arial" w:hAnsi="Arial" w:cs="Arial"/>
          <w:sz w:val="22"/>
          <w:szCs w:val="22"/>
        </w:rPr>
        <w:t>ts</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b</w:t>
      </w:r>
      <w:r w:rsidRPr="00BD17CA">
        <w:rPr>
          <w:rFonts w:ascii="Arial" w:eastAsia="Arial" w:hAnsi="Arial" w:cs="Arial"/>
          <w:sz w:val="22"/>
          <w:szCs w:val="22"/>
        </w:rPr>
        <w:t>y</w:t>
      </w:r>
      <w:r w:rsidRPr="0046695E">
        <w:rPr>
          <w:rFonts w:ascii="Arial" w:eastAsia="Arial" w:hAnsi="Arial" w:cs="Arial"/>
          <w:sz w:val="22"/>
          <w:szCs w:val="22"/>
        </w:rPr>
        <w:t xml:space="preserve"> con</w:t>
      </w:r>
      <w:r w:rsidRPr="00BD17CA">
        <w:rPr>
          <w:rFonts w:ascii="Arial" w:eastAsia="Arial" w:hAnsi="Arial" w:cs="Arial"/>
          <w:sz w:val="22"/>
          <w:szCs w:val="22"/>
        </w:rPr>
        <w:t>tr</w:t>
      </w:r>
      <w:r w:rsidRPr="0046695E">
        <w:rPr>
          <w:rFonts w:ascii="Arial" w:eastAsia="Arial" w:hAnsi="Arial" w:cs="Arial"/>
          <w:sz w:val="22"/>
          <w:szCs w:val="22"/>
        </w:rPr>
        <w:t>i</w:t>
      </w:r>
      <w:r w:rsidRPr="00BD17CA">
        <w:rPr>
          <w:rFonts w:ascii="Arial" w:eastAsia="Arial" w:hAnsi="Arial" w:cs="Arial"/>
          <w:sz w:val="22"/>
          <w:szCs w:val="22"/>
        </w:rPr>
        <w:t>b</w:t>
      </w:r>
      <w:r w:rsidRPr="0046695E">
        <w:rPr>
          <w:rFonts w:ascii="Arial" w:eastAsia="Arial" w:hAnsi="Arial" w:cs="Arial"/>
          <w:sz w:val="22"/>
          <w:szCs w:val="22"/>
        </w:rPr>
        <w:t>uti</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 xml:space="preserve">s </w:t>
      </w:r>
      <w:r w:rsidRPr="0046695E">
        <w:rPr>
          <w:rFonts w:ascii="Arial" w:eastAsia="Arial" w:hAnsi="Arial" w:cs="Arial"/>
          <w:sz w:val="22"/>
          <w:szCs w:val="22"/>
        </w:rPr>
        <w:t>a</w:t>
      </w:r>
      <w:r w:rsidRPr="00BD17CA">
        <w:rPr>
          <w:rFonts w:ascii="Arial" w:eastAsia="Arial" w:hAnsi="Arial" w:cs="Arial"/>
          <w:sz w:val="22"/>
          <w:szCs w:val="22"/>
        </w:rPr>
        <w:t>nd</w:t>
      </w:r>
      <w:r w:rsidRPr="0046695E">
        <w:rPr>
          <w:rFonts w:ascii="Arial" w:eastAsia="Arial" w:hAnsi="Arial" w:cs="Arial"/>
          <w:sz w:val="22"/>
          <w:szCs w:val="22"/>
        </w:rPr>
        <w:t xml:space="preserve"> inv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e</w:t>
      </w:r>
      <w:r w:rsidRPr="0046695E">
        <w:rPr>
          <w:rFonts w:ascii="Arial" w:eastAsia="Arial" w:hAnsi="Arial" w:cs="Arial"/>
          <w:sz w:val="22"/>
          <w:szCs w:val="22"/>
        </w:rPr>
        <w:t>ar</w:t>
      </w:r>
      <w:r w:rsidRPr="00BD17CA">
        <w:rPr>
          <w:rFonts w:ascii="Arial" w:eastAsia="Arial" w:hAnsi="Arial" w:cs="Arial"/>
          <w:sz w:val="22"/>
          <w:szCs w:val="22"/>
        </w:rPr>
        <w:t>n</w:t>
      </w:r>
      <w:r w:rsidRPr="0046695E">
        <w:rPr>
          <w:rFonts w:ascii="Arial" w:eastAsia="Arial" w:hAnsi="Arial" w:cs="Arial"/>
          <w:sz w:val="22"/>
          <w:szCs w:val="22"/>
        </w:rPr>
        <w:t>in</w:t>
      </w:r>
      <w:r w:rsidRPr="00BD17CA">
        <w:rPr>
          <w:rFonts w:ascii="Arial" w:eastAsia="Arial" w:hAnsi="Arial" w:cs="Arial"/>
          <w:sz w:val="22"/>
          <w:szCs w:val="22"/>
        </w:rPr>
        <w:t>g</w:t>
      </w:r>
      <w:r w:rsidRPr="0046695E">
        <w:rPr>
          <w:rFonts w:ascii="Arial" w:eastAsia="Arial" w:hAnsi="Arial" w:cs="Arial"/>
          <w:sz w:val="22"/>
          <w:szCs w:val="22"/>
        </w:rPr>
        <w:t>s</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Con</w:t>
      </w:r>
      <w:r w:rsidRPr="0046695E">
        <w:rPr>
          <w:rFonts w:ascii="Arial" w:eastAsia="Arial" w:hAnsi="Arial" w:cs="Arial"/>
          <w:sz w:val="22"/>
          <w:szCs w:val="22"/>
        </w:rPr>
        <w:t>tri</w:t>
      </w:r>
      <w:r w:rsidRPr="00BD17CA">
        <w:rPr>
          <w:rFonts w:ascii="Arial" w:eastAsia="Arial" w:hAnsi="Arial" w:cs="Arial"/>
          <w:sz w:val="22"/>
          <w:szCs w:val="22"/>
        </w:rPr>
        <w:t>b</w:t>
      </w:r>
      <w:r w:rsidRPr="0046695E">
        <w:rPr>
          <w:rFonts w:ascii="Arial" w:eastAsia="Arial" w:hAnsi="Arial" w:cs="Arial"/>
          <w:sz w:val="22"/>
          <w:szCs w:val="22"/>
        </w:rPr>
        <w:t>u</w:t>
      </w:r>
      <w:r w:rsidRPr="00BD17CA">
        <w:rPr>
          <w:rFonts w:ascii="Arial" w:eastAsia="Arial" w:hAnsi="Arial" w:cs="Arial"/>
          <w:sz w:val="22"/>
          <w:szCs w:val="22"/>
        </w:rPr>
        <w:t>t</w:t>
      </w:r>
      <w:r w:rsidRPr="0046695E">
        <w:rPr>
          <w:rFonts w:ascii="Arial" w:eastAsia="Arial" w:hAnsi="Arial" w:cs="Arial"/>
          <w:sz w:val="22"/>
          <w:szCs w:val="22"/>
        </w:rPr>
        <w:t>io</w:t>
      </w:r>
      <w:r w:rsidRPr="00BD17CA">
        <w:rPr>
          <w:rFonts w:ascii="Arial" w:eastAsia="Arial" w:hAnsi="Arial" w:cs="Arial"/>
          <w:sz w:val="22"/>
          <w:szCs w:val="22"/>
        </w:rPr>
        <w:t>ns are</w:t>
      </w:r>
      <w:r w:rsidRPr="0046695E">
        <w:rPr>
          <w:rFonts w:ascii="Arial" w:eastAsia="Arial" w:hAnsi="Arial" w:cs="Arial"/>
          <w:sz w:val="22"/>
          <w:szCs w:val="22"/>
        </w:rPr>
        <w:t xml:space="preserve"> m</w:t>
      </w:r>
      <w:r w:rsidRPr="00BD17CA">
        <w:rPr>
          <w:rFonts w:ascii="Arial" w:eastAsia="Arial" w:hAnsi="Arial" w:cs="Arial"/>
          <w:sz w:val="22"/>
          <w:szCs w:val="22"/>
        </w:rPr>
        <w:t>a</w:t>
      </w:r>
      <w:r w:rsidRPr="0046695E">
        <w:rPr>
          <w:rFonts w:ascii="Arial" w:eastAsia="Arial" w:hAnsi="Arial" w:cs="Arial"/>
          <w:sz w:val="22"/>
          <w:szCs w:val="22"/>
        </w:rPr>
        <w:t>d</w:t>
      </w:r>
      <w:r w:rsidRPr="00BD17CA">
        <w:rPr>
          <w:rFonts w:ascii="Arial" w:eastAsia="Arial" w:hAnsi="Arial" w:cs="Arial"/>
          <w:sz w:val="22"/>
          <w:szCs w:val="22"/>
        </w:rPr>
        <w:t>e</w:t>
      </w:r>
      <w:r w:rsidRPr="0046695E">
        <w:rPr>
          <w:rFonts w:ascii="Arial" w:eastAsia="Arial" w:hAnsi="Arial" w:cs="Arial"/>
          <w:sz w:val="22"/>
          <w:szCs w:val="22"/>
        </w:rPr>
        <w:t xml:space="preserve"> b</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w:t>
      </w:r>
      <w:r w:rsidRPr="00BD17CA">
        <w:rPr>
          <w:rFonts w:ascii="Arial" w:eastAsia="Arial" w:hAnsi="Arial" w:cs="Arial"/>
          <w:sz w:val="22"/>
          <w:szCs w:val="22"/>
        </w:rPr>
        <w:t>t</w:t>
      </w:r>
      <w:r w:rsidRPr="0046695E">
        <w:rPr>
          <w:rFonts w:ascii="Arial" w:eastAsia="Arial" w:hAnsi="Arial" w:cs="Arial"/>
          <w:sz w:val="22"/>
          <w:szCs w:val="22"/>
        </w:rPr>
        <w:t>iv</w:t>
      </w:r>
      <w:r w:rsidRPr="00BD17CA">
        <w:rPr>
          <w:rFonts w:ascii="Arial" w:eastAsia="Arial" w:hAnsi="Arial" w:cs="Arial"/>
          <w:sz w:val="22"/>
          <w:szCs w:val="22"/>
        </w:rPr>
        <w:t>e</w:t>
      </w:r>
      <w:r w:rsidRPr="0046695E">
        <w:rPr>
          <w:rFonts w:ascii="Arial" w:eastAsia="Arial" w:hAnsi="Arial" w:cs="Arial"/>
          <w:sz w:val="22"/>
          <w:szCs w:val="22"/>
        </w:rPr>
        <w:t xml:space="preserve"> mem</w:t>
      </w:r>
      <w:r w:rsidRPr="00BD17CA">
        <w:rPr>
          <w:rFonts w:ascii="Arial" w:eastAsia="Arial" w:hAnsi="Arial" w:cs="Arial"/>
          <w:sz w:val="22"/>
          <w:szCs w:val="22"/>
        </w:rPr>
        <w:t>b</w:t>
      </w:r>
      <w:r w:rsidRPr="0046695E">
        <w:rPr>
          <w:rFonts w:ascii="Arial" w:eastAsia="Arial" w:hAnsi="Arial" w:cs="Arial"/>
          <w:sz w:val="22"/>
          <w:szCs w:val="22"/>
        </w:rPr>
        <w:t>er</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of the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w:t>
      </w:r>
      <w:r w:rsidRPr="00BD17CA">
        <w:rPr>
          <w:rFonts w:ascii="Arial" w:eastAsia="Arial" w:hAnsi="Arial" w:cs="Arial"/>
          <w:sz w:val="22"/>
          <w:szCs w:val="22"/>
        </w:rPr>
        <w:t>ordance</w:t>
      </w:r>
      <w:r w:rsidRPr="0046695E">
        <w:rPr>
          <w:rFonts w:ascii="Arial" w:eastAsia="Arial" w:hAnsi="Arial" w:cs="Arial"/>
          <w:sz w:val="22"/>
          <w:szCs w:val="22"/>
        </w:rPr>
        <w:t xml:space="preserve"> wit</w:t>
      </w:r>
      <w:r w:rsidRPr="00BD17CA">
        <w:rPr>
          <w:rFonts w:ascii="Arial" w:eastAsia="Arial" w:hAnsi="Arial" w:cs="Arial"/>
          <w:sz w:val="22"/>
          <w:szCs w:val="22"/>
        </w:rPr>
        <w:t>h</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w:t>
      </w:r>
      <w:r w:rsidRPr="00BD17CA">
        <w:rPr>
          <w:rFonts w:ascii="Arial" w:eastAsia="Arial" w:hAnsi="Arial" w:cs="Arial"/>
          <w:sz w:val="22"/>
          <w:szCs w:val="22"/>
        </w:rPr>
        <w:t>L</w:t>
      </w:r>
      <w:r w:rsidRPr="0046695E">
        <w:rPr>
          <w:rFonts w:ascii="Arial" w:eastAsia="Arial" w:hAnsi="Arial" w:cs="Arial"/>
          <w:sz w:val="22"/>
          <w:szCs w:val="22"/>
        </w:rPr>
        <w:t>oca</w:t>
      </w:r>
      <w:r w:rsidRPr="00BD17CA">
        <w:rPr>
          <w:rFonts w:ascii="Arial" w:eastAsia="Arial" w:hAnsi="Arial" w:cs="Arial"/>
          <w:sz w:val="22"/>
          <w:szCs w:val="22"/>
        </w:rPr>
        <w:t>l</w:t>
      </w:r>
      <w:r w:rsidRPr="0046695E">
        <w:rPr>
          <w:rFonts w:ascii="Arial" w:eastAsia="Arial" w:hAnsi="Arial" w:cs="Arial"/>
          <w:sz w:val="22"/>
          <w:szCs w:val="22"/>
        </w:rPr>
        <w:t xml:space="preserve"> Gov</w:t>
      </w:r>
      <w:r w:rsidRPr="00BD17CA">
        <w:rPr>
          <w:rFonts w:ascii="Arial" w:eastAsia="Arial" w:hAnsi="Arial" w:cs="Arial"/>
          <w:sz w:val="22"/>
          <w:szCs w:val="22"/>
        </w:rPr>
        <w:t>ern</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P</w:t>
      </w:r>
      <w:r w:rsidRPr="00BD17CA">
        <w:rPr>
          <w:rFonts w:ascii="Arial" w:eastAsia="Arial" w:hAnsi="Arial" w:cs="Arial"/>
          <w:sz w:val="22"/>
          <w:szCs w:val="22"/>
        </w:rPr>
        <w:t>e</w:t>
      </w:r>
      <w:r w:rsidRPr="0046695E">
        <w:rPr>
          <w:rFonts w:ascii="Arial" w:eastAsia="Arial" w:hAnsi="Arial" w:cs="Arial"/>
          <w:sz w:val="22"/>
          <w:szCs w:val="22"/>
        </w:rPr>
        <w:t>nsio</w:t>
      </w:r>
      <w:r w:rsidRPr="00BD17CA">
        <w:rPr>
          <w:rFonts w:ascii="Arial" w:eastAsia="Arial" w:hAnsi="Arial" w:cs="Arial"/>
          <w:sz w:val="22"/>
          <w:szCs w:val="22"/>
        </w:rPr>
        <w:t>n</w:t>
      </w:r>
      <w:r w:rsidRPr="0046695E">
        <w:rPr>
          <w:rFonts w:ascii="Arial" w:eastAsia="Arial" w:hAnsi="Arial" w:cs="Arial"/>
          <w:sz w:val="22"/>
          <w:szCs w:val="22"/>
        </w:rPr>
        <w:t xml:space="preserve"> Sc</w:t>
      </w:r>
      <w:r w:rsidRPr="00BD17CA">
        <w:rPr>
          <w:rFonts w:ascii="Arial" w:eastAsia="Arial" w:hAnsi="Arial" w:cs="Arial"/>
          <w:sz w:val="22"/>
          <w:szCs w:val="22"/>
        </w:rPr>
        <w:t>h</w:t>
      </w:r>
      <w:r w:rsidRPr="0046695E">
        <w:rPr>
          <w:rFonts w:ascii="Arial" w:eastAsia="Arial" w:hAnsi="Arial" w:cs="Arial"/>
          <w:sz w:val="22"/>
          <w:szCs w:val="22"/>
        </w:rPr>
        <w:t>em</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Reg</w:t>
      </w:r>
      <w:r w:rsidRPr="0046695E">
        <w:rPr>
          <w:rFonts w:ascii="Arial" w:eastAsia="Arial" w:hAnsi="Arial" w:cs="Arial"/>
          <w:sz w:val="22"/>
          <w:szCs w:val="22"/>
        </w:rPr>
        <w:t>ul</w:t>
      </w:r>
      <w:r w:rsidRPr="00BD17CA">
        <w:rPr>
          <w:rFonts w:ascii="Arial" w:eastAsia="Arial" w:hAnsi="Arial" w:cs="Arial"/>
          <w:sz w:val="22"/>
          <w:szCs w:val="22"/>
        </w:rPr>
        <w:t>a</w:t>
      </w:r>
      <w:r w:rsidRPr="0046695E">
        <w:rPr>
          <w:rFonts w:ascii="Arial" w:eastAsia="Arial" w:hAnsi="Arial" w:cs="Arial"/>
          <w:sz w:val="22"/>
          <w:szCs w:val="22"/>
        </w:rPr>
        <w:t>ti</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2</w:t>
      </w:r>
      <w:r w:rsidRPr="0046695E">
        <w:rPr>
          <w:rFonts w:ascii="Arial" w:eastAsia="Arial" w:hAnsi="Arial" w:cs="Arial"/>
          <w:sz w:val="22"/>
          <w:szCs w:val="22"/>
        </w:rPr>
        <w:t>0</w:t>
      </w:r>
      <w:r w:rsidRPr="00BD17CA">
        <w:rPr>
          <w:rFonts w:ascii="Arial" w:eastAsia="Arial" w:hAnsi="Arial" w:cs="Arial"/>
          <w:sz w:val="22"/>
          <w:szCs w:val="22"/>
        </w:rPr>
        <w:t>13</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r</w:t>
      </w:r>
      <w:r w:rsidRPr="00BD17CA">
        <w:rPr>
          <w:rFonts w:ascii="Arial" w:eastAsia="Arial" w:hAnsi="Arial" w:cs="Arial"/>
          <w:sz w:val="22"/>
          <w:szCs w:val="22"/>
        </w:rPr>
        <w:t>a</w:t>
      </w:r>
      <w:r w:rsidRPr="0046695E">
        <w:rPr>
          <w:rFonts w:ascii="Arial" w:eastAsia="Arial" w:hAnsi="Arial" w:cs="Arial"/>
          <w:sz w:val="22"/>
          <w:szCs w:val="22"/>
        </w:rPr>
        <w:t>ng</w:t>
      </w:r>
      <w:r w:rsidRPr="00BD17CA">
        <w:rPr>
          <w:rFonts w:ascii="Arial" w:eastAsia="Arial" w:hAnsi="Arial" w:cs="Arial"/>
          <w:sz w:val="22"/>
          <w:szCs w:val="22"/>
        </w:rPr>
        <w:t xml:space="preserve">ed </w:t>
      </w:r>
      <w:r w:rsidRPr="0046695E">
        <w:rPr>
          <w:rFonts w:ascii="Arial" w:eastAsia="Arial" w:hAnsi="Arial" w:cs="Arial"/>
          <w:sz w:val="22"/>
          <w:szCs w:val="22"/>
        </w:rPr>
        <w:t>fro</w:t>
      </w:r>
      <w:r w:rsidRPr="00BD17CA">
        <w:rPr>
          <w:rFonts w:ascii="Arial" w:eastAsia="Arial" w:hAnsi="Arial" w:cs="Arial"/>
          <w:sz w:val="22"/>
          <w:szCs w:val="22"/>
        </w:rPr>
        <w:t>m</w:t>
      </w:r>
      <w:r w:rsidRPr="0046695E">
        <w:rPr>
          <w:rFonts w:ascii="Arial" w:eastAsia="Arial" w:hAnsi="Arial" w:cs="Arial"/>
          <w:sz w:val="22"/>
          <w:szCs w:val="22"/>
        </w:rPr>
        <w:t xml:space="preserve"> </w:t>
      </w:r>
      <w:r w:rsidRPr="00BD17CA">
        <w:rPr>
          <w:rFonts w:ascii="Arial" w:eastAsia="Arial" w:hAnsi="Arial" w:cs="Arial"/>
          <w:sz w:val="22"/>
          <w:szCs w:val="22"/>
        </w:rPr>
        <w:t>5.</w:t>
      </w:r>
      <w:r w:rsidRPr="0046695E">
        <w:rPr>
          <w:rFonts w:ascii="Arial" w:eastAsia="Arial" w:hAnsi="Arial" w:cs="Arial"/>
          <w:sz w:val="22"/>
          <w:szCs w:val="22"/>
        </w:rPr>
        <w:t>5</w:t>
      </w:r>
      <w:r w:rsidRPr="00BD17CA">
        <w:rPr>
          <w:rFonts w:ascii="Arial" w:eastAsia="Arial" w:hAnsi="Arial" w:cs="Arial"/>
          <w:sz w:val="22"/>
          <w:szCs w:val="22"/>
        </w:rPr>
        <w:t>% to</w:t>
      </w:r>
      <w:r w:rsidRPr="0046695E">
        <w:rPr>
          <w:rFonts w:ascii="Arial" w:eastAsia="Arial" w:hAnsi="Arial" w:cs="Arial"/>
          <w:sz w:val="22"/>
          <w:szCs w:val="22"/>
        </w:rPr>
        <w:t xml:space="preserve"> </w:t>
      </w:r>
      <w:r w:rsidRPr="00BD17CA">
        <w:rPr>
          <w:rFonts w:ascii="Arial" w:eastAsia="Arial" w:hAnsi="Arial" w:cs="Arial"/>
          <w:sz w:val="22"/>
          <w:szCs w:val="22"/>
        </w:rPr>
        <w:t>1</w:t>
      </w:r>
      <w:r w:rsidRPr="0046695E">
        <w:rPr>
          <w:rFonts w:ascii="Arial" w:eastAsia="Arial" w:hAnsi="Arial" w:cs="Arial"/>
          <w:sz w:val="22"/>
          <w:szCs w:val="22"/>
        </w:rPr>
        <w:t>2</w:t>
      </w:r>
      <w:r w:rsidRPr="00BD17CA">
        <w:rPr>
          <w:rFonts w:ascii="Arial" w:eastAsia="Arial" w:hAnsi="Arial" w:cs="Arial"/>
          <w:sz w:val="22"/>
          <w:szCs w:val="22"/>
        </w:rPr>
        <w:t>.5%</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w:t>
      </w:r>
      <w:r w:rsidRPr="0046695E">
        <w:rPr>
          <w:rFonts w:ascii="Arial" w:eastAsia="Arial" w:hAnsi="Arial" w:cs="Arial"/>
          <w:sz w:val="22"/>
          <w:szCs w:val="22"/>
        </w:rPr>
        <w:t>na</w:t>
      </w:r>
      <w:r w:rsidRPr="00BD17CA">
        <w:rPr>
          <w:rFonts w:ascii="Arial" w:eastAsia="Arial" w:hAnsi="Arial" w:cs="Arial"/>
          <w:sz w:val="22"/>
          <w:szCs w:val="22"/>
        </w:rPr>
        <w:t>b</w:t>
      </w:r>
      <w:r w:rsidRPr="0046695E">
        <w:rPr>
          <w:rFonts w:ascii="Arial" w:eastAsia="Arial" w:hAnsi="Arial" w:cs="Arial"/>
          <w:sz w:val="22"/>
          <w:szCs w:val="22"/>
        </w:rPr>
        <w:t>l</w:t>
      </w:r>
      <w:r w:rsidRPr="00BD17CA">
        <w:rPr>
          <w:rFonts w:ascii="Arial" w:eastAsia="Arial" w:hAnsi="Arial" w:cs="Arial"/>
          <w:sz w:val="22"/>
          <w:szCs w:val="22"/>
        </w:rPr>
        <w:t xml:space="preserve">e </w:t>
      </w:r>
      <w:r w:rsidRPr="0046695E">
        <w:rPr>
          <w:rFonts w:ascii="Arial" w:eastAsia="Arial" w:hAnsi="Arial" w:cs="Arial"/>
          <w:sz w:val="22"/>
          <w:szCs w:val="22"/>
        </w:rPr>
        <w:t>pa</w:t>
      </w:r>
      <w:r w:rsidRPr="00BD17CA">
        <w:rPr>
          <w:rFonts w:ascii="Arial" w:eastAsia="Arial" w:hAnsi="Arial" w:cs="Arial"/>
          <w:sz w:val="22"/>
          <w:szCs w:val="22"/>
        </w:rPr>
        <w:t>y</w:t>
      </w:r>
      <w:r w:rsidRPr="0046695E">
        <w:rPr>
          <w:rFonts w:ascii="Arial" w:eastAsia="Arial" w:hAnsi="Arial" w:cs="Arial"/>
          <w:sz w:val="22"/>
          <w:szCs w:val="22"/>
        </w:rPr>
        <w:t xml:space="preserve"> f</w:t>
      </w:r>
      <w:r w:rsidRPr="00BD17CA">
        <w:rPr>
          <w:rFonts w:ascii="Arial" w:eastAsia="Arial" w:hAnsi="Arial" w:cs="Arial"/>
          <w:sz w:val="22"/>
          <w:szCs w:val="22"/>
        </w:rPr>
        <w:t>or</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fi</w:t>
      </w:r>
      <w:r w:rsidRPr="00BD17CA">
        <w:rPr>
          <w:rFonts w:ascii="Arial" w:eastAsia="Arial" w:hAnsi="Arial" w:cs="Arial"/>
          <w:sz w:val="22"/>
          <w:szCs w:val="22"/>
        </w:rPr>
        <w:t>n</w:t>
      </w:r>
      <w:r w:rsidRPr="0046695E">
        <w:rPr>
          <w:rFonts w:ascii="Arial" w:eastAsia="Arial" w:hAnsi="Arial" w:cs="Arial"/>
          <w:sz w:val="22"/>
          <w:szCs w:val="22"/>
        </w:rPr>
        <w:t>a</w:t>
      </w:r>
      <w:r w:rsidRPr="00BD17CA">
        <w:rPr>
          <w:rFonts w:ascii="Arial" w:eastAsia="Arial" w:hAnsi="Arial" w:cs="Arial"/>
          <w:sz w:val="22"/>
          <w:szCs w:val="22"/>
        </w:rPr>
        <w:t>n</w:t>
      </w:r>
      <w:r w:rsidRPr="0046695E">
        <w:rPr>
          <w:rFonts w:ascii="Arial" w:eastAsia="Arial" w:hAnsi="Arial" w:cs="Arial"/>
          <w:sz w:val="22"/>
          <w:szCs w:val="22"/>
        </w:rPr>
        <w:t>cia</w:t>
      </w:r>
      <w:r w:rsidRPr="00BD17CA">
        <w:rPr>
          <w:rFonts w:ascii="Arial" w:eastAsia="Arial" w:hAnsi="Arial" w:cs="Arial"/>
          <w:sz w:val="22"/>
          <w:szCs w:val="22"/>
        </w:rPr>
        <w:t>l</w:t>
      </w:r>
      <w:r w:rsidRPr="0046695E">
        <w:rPr>
          <w:rFonts w:ascii="Arial" w:eastAsia="Arial" w:hAnsi="Arial" w:cs="Arial"/>
          <w:sz w:val="22"/>
          <w:szCs w:val="22"/>
        </w:rPr>
        <w:t xml:space="preserve"> y</w:t>
      </w:r>
      <w:r w:rsidRPr="00BD17CA">
        <w:rPr>
          <w:rFonts w:ascii="Arial" w:eastAsia="Arial" w:hAnsi="Arial" w:cs="Arial"/>
          <w:sz w:val="22"/>
          <w:szCs w:val="22"/>
        </w:rPr>
        <w:t>e</w:t>
      </w:r>
      <w:r w:rsidRPr="0046695E">
        <w:rPr>
          <w:rFonts w:ascii="Arial" w:eastAsia="Arial" w:hAnsi="Arial" w:cs="Arial"/>
          <w:sz w:val="22"/>
          <w:szCs w:val="22"/>
        </w:rPr>
        <w:t>a</w:t>
      </w:r>
      <w:r w:rsidRPr="00BD17CA">
        <w:rPr>
          <w:rFonts w:ascii="Arial" w:eastAsia="Arial" w:hAnsi="Arial" w:cs="Arial"/>
          <w:sz w:val="22"/>
          <w:szCs w:val="22"/>
        </w:rPr>
        <w:t>r</w:t>
      </w:r>
      <w:r w:rsidRPr="0046695E">
        <w:rPr>
          <w:rFonts w:ascii="Arial" w:eastAsia="Arial" w:hAnsi="Arial" w:cs="Arial"/>
          <w:sz w:val="22"/>
          <w:szCs w:val="22"/>
        </w:rPr>
        <w:t xml:space="preserve"> e</w:t>
      </w:r>
      <w:r w:rsidRPr="00BD17CA">
        <w:rPr>
          <w:rFonts w:ascii="Arial" w:eastAsia="Arial" w:hAnsi="Arial" w:cs="Arial"/>
          <w:sz w:val="22"/>
          <w:szCs w:val="22"/>
        </w:rPr>
        <w:t>n</w:t>
      </w:r>
      <w:r w:rsidRPr="0046695E">
        <w:rPr>
          <w:rFonts w:ascii="Arial" w:eastAsia="Arial" w:hAnsi="Arial" w:cs="Arial"/>
          <w:sz w:val="22"/>
          <w:szCs w:val="22"/>
        </w:rPr>
        <w:t>di</w:t>
      </w:r>
      <w:r w:rsidRPr="00BD17CA">
        <w:rPr>
          <w:rFonts w:ascii="Arial" w:eastAsia="Arial" w:hAnsi="Arial" w:cs="Arial"/>
          <w:sz w:val="22"/>
          <w:szCs w:val="22"/>
        </w:rPr>
        <w:t>ng</w:t>
      </w:r>
      <w:r w:rsidRPr="0046695E">
        <w:rPr>
          <w:rFonts w:ascii="Arial" w:eastAsia="Arial" w:hAnsi="Arial" w:cs="Arial"/>
          <w:sz w:val="22"/>
          <w:szCs w:val="22"/>
        </w:rPr>
        <w:t xml:space="preserve"> </w:t>
      </w:r>
      <w:r w:rsidRPr="00BD17CA">
        <w:rPr>
          <w:rFonts w:ascii="Arial" w:eastAsia="Arial" w:hAnsi="Arial" w:cs="Arial"/>
          <w:sz w:val="22"/>
          <w:szCs w:val="22"/>
        </w:rPr>
        <w:t>31</w:t>
      </w:r>
      <w:r w:rsidRPr="0046695E">
        <w:rPr>
          <w:rFonts w:ascii="Arial" w:eastAsia="Arial" w:hAnsi="Arial" w:cs="Arial"/>
          <w:sz w:val="22"/>
          <w:szCs w:val="22"/>
        </w:rPr>
        <w:t xml:space="preserve"> </w:t>
      </w:r>
      <w:r w:rsidRPr="00BD17CA">
        <w:rPr>
          <w:rFonts w:ascii="Arial" w:eastAsia="Arial" w:hAnsi="Arial" w:cs="Arial"/>
          <w:sz w:val="22"/>
          <w:szCs w:val="22"/>
        </w:rPr>
        <w:t>M</w:t>
      </w:r>
      <w:r w:rsidRPr="0046695E">
        <w:rPr>
          <w:rFonts w:ascii="Arial" w:eastAsia="Arial" w:hAnsi="Arial" w:cs="Arial"/>
          <w:sz w:val="22"/>
          <w:szCs w:val="22"/>
        </w:rPr>
        <w:t>arc</w:t>
      </w:r>
      <w:r w:rsidRPr="00BD17CA">
        <w:rPr>
          <w:rFonts w:ascii="Arial" w:eastAsia="Arial" w:hAnsi="Arial" w:cs="Arial"/>
          <w:sz w:val="22"/>
          <w:szCs w:val="22"/>
        </w:rPr>
        <w:t>h</w:t>
      </w:r>
      <w:r w:rsidRPr="0046695E">
        <w:rPr>
          <w:rFonts w:ascii="Arial" w:eastAsia="Arial" w:hAnsi="Arial" w:cs="Arial"/>
          <w:sz w:val="22"/>
          <w:szCs w:val="22"/>
        </w:rPr>
        <w:t xml:space="preserve"> </w:t>
      </w:r>
      <w:r w:rsidR="005F5E71">
        <w:rPr>
          <w:rFonts w:ascii="Arial" w:eastAsia="Arial" w:hAnsi="Arial" w:cs="Arial"/>
          <w:sz w:val="22"/>
          <w:szCs w:val="22"/>
        </w:rPr>
        <w:t>2020</w:t>
      </w:r>
      <w:r w:rsidRPr="00BD17CA">
        <w:rPr>
          <w:rFonts w:ascii="Arial" w:eastAsia="Arial" w:hAnsi="Arial" w:cs="Arial"/>
          <w:sz w:val="22"/>
          <w:szCs w:val="22"/>
        </w:rPr>
        <w:t>.</w:t>
      </w:r>
      <w:r w:rsidRPr="0046695E">
        <w:rPr>
          <w:rFonts w:ascii="Arial" w:eastAsia="Arial" w:hAnsi="Arial" w:cs="Arial"/>
          <w:sz w:val="22"/>
          <w:szCs w:val="22"/>
        </w:rPr>
        <w:t xml:space="preserve"> Em</w:t>
      </w:r>
      <w:r w:rsidRPr="00BD17CA">
        <w:rPr>
          <w:rFonts w:ascii="Arial" w:eastAsia="Arial" w:hAnsi="Arial" w:cs="Arial"/>
          <w:sz w:val="22"/>
          <w:szCs w:val="22"/>
        </w:rPr>
        <w:t>p</w:t>
      </w:r>
      <w:r w:rsidRPr="0046695E">
        <w:rPr>
          <w:rFonts w:ascii="Arial" w:eastAsia="Arial" w:hAnsi="Arial" w:cs="Arial"/>
          <w:sz w:val="22"/>
          <w:szCs w:val="22"/>
        </w:rPr>
        <w:t>loy</w:t>
      </w:r>
      <w:r w:rsidRPr="00BD17CA">
        <w:rPr>
          <w:rFonts w:ascii="Arial" w:eastAsia="Arial" w:hAnsi="Arial" w:cs="Arial"/>
          <w:sz w:val="22"/>
          <w:szCs w:val="22"/>
        </w:rPr>
        <w:t>er</w:t>
      </w:r>
      <w:r w:rsidRPr="0046695E">
        <w:rPr>
          <w:rFonts w:ascii="Arial" w:eastAsia="Arial" w:hAnsi="Arial" w:cs="Arial"/>
          <w:sz w:val="22"/>
          <w:szCs w:val="22"/>
        </w:rPr>
        <w:t>s</w:t>
      </w:r>
      <w:r w:rsidRPr="00BD17CA">
        <w:rPr>
          <w:rFonts w:ascii="Arial" w:eastAsia="Arial" w:hAnsi="Arial" w:cs="Arial"/>
          <w:sz w:val="22"/>
          <w:szCs w:val="22"/>
        </w:rPr>
        <w:t>'</w:t>
      </w:r>
      <w:r w:rsidRPr="0046695E">
        <w:rPr>
          <w:rFonts w:ascii="Arial" w:eastAsia="Arial" w:hAnsi="Arial" w:cs="Arial"/>
          <w:sz w:val="22"/>
          <w:szCs w:val="22"/>
        </w:rPr>
        <w:t xml:space="preserve"> c</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ri</w:t>
      </w:r>
      <w:r w:rsidRPr="00BD17CA">
        <w:rPr>
          <w:rFonts w:ascii="Arial" w:eastAsia="Arial" w:hAnsi="Arial" w:cs="Arial"/>
          <w:sz w:val="22"/>
          <w:szCs w:val="22"/>
        </w:rPr>
        <w:t>b</w:t>
      </w:r>
      <w:r w:rsidRPr="0046695E">
        <w:rPr>
          <w:rFonts w:ascii="Arial" w:eastAsia="Arial" w:hAnsi="Arial" w:cs="Arial"/>
          <w:sz w:val="22"/>
          <w:szCs w:val="22"/>
        </w:rPr>
        <w:t>utio</w:t>
      </w:r>
      <w:r w:rsidRPr="00BD17CA">
        <w:rPr>
          <w:rFonts w:ascii="Arial" w:eastAsia="Arial" w:hAnsi="Arial" w:cs="Arial"/>
          <w:sz w:val="22"/>
          <w:szCs w:val="22"/>
        </w:rPr>
        <w:t>ns are</w:t>
      </w:r>
      <w:r w:rsidRPr="0046695E">
        <w:rPr>
          <w:rFonts w:ascii="Arial" w:eastAsia="Arial" w:hAnsi="Arial" w:cs="Arial"/>
          <w:sz w:val="22"/>
          <w:szCs w:val="22"/>
        </w:rPr>
        <w:t xml:space="preserve"> s</w:t>
      </w:r>
      <w:r w:rsidRPr="00BD17CA">
        <w:rPr>
          <w:rFonts w:ascii="Arial" w:eastAsia="Arial" w:hAnsi="Arial" w:cs="Arial"/>
          <w:sz w:val="22"/>
          <w:szCs w:val="22"/>
        </w:rPr>
        <w:t>et b</w:t>
      </w:r>
      <w:r w:rsidRPr="0046695E">
        <w:rPr>
          <w:rFonts w:ascii="Arial" w:eastAsia="Arial" w:hAnsi="Arial" w:cs="Arial"/>
          <w:sz w:val="22"/>
          <w:szCs w:val="22"/>
        </w:rPr>
        <w:t>as</w:t>
      </w:r>
      <w:r w:rsidRPr="00BD17CA">
        <w:rPr>
          <w:rFonts w:ascii="Arial" w:eastAsia="Arial" w:hAnsi="Arial" w:cs="Arial"/>
          <w:sz w:val="22"/>
          <w:szCs w:val="22"/>
        </w:rPr>
        <w:t>ed</w:t>
      </w:r>
      <w:r w:rsidRPr="0046695E">
        <w:rPr>
          <w:rFonts w:ascii="Arial" w:eastAsia="Arial" w:hAnsi="Arial" w:cs="Arial"/>
          <w:sz w:val="22"/>
          <w:szCs w:val="22"/>
        </w:rPr>
        <w:t xml:space="preserve"> o</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tr</w:t>
      </w:r>
      <w:r w:rsidRPr="0046695E">
        <w:rPr>
          <w:rFonts w:ascii="Arial" w:eastAsia="Arial" w:hAnsi="Arial" w:cs="Arial"/>
          <w:sz w:val="22"/>
          <w:szCs w:val="22"/>
        </w:rPr>
        <w:t>i</w:t>
      </w:r>
      <w:r w:rsidRPr="00BD17CA">
        <w:rPr>
          <w:rFonts w:ascii="Arial" w:eastAsia="Arial" w:hAnsi="Arial" w:cs="Arial"/>
          <w:sz w:val="22"/>
          <w:szCs w:val="22"/>
        </w:rPr>
        <w:t>e</w:t>
      </w:r>
      <w:r w:rsidRPr="0046695E">
        <w:rPr>
          <w:rFonts w:ascii="Arial" w:eastAsia="Arial" w:hAnsi="Arial" w:cs="Arial"/>
          <w:sz w:val="22"/>
          <w:szCs w:val="22"/>
        </w:rPr>
        <w:t>nnia</w:t>
      </w:r>
      <w:r w:rsidRPr="00BD17CA">
        <w:rPr>
          <w:rFonts w:ascii="Arial" w:eastAsia="Arial" w:hAnsi="Arial" w:cs="Arial"/>
          <w:sz w:val="22"/>
          <w:szCs w:val="22"/>
        </w:rPr>
        <w:t>l</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w:t>
      </w:r>
      <w:r w:rsidRPr="00BD17CA">
        <w:rPr>
          <w:rFonts w:ascii="Arial" w:eastAsia="Arial" w:hAnsi="Arial" w:cs="Arial"/>
          <w:sz w:val="22"/>
          <w:szCs w:val="22"/>
        </w:rPr>
        <w:t>t</w:t>
      </w:r>
      <w:r w:rsidRPr="0046695E">
        <w:rPr>
          <w:rFonts w:ascii="Arial" w:eastAsia="Arial" w:hAnsi="Arial" w:cs="Arial"/>
          <w:sz w:val="22"/>
          <w:szCs w:val="22"/>
        </w:rPr>
        <w:t>u</w:t>
      </w:r>
      <w:r w:rsidRPr="00BD17CA">
        <w:rPr>
          <w:rFonts w:ascii="Arial" w:eastAsia="Arial" w:hAnsi="Arial" w:cs="Arial"/>
          <w:sz w:val="22"/>
          <w:szCs w:val="22"/>
        </w:rPr>
        <w:t>ari</w:t>
      </w:r>
      <w:r w:rsidRPr="0046695E">
        <w:rPr>
          <w:rFonts w:ascii="Arial" w:eastAsia="Arial" w:hAnsi="Arial" w:cs="Arial"/>
          <w:sz w:val="22"/>
          <w:szCs w:val="22"/>
        </w:rPr>
        <w:t>a</w:t>
      </w:r>
      <w:r w:rsidRPr="00BD17CA">
        <w:rPr>
          <w:rFonts w:ascii="Arial" w:eastAsia="Arial" w:hAnsi="Arial" w:cs="Arial"/>
          <w:sz w:val="22"/>
          <w:szCs w:val="22"/>
        </w:rPr>
        <w:t>l</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i</w:t>
      </w:r>
      <w:r w:rsidRPr="00BD17CA">
        <w:rPr>
          <w:rFonts w:ascii="Arial" w:eastAsia="Arial" w:hAnsi="Arial" w:cs="Arial"/>
          <w:sz w:val="22"/>
          <w:szCs w:val="22"/>
        </w:rPr>
        <w:t>ng</w:t>
      </w:r>
      <w:r w:rsidRPr="0046695E">
        <w:rPr>
          <w:rFonts w:ascii="Arial" w:eastAsia="Arial" w:hAnsi="Arial" w:cs="Arial"/>
          <w:sz w:val="22"/>
          <w:szCs w:val="22"/>
        </w:rPr>
        <w:t xml:space="preserve"> val</w:t>
      </w:r>
      <w:r w:rsidRPr="00BD17CA">
        <w:rPr>
          <w:rFonts w:ascii="Arial" w:eastAsia="Arial" w:hAnsi="Arial" w:cs="Arial"/>
          <w:sz w:val="22"/>
          <w:szCs w:val="22"/>
        </w:rPr>
        <w:t>u</w:t>
      </w:r>
      <w:r w:rsidRPr="0046695E">
        <w:rPr>
          <w:rFonts w:ascii="Arial" w:eastAsia="Arial" w:hAnsi="Arial" w:cs="Arial"/>
          <w:sz w:val="22"/>
          <w:szCs w:val="22"/>
        </w:rPr>
        <w:t>atio</w:t>
      </w:r>
      <w:r w:rsidRPr="00BD17CA">
        <w:rPr>
          <w:rFonts w:ascii="Arial" w:eastAsia="Arial" w:hAnsi="Arial" w:cs="Arial"/>
          <w:sz w:val="22"/>
          <w:szCs w:val="22"/>
        </w:rPr>
        <w:t>n</w:t>
      </w:r>
      <w:r w:rsidRPr="0046695E">
        <w:rPr>
          <w:rFonts w:ascii="Arial" w:eastAsia="Arial" w:hAnsi="Arial" w:cs="Arial"/>
          <w:sz w:val="22"/>
          <w:szCs w:val="22"/>
        </w:rPr>
        <w:t>s</w:t>
      </w:r>
      <w:r w:rsidRPr="00BD17CA">
        <w:rPr>
          <w:rFonts w:ascii="Arial" w:eastAsia="Arial" w:hAnsi="Arial" w:cs="Arial"/>
          <w:sz w:val="22"/>
          <w:szCs w:val="22"/>
        </w:rPr>
        <w:t>.</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l</w:t>
      </w:r>
      <w:r w:rsidRPr="00BD17CA">
        <w:rPr>
          <w:rFonts w:ascii="Arial" w:eastAsia="Arial" w:hAnsi="Arial" w:cs="Arial"/>
          <w:sz w:val="22"/>
          <w:szCs w:val="22"/>
        </w:rPr>
        <w:t>a</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 xml:space="preserve"> s</w:t>
      </w:r>
      <w:r w:rsidRPr="00BD17CA">
        <w:rPr>
          <w:rFonts w:ascii="Arial" w:eastAsia="Arial" w:hAnsi="Arial" w:cs="Arial"/>
          <w:sz w:val="22"/>
          <w:szCs w:val="22"/>
        </w:rPr>
        <w:t>u</w:t>
      </w:r>
      <w:r w:rsidRPr="0046695E">
        <w:rPr>
          <w:rFonts w:ascii="Arial" w:eastAsia="Arial" w:hAnsi="Arial" w:cs="Arial"/>
          <w:sz w:val="22"/>
          <w:szCs w:val="22"/>
        </w:rPr>
        <w:t>c</w:t>
      </w:r>
      <w:r w:rsidRPr="00BD17CA">
        <w:rPr>
          <w:rFonts w:ascii="Arial" w:eastAsia="Arial" w:hAnsi="Arial" w:cs="Arial"/>
          <w:sz w:val="22"/>
          <w:szCs w:val="22"/>
        </w:rPr>
        <w:t>h</w:t>
      </w:r>
      <w:r w:rsidRPr="0046695E">
        <w:rPr>
          <w:rFonts w:ascii="Arial" w:eastAsia="Arial" w:hAnsi="Arial" w:cs="Arial"/>
          <w:sz w:val="22"/>
          <w:szCs w:val="22"/>
        </w:rPr>
        <w:t xml:space="preserve"> val</w:t>
      </w:r>
      <w:r w:rsidRPr="00BD17CA">
        <w:rPr>
          <w:rFonts w:ascii="Arial" w:eastAsia="Arial" w:hAnsi="Arial" w:cs="Arial"/>
          <w:sz w:val="22"/>
          <w:szCs w:val="22"/>
        </w:rPr>
        <w:t>u</w:t>
      </w:r>
      <w:r w:rsidRPr="0046695E">
        <w:rPr>
          <w:rFonts w:ascii="Arial" w:eastAsia="Arial" w:hAnsi="Arial" w:cs="Arial"/>
          <w:sz w:val="22"/>
          <w:szCs w:val="22"/>
        </w:rPr>
        <w:t>a</w:t>
      </w:r>
      <w:r w:rsidRPr="00BD17CA">
        <w:rPr>
          <w:rFonts w:ascii="Arial" w:eastAsia="Arial" w:hAnsi="Arial" w:cs="Arial"/>
          <w:sz w:val="22"/>
          <w:szCs w:val="22"/>
        </w:rPr>
        <w:t>t</w:t>
      </w:r>
      <w:r w:rsidRPr="0046695E">
        <w:rPr>
          <w:rFonts w:ascii="Arial" w:eastAsia="Arial" w:hAnsi="Arial" w:cs="Arial"/>
          <w:sz w:val="22"/>
          <w:szCs w:val="22"/>
        </w:rPr>
        <w:t>i</w:t>
      </w:r>
      <w:r w:rsidRPr="00BD17CA">
        <w:rPr>
          <w:rFonts w:ascii="Arial" w:eastAsia="Arial" w:hAnsi="Arial" w:cs="Arial"/>
          <w:sz w:val="22"/>
          <w:szCs w:val="22"/>
        </w:rPr>
        <w:t>on</w:t>
      </w:r>
      <w:r w:rsidRPr="0046695E">
        <w:rPr>
          <w:rFonts w:ascii="Arial" w:eastAsia="Arial" w:hAnsi="Arial" w:cs="Arial"/>
          <w:sz w:val="22"/>
          <w:szCs w:val="22"/>
        </w:rPr>
        <w:t xml:space="preserve"> w</w:t>
      </w:r>
      <w:r w:rsidRPr="00BD17CA">
        <w:rPr>
          <w:rFonts w:ascii="Arial" w:eastAsia="Arial" w:hAnsi="Arial" w:cs="Arial"/>
          <w:sz w:val="22"/>
          <w:szCs w:val="22"/>
        </w:rPr>
        <w:t>as</w:t>
      </w:r>
      <w:r w:rsidRPr="0046695E">
        <w:rPr>
          <w:rFonts w:ascii="Arial" w:eastAsia="Arial" w:hAnsi="Arial" w:cs="Arial"/>
          <w:sz w:val="22"/>
          <w:szCs w:val="22"/>
        </w:rPr>
        <w:t xml:space="preserve"> a</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31</w:t>
      </w:r>
      <w:r w:rsidRPr="0046695E">
        <w:rPr>
          <w:rFonts w:ascii="Arial" w:eastAsia="Arial" w:hAnsi="Arial" w:cs="Arial"/>
          <w:sz w:val="22"/>
          <w:szCs w:val="22"/>
        </w:rPr>
        <w:t xml:space="preserve"> </w:t>
      </w:r>
      <w:r w:rsidRPr="00BD17CA">
        <w:rPr>
          <w:rFonts w:ascii="Arial" w:eastAsia="Arial" w:hAnsi="Arial" w:cs="Arial"/>
          <w:sz w:val="22"/>
          <w:szCs w:val="22"/>
        </w:rPr>
        <w:t>M</w:t>
      </w:r>
      <w:r w:rsidRPr="0046695E">
        <w:rPr>
          <w:rFonts w:ascii="Arial" w:eastAsia="Arial" w:hAnsi="Arial" w:cs="Arial"/>
          <w:sz w:val="22"/>
          <w:szCs w:val="22"/>
        </w:rPr>
        <w:t>arc</w:t>
      </w:r>
      <w:r w:rsidRPr="00BD17CA">
        <w:rPr>
          <w:rFonts w:ascii="Arial" w:eastAsia="Arial" w:hAnsi="Arial" w:cs="Arial"/>
          <w:sz w:val="22"/>
          <w:szCs w:val="22"/>
        </w:rPr>
        <w:t>h</w:t>
      </w:r>
      <w:r w:rsidRPr="0046695E">
        <w:rPr>
          <w:rFonts w:ascii="Arial" w:eastAsia="Arial" w:hAnsi="Arial" w:cs="Arial"/>
          <w:sz w:val="22"/>
          <w:szCs w:val="22"/>
        </w:rPr>
        <w:t xml:space="preserve"> </w:t>
      </w:r>
      <w:r w:rsidRPr="00BD17CA">
        <w:rPr>
          <w:rFonts w:ascii="Arial" w:eastAsia="Arial" w:hAnsi="Arial" w:cs="Arial"/>
          <w:sz w:val="22"/>
          <w:szCs w:val="22"/>
        </w:rPr>
        <w:t>2</w:t>
      </w:r>
      <w:r w:rsidRPr="0046695E">
        <w:rPr>
          <w:rFonts w:ascii="Arial" w:eastAsia="Arial" w:hAnsi="Arial" w:cs="Arial"/>
          <w:sz w:val="22"/>
          <w:szCs w:val="22"/>
        </w:rPr>
        <w:t>01</w:t>
      </w:r>
      <w:r w:rsidRPr="00BD17CA">
        <w:rPr>
          <w:rFonts w:ascii="Arial" w:eastAsia="Arial" w:hAnsi="Arial" w:cs="Arial"/>
          <w:sz w:val="22"/>
          <w:szCs w:val="22"/>
        </w:rPr>
        <w:t>6.   Cur</w:t>
      </w:r>
      <w:r w:rsidRPr="0046695E">
        <w:rPr>
          <w:rFonts w:ascii="Arial" w:eastAsia="Arial" w:hAnsi="Arial" w:cs="Arial"/>
          <w:sz w:val="22"/>
          <w:szCs w:val="22"/>
        </w:rPr>
        <w:t>re</w:t>
      </w:r>
      <w:r w:rsidRPr="00BD17CA">
        <w:rPr>
          <w:rFonts w:ascii="Arial" w:eastAsia="Arial" w:hAnsi="Arial" w:cs="Arial"/>
          <w:sz w:val="22"/>
          <w:szCs w:val="22"/>
        </w:rPr>
        <w:t>nt</w:t>
      </w:r>
      <w:r w:rsidRPr="0046695E">
        <w:rPr>
          <w:rFonts w:ascii="Arial" w:eastAsia="Arial" w:hAnsi="Arial" w:cs="Arial"/>
          <w:sz w:val="22"/>
          <w:szCs w:val="22"/>
        </w:rPr>
        <w:t>ly</w:t>
      </w:r>
      <w:r w:rsidRPr="00BD17CA">
        <w:rPr>
          <w:rFonts w:ascii="Arial" w:eastAsia="Arial" w:hAnsi="Arial" w:cs="Arial"/>
          <w:sz w:val="22"/>
          <w:szCs w:val="22"/>
        </w:rPr>
        <w:t>, e</w:t>
      </w:r>
      <w:r w:rsidRPr="0046695E">
        <w:rPr>
          <w:rFonts w:ascii="Arial" w:eastAsia="Arial" w:hAnsi="Arial" w:cs="Arial"/>
          <w:sz w:val="22"/>
          <w:szCs w:val="22"/>
        </w:rPr>
        <w:t>m</w:t>
      </w:r>
      <w:r w:rsidRPr="00BD17CA">
        <w:rPr>
          <w:rFonts w:ascii="Arial" w:eastAsia="Arial" w:hAnsi="Arial" w:cs="Arial"/>
          <w:sz w:val="22"/>
          <w:szCs w:val="22"/>
        </w:rPr>
        <w:t>p</w:t>
      </w:r>
      <w:r w:rsidRPr="0046695E">
        <w:rPr>
          <w:rFonts w:ascii="Arial" w:eastAsia="Arial" w:hAnsi="Arial" w:cs="Arial"/>
          <w:sz w:val="22"/>
          <w:szCs w:val="22"/>
        </w:rPr>
        <w:t>loy</w:t>
      </w:r>
      <w:r w:rsidRPr="00BD17CA">
        <w:rPr>
          <w:rFonts w:ascii="Arial" w:eastAsia="Arial" w:hAnsi="Arial" w:cs="Arial"/>
          <w:sz w:val="22"/>
          <w:szCs w:val="22"/>
        </w:rPr>
        <w:t>er</w:t>
      </w:r>
      <w:r w:rsidRPr="0046695E">
        <w:rPr>
          <w:rFonts w:ascii="Arial" w:eastAsia="Arial" w:hAnsi="Arial" w:cs="Arial"/>
          <w:sz w:val="22"/>
          <w:szCs w:val="22"/>
        </w:rPr>
        <w:t xml:space="preserve"> c</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r</w:t>
      </w:r>
      <w:r w:rsidRPr="00BD17CA">
        <w:rPr>
          <w:rFonts w:ascii="Arial" w:eastAsia="Arial" w:hAnsi="Arial" w:cs="Arial"/>
          <w:sz w:val="22"/>
          <w:szCs w:val="22"/>
        </w:rPr>
        <w:t>ib</w:t>
      </w:r>
      <w:r w:rsidRPr="0046695E">
        <w:rPr>
          <w:rFonts w:ascii="Arial" w:eastAsia="Arial" w:hAnsi="Arial" w:cs="Arial"/>
          <w:sz w:val="22"/>
          <w:szCs w:val="22"/>
        </w:rPr>
        <w:t>u</w:t>
      </w:r>
      <w:r w:rsidRPr="00BD17CA">
        <w:rPr>
          <w:rFonts w:ascii="Arial" w:eastAsia="Arial" w:hAnsi="Arial" w:cs="Arial"/>
          <w:sz w:val="22"/>
          <w:szCs w:val="22"/>
        </w:rPr>
        <w:t>t</w:t>
      </w:r>
      <w:r w:rsidRPr="0046695E">
        <w:rPr>
          <w:rFonts w:ascii="Arial" w:eastAsia="Arial" w:hAnsi="Arial" w:cs="Arial"/>
          <w:sz w:val="22"/>
          <w:szCs w:val="22"/>
        </w:rPr>
        <w:t>io</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ra</w:t>
      </w:r>
      <w:r w:rsidRPr="0046695E">
        <w:rPr>
          <w:rFonts w:ascii="Arial" w:eastAsia="Arial" w:hAnsi="Arial" w:cs="Arial"/>
          <w:sz w:val="22"/>
          <w:szCs w:val="22"/>
        </w:rPr>
        <w:t>t</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ra</w:t>
      </w:r>
      <w:r w:rsidRPr="0046695E">
        <w:rPr>
          <w:rFonts w:ascii="Arial" w:eastAsia="Arial" w:hAnsi="Arial" w:cs="Arial"/>
          <w:sz w:val="22"/>
          <w:szCs w:val="22"/>
        </w:rPr>
        <w:t>n</w:t>
      </w:r>
      <w:r w:rsidRPr="00BD17CA">
        <w:rPr>
          <w:rFonts w:ascii="Arial" w:eastAsia="Arial" w:hAnsi="Arial" w:cs="Arial"/>
          <w:sz w:val="22"/>
          <w:szCs w:val="22"/>
        </w:rPr>
        <w:t>ge</w:t>
      </w:r>
      <w:r w:rsidRPr="0046695E">
        <w:rPr>
          <w:rFonts w:ascii="Arial" w:eastAsia="Arial" w:hAnsi="Arial" w:cs="Arial"/>
          <w:sz w:val="22"/>
          <w:szCs w:val="22"/>
        </w:rPr>
        <w:t xml:space="preserve"> fr</w:t>
      </w:r>
      <w:r w:rsidRPr="00BD17CA">
        <w:rPr>
          <w:rFonts w:ascii="Arial" w:eastAsia="Arial" w:hAnsi="Arial" w:cs="Arial"/>
          <w:sz w:val="22"/>
          <w:szCs w:val="22"/>
        </w:rPr>
        <w:t>om 7</w:t>
      </w:r>
      <w:r w:rsidRPr="0046695E">
        <w:rPr>
          <w:rFonts w:ascii="Arial" w:eastAsia="Arial" w:hAnsi="Arial" w:cs="Arial"/>
          <w:sz w:val="22"/>
          <w:szCs w:val="22"/>
        </w:rPr>
        <w:t>.</w:t>
      </w:r>
      <w:r w:rsidRPr="00BD17CA">
        <w:rPr>
          <w:rFonts w:ascii="Arial" w:eastAsia="Arial" w:hAnsi="Arial" w:cs="Arial"/>
          <w:sz w:val="22"/>
          <w:szCs w:val="22"/>
        </w:rPr>
        <w:t>5%</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2</w:t>
      </w:r>
      <w:r w:rsidRPr="00BD17CA">
        <w:rPr>
          <w:rFonts w:ascii="Arial" w:eastAsia="Arial" w:hAnsi="Arial" w:cs="Arial"/>
          <w:sz w:val="22"/>
          <w:szCs w:val="22"/>
        </w:rPr>
        <w:t>2%</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w:t>
      </w:r>
      <w:r w:rsidRPr="0046695E">
        <w:rPr>
          <w:rFonts w:ascii="Arial" w:eastAsia="Arial" w:hAnsi="Arial" w:cs="Arial"/>
          <w:sz w:val="22"/>
          <w:szCs w:val="22"/>
        </w:rPr>
        <w:t>na</w:t>
      </w:r>
      <w:r w:rsidRPr="00BD17CA">
        <w:rPr>
          <w:rFonts w:ascii="Arial" w:eastAsia="Arial" w:hAnsi="Arial" w:cs="Arial"/>
          <w:sz w:val="22"/>
          <w:szCs w:val="22"/>
        </w:rPr>
        <w:t>b</w:t>
      </w:r>
      <w:r w:rsidRPr="0046695E">
        <w:rPr>
          <w:rFonts w:ascii="Arial" w:eastAsia="Arial" w:hAnsi="Arial" w:cs="Arial"/>
          <w:sz w:val="22"/>
          <w:szCs w:val="22"/>
        </w:rPr>
        <w:t>l</w:t>
      </w:r>
      <w:r w:rsidRPr="00BD17CA">
        <w:rPr>
          <w:rFonts w:ascii="Arial" w:eastAsia="Arial" w:hAnsi="Arial" w:cs="Arial"/>
          <w:sz w:val="22"/>
          <w:szCs w:val="22"/>
        </w:rPr>
        <w:t>e</w:t>
      </w:r>
      <w:r w:rsidRPr="0046695E">
        <w:rPr>
          <w:rFonts w:ascii="Arial" w:eastAsia="Arial" w:hAnsi="Arial" w:cs="Arial"/>
          <w:sz w:val="22"/>
          <w:szCs w:val="22"/>
        </w:rPr>
        <w:t xml:space="preserve"> pay</w:t>
      </w:r>
      <w:r w:rsidRPr="00BD17CA">
        <w:rPr>
          <w:rFonts w:ascii="Arial" w:eastAsia="Arial" w:hAnsi="Arial" w:cs="Arial"/>
          <w:sz w:val="22"/>
          <w:szCs w:val="22"/>
        </w:rPr>
        <w:t>.</w:t>
      </w:r>
      <w:r w:rsidR="005F5E71">
        <w:rPr>
          <w:rFonts w:ascii="Arial" w:eastAsia="Arial" w:hAnsi="Arial" w:cs="Arial"/>
          <w:sz w:val="22"/>
          <w:szCs w:val="22"/>
        </w:rPr>
        <w:t xml:space="preserve"> New employer rates will be payable from 1 April 2020 ranging from </w:t>
      </w:r>
      <w:commentRangeStart w:id="0"/>
      <w:r w:rsidR="005F5E71">
        <w:rPr>
          <w:rFonts w:ascii="Arial" w:eastAsia="Arial" w:hAnsi="Arial" w:cs="Arial"/>
          <w:sz w:val="22"/>
          <w:szCs w:val="22"/>
        </w:rPr>
        <w:t xml:space="preserve">1.5% </w:t>
      </w:r>
      <w:commentRangeEnd w:id="0"/>
      <w:r w:rsidR="00D01566">
        <w:rPr>
          <w:rStyle w:val="CommentReference"/>
        </w:rPr>
        <w:commentReference w:id="0"/>
      </w:r>
      <w:r w:rsidR="005F5E71">
        <w:rPr>
          <w:rFonts w:ascii="Arial" w:eastAsia="Arial" w:hAnsi="Arial" w:cs="Arial"/>
          <w:sz w:val="22"/>
          <w:szCs w:val="22"/>
        </w:rPr>
        <w:t xml:space="preserve">to </w:t>
      </w:r>
      <w:commentRangeStart w:id="1"/>
      <w:r w:rsidR="005F5E71">
        <w:rPr>
          <w:rFonts w:ascii="Arial" w:eastAsia="Arial" w:hAnsi="Arial" w:cs="Arial"/>
          <w:sz w:val="22"/>
          <w:szCs w:val="22"/>
        </w:rPr>
        <w:t>28.1%.</w:t>
      </w:r>
      <w:commentRangeEnd w:id="1"/>
      <w:r w:rsidR="005F5E71">
        <w:rPr>
          <w:rStyle w:val="CommentReference"/>
        </w:rPr>
        <w:commentReference w:id="1"/>
      </w:r>
    </w:p>
    <w:p w14:paraId="04165392" w14:textId="77777777" w:rsidR="009C7422" w:rsidRP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d)</w:t>
      </w:r>
      <w:r w:rsidRPr="0046695E">
        <w:rPr>
          <w:rFonts w:ascii="Arial" w:eastAsia="Arial" w:hAnsi="Arial" w:cs="Arial"/>
          <w:b/>
          <w:sz w:val="22"/>
          <w:szCs w:val="22"/>
        </w:rPr>
        <w:t xml:space="preserve"> </w:t>
      </w:r>
      <w:r w:rsidRPr="00BD17CA">
        <w:rPr>
          <w:rFonts w:ascii="Arial" w:eastAsia="Arial" w:hAnsi="Arial" w:cs="Arial"/>
          <w:b/>
          <w:sz w:val="22"/>
          <w:szCs w:val="22"/>
        </w:rPr>
        <w:t>Bene</w:t>
      </w:r>
      <w:r w:rsidRPr="0046695E">
        <w:rPr>
          <w:rFonts w:ascii="Arial" w:eastAsia="Arial" w:hAnsi="Arial" w:cs="Arial"/>
          <w:b/>
          <w:sz w:val="22"/>
          <w:szCs w:val="22"/>
        </w:rPr>
        <w:t>f</w:t>
      </w:r>
      <w:r w:rsidRPr="00BD17CA">
        <w:rPr>
          <w:rFonts w:ascii="Arial" w:eastAsia="Arial" w:hAnsi="Arial" w:cs="Arial"/>
          <w:b/>
          <w:sz w:val="22"/>
          <w:szCs w:val="22"/>
        </w:rPr>
        <w:t>its</w:t>
      </w:r>
    </w:p>
    <w:p w14:paraId="6790A88E" w14:textId="77777777" w:rsidR="009C7422" w:rsidRPr="00BD17CA"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Pri</w:t>
      </w:r>
      <w:r w:rsidRPr="00BD17CA">
        <w:rPr>
          <w:rFonts w:ascii="Arial" w:eastAsia="Arial" w:hAnsi="Arial" w:cs="Arial"/>
          <w:sz w:val="22"/>
          <w:szCs w:val="22"/>
        </w:rPr>
        <w:t>or</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w:t>
      </w:r>
      <w:r w:rsidRPr="00BD17CA">
        <w:rPr>
          <w:rFonts w:ascii="Arial" w:eastAsia="Arial" w:hAnsi="Arial" w:cs="Arial"/>
          <w:sz w:val="22"/>
          <w:szCs w:val="22"/>
        </w:rPr>
        <w:t>1</w:t>
      </w:r>
      <w:r w:rsidRPr="0046695E">
        <w:rPr>
          <w:rFonts w:ascii="Arial" w:eastAsia="Arial" w:hAnsi="Arial" w:cs="Arial"/>
          <w:sz w:val="22"/>
          <w:szCs w:val="22"/>
        </w:rPr>
        <w:t xml:space="preserve"> A</w:t>
      </w:r>
      <w:r w:rsidRPr="00BD17CA">
        <w:rPr>
          <w:rFonts w:ascii="Arial" w:eastAsia="Arial" w:hAnsi="Arial" w:cs="Arial"/>
          <w:sz w:val="22"/>
          <w:szCs w:val="22"/>
        </w:rPr>
        <w:t>pr</w:t>
      </w:r>
      <w:r w:rsidRPr="0046695E">
        <w:rPr>
          <w:rFonts w:ascii="Arial" w:eastAsia="Arial" w:hAnsi="Arial" w:cs="Arial"/>
          <w:sz w:val="22"/>
          <w:szCs w:val="22"/>
        </w:rPr>
        <w:t>i</w:t>
      </w:r>
      <w:r w:rsidRPr="00BD17CA">
        <w:rPr>
          <w:rFonts w:ascii="Arial" w:eastAsia="Arial" w:hAnsi="Arial" w:cs="Arial"/>
          <w:sz w:val="22"/>
          <w:szCs w:val="22"/>
        </w:rPr>
        <w:t>l</w:t>
      </w:r>
      <w:r w:rsidRPr="0046695E">
        <w:rPr>
          <w:rFonts w:ascii="Arial" w:eastAsia="Arial" w:hAnsi="Arial" w:cs="Arial"/>
          <w:sz w:val="22"/>
          <w:szCs w:val="22"/>
        </w:rPr>
        <w:t xml:space="preserve"> </w:t>
      </w:r>
      <w:r w:rsidRPr="00BD17CA">
        <w:rPr>
          <w:rFonts w:ascii="Arial" w:eastAsia="Arial" w:hAnsi="Arial" w:cs="Arial"/>
          <w:sz w:val="22"/>
          <w:szCs w:val="22"/>
        </w:rPr>
        <w:t>2</w:t>
      </w:r>
      <w:r w:rsidRPr="0046695E">
        <w:rPr>
          <w:rFonts w:ascii="Arial" w:eastAsia="Arial" w:hAnsi="Arial" w:cs="Arial"/>
          <w:sz w:val="22"/>
          <w:szCs w:val="22"/>
        </w:rPr>
        <w:t>01</w:t>
      </w:r>
      <w:r w:rsidRPr="00BD17CA">
        <w:rPr>
          <w:rFonts w:ascii="Arial" w:eastAsia="Arial" w:hAnsi="Arial" w:cs="Arial"/>
          <w:sz w:val="22"/>
          <w:szCs w:val="22"/>
        </w:rPr>
        <w:t>4,</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ensi</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en</w:t>
      </w:r>
      <w:r w:rsidRPr="00BD17CA">
        <w:rPr>
          <w:rFonts w:ascii="Arial" w:eastAsia="Arial" w:hAnsi="Arial" w:cs="Arial"/>
          <w:sz w:val="22"/>
          <w:szCs w:val="22"/>
        </w:rPr>
        <w:t>e</w:t>
      </w:r>
      <w:r w:rsidRPr="0046695E">
        <w:rPr>
          <w:rFonts w:ascii="Arial" w:eastAsia="Arial" w:hAnsi="Arial" w:cs="Arial"/>
          <w:sz w:val="22"/>
          <w:szCs w:val="22"/>
        </w:rPr>
        <w:t>fi</w:t>
      </w:r>
      <w:r w:rsidRPr="00BD17CA">
        <w:rPr>
          <w:rFonts w:ascii="Arial" w:eastAsia="Arial" w:hAnsi="Arial" w:cs="Arial"/>
          <w:sz w:val="22"/>
          <w:szCs w:val="22"/>
        </w:rPr>
        <w:t>ts 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e</w:t>
      </w:r>
      <w:r w:rsidRPr="00BD17CA">
        <w:rPr>
          <w:rFonts w:ascii="Arial" w:eastAsia="Arial" w:hAnsi="Arial" w:cs="Arial"/>
          <w:sz w:val="22"/>
          <w:szCs w:val="22"/>
        </w:rPr>
        <w:t>r</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LGP</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were</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ase</w:t>
      </w:r>
      <w:r w:rsidRPr="00BD17CA">
        <w:rPr>
          <w:rFonts w:ascii="Arial" w:eastAsia="Arial" w:hAnsi="Arial" w:cs="Arial"/>
          <w:sz w:val="22"/>
          <w:szCs w:val="22"/>
        </w:rPr>
        <w:t>d</w:t>
      </w:r>
      <w:r w:rsidRPr="0046695E">
        <w:rPr>
          <w:rFonts w:ascii="Arial" w:eastAsia="Arial" w:hAnsi="Arial" w:cs="Arial"/>
          <w:sz w:val="22"/>
          <w:szCs w:val="22"/>
        </w:rPr>
        <w:t xml:space="preserve"> o</w:t>
      </w:r>
      <w:r w:rsidRPr="00BD17CA">
        <w:rPr>
          <w:rFonts w:ascii="Arial" w:eastAsia="Arial" w:hAnsi="Arial" w:cs="Arial"/>
          <w:sz w:val="22"/>
          <w:szCs w:val="22"/>
        </w:rPr>
        <w:t>n</w:t>
      </w:r>
      <w:r w:rsidRPr="0046695E">
        <w:rPr>
          <w:rFonts w:ascii="Arial" w:eastAsia="Arial" w:hAnsi="Arial" w:cs="Arial"/>
          <w:sz w:val="22"/>
          <w:szCs w:val="22"/>
        </w:rPr>
        <w:t xml:space="preserve"> fin</w:t>
      </w:r>
      <w:r w:rsidRPr="00BD17CA">
        <w:rPr>
          <w:rFonts w:ascii="Arial" w:eastAsia="Arial" w:hAnsi="Arial" w:cs="Arial"/>
          <w:sz w:val="22"/>
          <w:szCs w:val="22"/>
        </w:rPr>
        <w:t>al</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a</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l</w:t>
      </w:r>
      <w:r w:rsidRPr="00BD17CA">
        <w:rPr>
          <w:rFonts w:ascii="Arial" w:eastAsia="Arial" w:hAnsi="Arial" w:cs="Arial"/>
          <w:sz w:val="22"/>
          <w:szCs w:val="22"/>
        </w:rPr>
        <w:t>e</w:t>
      </w:r>
      <w:r w:rsidRPr="0046695E">
        <w:rPr>
          <w:rFonts w:ascii="Arial" w:eastAsia="Arial" w:hAnsi="Arial" w:cs="Arial"/>
          <w:sz w:val="22"/>
          <w:szCs w:val="22"/>
        </w:rPr>
        <w:t>ng</w:t>
      </w:r>
      <w:r w:rsidRPr="00BD17CA">
        <w:rPr>
          <w:rFonts w:ascii="Arial" w:eastAsia="Arial" w:hAnsi="Arial" w:cs="Arial"/>
          <w:sz w:val="22"/>
          <w:szCs w:val="22"/>
        </w:rPr>
        <w:t>th</w:t>
      </w:r>
      <w:r w:rsidRPr="0046695E">
        <w:rPr>
          <w:rFonts w:ascii="Arial" w:eastAsia="Arial" w:hAnsi="Arial" w:cs="Arial"/>
          <w:sz w:val="22"/>
          <w:szCs w:val="22"/>
        </w:rPr>
        <w:t xml:space="preserve"> </w:t>
      </w:r>
      <w:r w:rsidRPr="00BD17CA">
        <w:rPr>
          <w:rFonts w:ascii="Arial" w:eastAsia="Arial" w:hAnsi="Arial" w:cs="Arial"/>
          <w:sz w:val="22"/>
          <w:szCs w:val="22"/>
        </w:rPr>
        <w:t>of 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w:t>
      </w:r>
      <w:r w:rsidRPr="0046695E">
        <w:rPr>
          <w:rFonts w:ascii="Arial" w:eastAsia="Arial" w:hAnsi="Arial" w:cs="Arial"/>
          <w:sz w:val="22"/>
          <w:szCs w:val="22"/>
        </w:rPr>
        <w:t>na</w:t>
      </w:r>
      <w:r w:rsidRPr="00BD17CA">
        <w:rPr>
          <w:rFonts w:ascii="Arial" w:eastAsia="Arial" w:hAnsi="Arial" w:cs="Arial"/>
          <w:sz w:val="22"/>
          <w:szCs w:val="22"/>
        </w:rPr>
        <w:t>b</w:t>
      </w:r>
      <w:r w:rsidRPr="0046695E">
        <w:rPr>
          <w:rFonts w:ascii="Arial" w:eastAsia="Arial" w:hAnsi="Arial" w:cs="Arial"/>
          <w:sz w:val="22"/>
          <w:szCs w:val="22"/>
        </w:rPr>
        <w:t>l</w:t>
      </w:r>
      <w:r w:rsidRPr="00BD17CA">
        <w:rPr>
          <w:rFonts w:ascii="Arial" w:eastAsia="Arial" w:hAnsi="Arial" w:cs="Arial"/>
          <w:sz w:val="22"/>
          <w:szCs w:val="22"/>
        </w:rPr>
        <w:t>e</w:t>
      </w:r>
      <w:r w:rsidRPr="0046695E">
        <w:rPr>
          <w:rFonts w:ascii="Arial" w:eastAsia="Arial" w:hAnsi="Arial" w:cs="Arial"/>
          <w:sz w:val="22"/>
          <w:szCs w:val="22"/>
        </w:rPr>
        <w:t xml:space="preserve"> s</w:t>
      </w:r>
      <w:r w:rsidRPr="00BD17CA">
        <w:rPr>
          <w:rFonts w:ascii="Arial" w:eastAsia="Arial" w:hAnsi="Arial" w:cs="Arial"/>
          <w:sz w:val="22"/>
          <w:szCs w:val="22"/>
        </w:rPr>
        <w:t>er</w:t>
      </w:r>
      <w:r w:rsidRPr="0046695E">
        <w:rPr>
          <w:rFonts w:ascii="Arial" w:eastAsia="Arial" w:hAnsi="Arial" w:cs="Arial"/>
          <w:sz w:val="22"/>
          <w:szCs w:val="22"/>
        </w:rPr>
        <w:t>vic</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F</w:t>
      </w:r>
      <w:r w:rsidRPr="0046695E">
        <w:rPr>
          <w:rFonts w:ascii="Arial" w:eastAsia="Arial" w:hAnsi="Arial" w:cs="Arial"/>
          <w:sz w:val="22"/>
          <w:szCs w:val="22"/>
        </w:rPr>
        <w:t>r</w:t>
      </w:r>
      <w:r w:rsidRPr="00BD17CA">
        <w:rPr>
          <w:rFonts w:ascii="Arial" w:eastAsia="Arial" w:hAnsi="Arial" w:cs="Arial"/>
          <w:sz w:val="22"/>
          <w:szCs w:val="22"/>
        </w:rPr>
        <w:t>om</w:t>
      </w:r>
      <w:r w:rsidRPr="0046695E">
        <w:rPr>
          <w:rFonts w:ascii="Arial" w:eastAsia="Arial" w:hAnsi="Arial" w:cs="Arial"/>
          <w:sz w:val="22"/>
          <w:szCs w:val="22"/>
        </w:rPr>
        <w:t xml:space="preserve"> </w:t>
      </w:r>
      <w:r w:rsidRPr="00BD17CA">
        <w:rPr>
          <w:rFonts w:ascii="Arial" w:eastAsia="Arial" w:hAnsi="Arial" w:cs="Arial"/>
          <w:sz w:val="22"/>
          <w:szCs w:val="22"/>
        </w:rPr>
        <w:t>1</w:t>
      </w:r>
      <w:r w:rsidRPr="0046695E">
        <w:rPr>
          <w:rFonts w:ascii="Arial" w:eastAsia="Arial" w:hAnsi="Arial" w:cs="Arial"/>
          <w:sz w:val="22"/>
          <w:szCs w:val="22"/>
        </w:rPr>
        <w:t xml:space="preserve"> A</w:t>
      </w:r>
      <w:r w:rsidRPr="00BD17CA">
        <w:rPr>
          <w:rFonts w:ascii="Arial" w:eastAsia="Arial" w:hAnsi="Arial" w:cs="Arial"/>
          <w:sz w:val="22"/>
          <w:szCs w:val="22"/>
        </w:rPr>
        <w:t>pr</w:t>
      </w:r>
      <w:r w:rsidRPr="0046695E">
        <w:rPr>
          <w:rFonts w:ascii="Arial" w:eastAsia="Arial" w:hAnsi="Arial" w:cs="Arial"/>
          <w:sz w:val="22"/>
          <w:szCs w:val="22"/>
        </w:rPr>
        <w:t>i</w:t>
      </w:r>
      <w:r w:rsidRPr="00BD17CA">
        <w:rPr>
          <w:rFonts w:ascii="Arial" w:eastAsia="Arial" w:hAnsi="Arial" w:cs="Arial"/>
          <w:sz w:val="22"/>
          <w:szCs w:val="22"/>
        </w:rPr>
        <w:t>l</w:t>
      </w:r>
      <w:r w:rsidRPr="0046695E">
        <w:rPr>
          <w:rFonts w:ascii="Arial" w:eastAsia="Arial" w:hAnsi="Arial" w:cs="Arial"/>
          <w:sz w:val="22"/>
          <w:szCs w:val="22"/>
        </w:rPr>
        <w:t xml:space="preserve"> 2</w:t>
      </w:r>
      <w:r w:rsidRPr="00BD17CA">
        <w:rPr>
          <w:rFonts w:ascii="Arial" w:eastAsia="Arial" w:hAnsi="Arial" w:cs="Arial"/>
          <w:sz w:val="22"/>
          <w:szCs w:val="22"/>
        </w:rPr>
        <w:t>0</w:t>
      </w:r>
      <w:r w:rsidRPr="0046695E">
        <w:rPr>
          <w:rFonts w:ascii="Arial" w:eastAsia="Arial" w:hAnsi="Arial" w:cs="Arial"/>
          <w:sz w:val="22"/>
          <w:szCs w:val="22"/>
        </w:rPr>
        <w:t>1</w:t>
      </w:r>
      <w:r w:rsidRPr="00BD17CA">
        <w:rPr>
          <w:rFonts w:ascii="Arial" w:eastAsia="Arial" w:hAnsi="Arial" w:cs="Arial"/>
          <w:sz w:val="22"/>
          <w:szCs w:val="22"/>
        </w:rPr>
        <w:t>4,</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sc</w:t>
      </w:r>
      <w:r w:rsidRPr="00BD17CA">
        <w:rPr>
          <w:rFonts w:ascii="Arial" w:eastAsia="Arial" w:hAnsi="Arial" w:cs="Arial"/>
          <w:sz w:val="22"/>
          <w:szCs w:val="22"/>
        </w:rPr>
        <w:t>h</w:t>
      </w:r>
      <w:r w:rsidRPr="0046695E">
        <w:rPr>
          <w:rFonts w:ascii="Arial" w:eastAsia="Arial" w:hAnsi="Arial" w:cs="Arial"/>
          <w:sz w:val="22"/>
          <w:szCs w:val="22"/>
        </w:rPr>
        <w:t>em</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ec</w:t>
      </w:r>
      <w:r w:rsidRPr="00BD17CA">
        <w:rPr>
          <w:rFonts w:ascii="Arial" w:eastAsia="Arial" w:hAnsi="Arial" w:cs="Arial"/>
          <w:sz w:val="22"/>
          <w:szCs w:val="22"/>
        </w:rPr>
        <w:t>a</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 xml:space="preserve"> c</w:t>
      </w:r>
      <w:r w:rsidRPr="00BD17CA">
        <w:rPr>
          <w:rFonts w:ascii="Arial" w:eastAsia="Arial" w:hAnsi="Arial" w:cs="Arial"/>
          <w:sz w:val="22"/>
          <w:szCs w:val="22"/>
        </w:rPr>
        <w:t>areer</w:t>
      </w:r>
      <w:r w:rsidRPr="0046695E">
        <w:rPr>
          <w:rFonts w:ascii="Arial" w:eastAsia="Arial" w:hAnsi="Arial" w:cs="Arial"/>
          <w:sz w:val="22"/>
          <w:szCs w:val="22"/>
        </w:rPr>
        <w:t xml:space="preserve"> av</w:t>
      </w:r>
      <w:r w:rsidRPr="00BD17CA">
        <w:rPr>
          <w:rFonts w:ascii="Arial" w:eastAsia="Arial" w:hAnsi="Arial" w:cs="Arial"/>
          <w:sz w:val="22"/>
          <w:szCs w:val="22"/>
        </w:rPr>
        <w:t>er</w:t>
      </w:r>
      <w:r w:rsidRPr="0046695E">
        <w:rPr>
          <w:rFonts w:ascii="Arial" w:eastAsia="Arial" w:hAnsi="Arial" w:cs="Arial"/>
          <w:sz w:val="22"/>
          <w:szCs w:val="22"/>
        </w:rPr>
        <w:t>a</w:t>
      </w:r>
      <w:r w:rsidRPr="00BD17CA">
        <w:rPr>
          <w:rFonts w:ascii="Arial" w:eastAsia="Arial" w:hAnsi="Arial" w:cs="Arial"/>
          <w:sz w:val="22"/>
          <w:szCs w:val="22"/>
        </w:rPr>
        <w:t>ge</w:t>
      </w:r>
      <w:r w:rsidRPr="0046695E">
        <w:rPr>
          <w:rFonts w:ascii="Arial" w:eastAsia="Arial" w:hAnsi="Arial" w:cs="Arial"/>
          <w:sz w:val="22"/>
          <w:szCs w:val="22"/>
        </w:rPr>
        <w:t xml:space="preserve"> sc</w:t>
      </w:r>
      <w:r w:rsidRPr="00BD17CA">
        <w:rPr>
          <w:rFonts w:ascii="Arial" w:eastAsia="Arial" w:hAnsi="Arial" w:cs="Arial"/>
          <w:sz w:val="22"/>
          <w:szCs w:val="22"/>
        </w:rPr>
        <w:t>h</w:t>
      </w:r>
      <w:r w:rsidRPr="0046695E">
        <w:rPr>
          <w:rFonts w:ascii="Arial" w:eastAsia="Arial" w:hAnsi="Arial" w:cs="Arial"/>
          <w:sz w:val="22"/>
          <w:szCs w:val="22"/>
        </w:rPr>
        <w:t>em</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w</w:t>
      </w:r>
      <w:r w:rsidRPr="0046695E">
        <w:rPr>
          <w:rFonts w:ascii="Arial" w:eastAsia="Arial" w:hAnsi="Arial" w:cs="Arial"/>
          <w:sz w:val="22"/>
          <w:szCs w:val="22"/>
        </w:rPr>
        <w:t>h</w:t>
      </w:r>
      <w:r w:rsidRPr="00BD17CA">
        <w:rPr>
          <w:rFonts w:ascii="Arial" w:eastAsia="Arial" w:hAnsi="Arial" w:cs="Arial"/>
          <w:sz w:val="22"/>
          <w:szCs w:val="22"/>
        </w:rPr>
        <w:t>er</w:t>
      </w:r>
      <w:r w:rsidRPr="0046695E">
        <w:rPr>
          <w:rFonts w:ascii="Arial" w:eastAsia="Arial" w:hAnsi="Arial" w:cs="Arial"/>
          <w:sz w:val="22"/>
          <w:szCs w:val="22"/>
        </w:rPr>
        <w:t>eb</w:t>
      </w:r>
      <w:r w:rsidRPr="00BD17CA">
        <w:rPr>
          <w:rFonts w:ascii="Arial" w:eastAsia="Arial" w:hAnsi="Arial" w:cs="Arial"/>
          <w:sz w:val="22"/>
          <w:szCs w:val="22"/>
        </w:rPr>
        <w:t xml:space="preserve">y </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b</w:t>
      </w:r>
      <w:r w:rsidRPr="0046695E">
        <w:rPr>
          <w:rFonts w:ascii="Arial" w:eastAsia="Arial" w:hAnsi="Arial" w:cs="Arial"/>
          <w:sz w:val="22"/>
          <w:szCs w:val="22"/>
        </w:rPr>
        <w:t>er</w:t>
      </w:r>
      <w:r w:rsidRPr="00BD17CA">
        <w:rPr>
          <w:rFonts w:ascii="Arial" w:eastAsia="Arial" w:hAnsi="Arial" w:cs="Arial"/>
          <w:sz w:val="22"/>
          <w:szCs w:val="22"/>
        </w:rPr>
        <w:t>s a</w:t>
      </w:r>
      <w:r w:rsidRPr="0046695E">
        <w:rPr>
          <w:rFonts w:ascii="Arial" w:eastAsia="Arial" w:hAnsi="Arial" w:cs="Arial"/>
          <w:sz w:val="22"/>
          <w:szCs w:val="22"/>
        </w:rPr>
        <w:t>ccr</w:t>
      </w:r>
      <w:r w:rsidRPr="00BD17CA">
        <w:rPr>
          <w:rFonts w:ascii="Arial" w:eastAsia="Arial" w:hAnsi="Arial" w:cs="Arial"/>
          <w:sz w:val="22"/>
          <w:szCs w:val="22"/>
        </w:rPr>
        <w:t>ue</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efi</w:t>
      </w:r>
      <w:r w:rsidRPr="00BD17CA">
        <w:rPr>
          <w:rFonts w:ascii="Arial" w:eastAsia="Arial" w:hAnsi="Arial" w:cs="Arial"/>
          <w:sz w:val="22"/>
          <w:szCs w:val="22"/>
        </w:rPr>
        <w:t>ts</w:t>
      </w:r>
      <w:r w:rsidRPr="0046695E">
        <w:rPr>
          <w:rFonts w:ascii="Arial" w:eastAsia="Arial" w:hAnsi="Arial" w:cs="Arial"/>
          <w:sz w:val="22"/>
          <w:szCs w:val="22"/>
        </w:rPr>
        <w:t xml:space="preserve"> b</w:t>
      </w:r>
      <w:r w:rsidRPr="00BD17CA">
        <w:rPr>
          <w:rFonts w:ascii="Arial" w:eastAsia="Arial" w:hAnsi="Arial" w:cs="Arial"/>
          <w:sz w:val="22"/>
          <w:szCs w:val="22"/>
        </w:rPr>
        <w:t>a</w:t>
      </w:r>
      <w:r w:rsidRPr="0046695E">
        <w:rPr>
          <w:rFonts w:ascii="Arial" w:eastAsia="Arial" w:hAnsi="Arial" w:cs="Arial"/>
          <w:sz w:val="22"/>
          <w:szCs w:val="22"/>
        </w:rPr>
        <w:t>s</w:t>
      </w:r>
      <w:r w:rsidRPr="00BD17CA">
        <w:rPr>
          <w:rFonts w:ascii="Arial" w:eastAsia="Arial" w:hAnsi="Arial" w:cs="Arial"/>
          <w:sz w:val="22"/>
          <w:szCs w:val="22"/>
        </w:rPr>
        <w:t>ed</w:t>
      </w:r>
      <w:r w:rsidRPr="0046695E">
        <w:rPr>
          <w:rFonts w:ascii="Arial" w:eastAsia="Arial" w:hAnsi="Arial" w:cs="Arial"/>
          <w:sz w:val="22"/>
          <w:szCs w:val="22"/>
        </w:rPr>
        <w:t xml:space="preserve"> o</w:t>
      </w:r>
      <w:r w:rsidRPr="00BD17CA">
        <w:rPr>
          <w:rFonts w:ascii="Arial" w:eastAsia="Arial" w:hAnsi="Arial" w:cs="Arial"/>
          <w:sz w:val="22"/>
          <w:szCs w:val="22"/>
        </w:rPr>
        <w:t>n</w:t>
      </w:r>
      <w:r w:rsidRPr="0046695E">
        <w:rPr>
          <w:rFonts w:ascii="Arial" w:eastAsia="Arial" w:hAnsi="Arial" w:cs="Arial"/>
          <w:sz w:val="22"/>
          <w:szCs w:val="22"/>
        </w:rPr>
        <w:t xml:space="preserve"> t</w:t>
      </w:r>
      <w:r w:rsidRPr="00BD17CA">
        <w:rPr>
          <w:rFonts w:ascii="Arial" w:eastAsia="Arial" w:hAnsi="Arial" w:cs="Arial"/>
          <w:sz w:val="22"/>
          <w:szCs w:val="22"/>
        </w:rPr>
        <w:t>h</w:t>
      </w:r>
      <w:r w:rsidRPr="0046695E">
        <w:rPr>
          <w:rFonts w:ascii="Arial" w:eastAsia="Arial" w:hAnsi="Arial" w:cs="Arial"/>
          <w:sz w:val="22"/>
          <w:szCs w:val="22"/>
        </w:rPr>
        <w:t>ei</w:t>
      </w:r>
      <w:r w:rsidRPr="00BD17CA">
        <w:rPr>
          <w:rFonts w:ascii="Arial" w:eastAsia="Arial" w:hAnsi="Arial" w:cs="Arial"/>
          <w:sz w:val="22"/>
          <w:szCs w:val="22"/>
        </w:rPr>
        <w:t>r</w:t>
      </w:r>
      <w:r w:rsidRPr="0046695E">
        <w:rPr>
          <w:rFonts w:ascii="Arial" w:eastAsia="Arial" w:hAnsi="Arial" w:cs="Arial"/>
          <w:sz w:val="22"/>
          <w:szCs w:val="22"/>
        </w:rPr>
        <w:t xml:space="preserve"> p</w:t>
      </w:r>
      <w:r w:rsidRPr="00BD17CA">
        <w:rPr>
          <w:rFonts w:ascii="Arial" w:eastAsia="Arial" w:hAnsi="Arial" w:cs="Arial"/>
          <w:sz w:val="22"/>
          <w:szCs w:val="22"/>
        </w:rPr>
        <w:t>e</w:t>
      </w:r>
      <w:r w:rsidRPr="0046695E">
        <w:rPr>
          <w:rFonts w:ascii="Arial" w:eastAsia="Arial" w:hAnsi="Arial" w:cs="Arial"/>
          <w:sz w:val="22"/>
          <w:szCs w:val="22"/>
        </w:rPr>
        <w:t>nsio</w:t>
      </w:r>
      <w:r w:rsidRPr="00BD17CA">
        <w:rPr>
          <w:rFonts w:ascii="Arial" w:eastAsia="Arial" w:hAnsi="Arial" w:cs="Arial"/>
          <w:sz w:val="22"/>
          <w:szCs w:val="22"/>
        </w:rPr>
        <w:t>n</w:t>
      </w:r>
      <w:r w:rsidRPr="0046695E">
        <w:rPr>
          <w:rFonts w:ascii="Arial" w:eastAsia="Arial" w:hAnsi="Arial" w:cs="Arial"/>
          <w:sz w:val="22"/>
          <w:szCs w:val="22"/>
        </w:rPr>
        <w:t>a</w:t>
      </w:r>
      <w:r w:rsidRPr="00BD17CA">
        <w:rPr>
          <w:rFonts w:ascii="Arial" w:eastAsia="Arial" w:hAnsi="Arial" w:cs="Arial"/>
          <w:sz w:val="22"/>
          <w:szCs w:val="22"/>
        </w:rPr>
        <w:t>b</w:t>
      </w:r>
      <w:r w:rsidRPr="0046695E">
        <w:rPr>
          <w:rFonts w:ascii="Arial" w:eastAsia="Arial" w:hAnsi="Arial" w:cs="Arial"/>
          <w:sz w:val="22"/>
          <w:szCs w:val="22"/>
        </w:rPr>
        <w:t>l</w:t>
      </w:r>
      <w:r w:rsidRPr="00BD17CA">
        <w:rPr>
          <w:rFonts w:ascii="Arial" w:eastAsia="Arial" w:hAnsi="Arial" w:cs="Arial"/>
          <w:sz w:val="22"/>
          <w:szCs w:val="22"/>
        </w:rPr>
        <w:t>e p</w:t>
      </w:r>
      <w:r w:rsidRPr="0046695E">
        <w:rPr>
          <w:rFonts w:ascii="Arial" w:eastAsia="Arial" w:hAnsi="Arial" w:cs="Arial"/>
          <w:sz w:val="22"/>
          <w:szCs w:val="22"/>
        </w:rPr>
        <w:t>a</w:t>
      </w:r>
      <w:r w:rsidRPr="00BD17CA">
        <w:rPr>
          <w:rFonts w:ascii="Arial" w:eastAsia="Arial" w:hAnsi="Arial" w:cs="Arial"/>
          <w:sz w:val="22"/>
          <w:szCs w:val="22"/>
        </w:rPr>
        <w:t>y</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th</w:t>
      </w:r>
      <w:r w:rsidRPr="0046695E">
        <w:rPr>
          <w:rFonts w:ascii="Arial" w:eastAsia="Arial" w:hAnsi="Arial" w:cs="Arial"/>
          <w:sz w:val="22"/>
          <w:szCs w:val="22"/>
        </w:rPr>
        <w:t>a</w:t>
      </w:r>
      <w:r w:rsidRPr="00BD17CA">
        <w:rPr>
          <w:rFonts w:ascii="Arial" w:eastAsia="Arial" w:hAnsi="Arial" w:cs="Arial"/>
          <w:sz w:val="22"/>
          <w:szCs w:val="22"/>
        </w:rPr>
        <w:t>t</w:t>
      </w:r>
      <w:r w:rsidRPr="0046695E">
        <w:rPr>
          <w:rFonts w:ascii="Arial" w:eastAsia="Arial" w:hAnsi="Arial" w:cs="Arial"/>
          <w:sz w:val="22"/>
          <w:szCs w:val="22"/>
        </w:rPr>
        <w:t xml:space="preserve"> y</w:t>
      </w:r>
      <w:r w:rsidRPr="00BD17CA">
        <w:rPr>
          <w:rFonts w:ascii="Arial" w:eastAsia="Arial" w:hAnsi="Arial" w:cs="Arial"/>
          <w:sz w:val="22"/>
          <w:szCs w:val="22"/>
        </w:rPr>
        <w:t>e</w:t>
      </w:r>
      <w:r w:rsidRPr="0046695E">
        <w:rPr>
          <w:rFonts w:ascii="Arial" w:eastAsia="Arial" w:hAnsi="Arial" w:cs="Arial"/>
          <w:sz w:val="22"/>
          <w:szCs w:val="22"/>
        </w:rPr>
        <w:t>a</w:t>
      </w:r>
      <w:r w:rsidRPr="00BD17CA">
        <w:rPr>
          <w:rFonts w:ascii="Arial" w:eastAsia="Arial" w:hAnsi="Arial" w:cs="Arial"/>
          <w:sz w:val="22"/>
          <w:szCs w:val="22"/>
        </w:rPr>
        <w:t>r</w:t>
      </w:r>
      <w:r w:rsidRPr="0046695E">
        <w:rPr>
          <w:rFonts w:ascii="Arial" w:eastAsia="Arial" w:hAnsi="Arial" w:cs="Arial"/>
          <w:sz w:val="22"/>
          <w:szCs w:val="22"/>
        </w:rPr>
        <w:t xml:space="preserve"> </w:t>
      </w:r>
      <w:r w:rsidRPr="00BD17CA">
        <w:rPr>
          <w:rFonts w:ascii="Arial" w:eastAsia="Arial" w:hAnsi="Arial" w:cs="Arial"/>
          <w:sz w:val="22"/>
          <w:szCs w:val="22"/>
        </w:rPr>
        <w:t>at</w:t>
      </w:r>
      <w:r w:rsidRPr="0046695E">
        <w:rPr>
          <w:rFonts w:ascii="Arial" w:eastAsia="Arial" w:hAnsi="Arial" w:cs="Arial"/>
          <w:sz w:val="22"/>
          <w:szCs w:val="22"/>
        </w:rPr>
        <w:t xml:space="preserve"> </w:t>
      </w:r>
      <w:r w:rsidRPr="00BD17CA">
        <w:rPr>
          <w:rFonts w:ascii="Arial" w:eastAsia="Arial" w:hAnsi="Arial" w:cs="Arial"/>
          <w:sz w:val="22"/>
          <w:szCs w:val="22"/>
        </w:rPr>
        <w:t>an</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ccr</w:t>
      </w:r>
      <w:r w:rsidRPr="00BD17CA">
        <w:rPr>
          <w:rFonts w:ascii="Arial" w:eastAsia="Arial" w:hAnsi="Arial" w:cs="Arial"/>
          <w:sz w:val="22"/>
          <w:szCs w:val="22"/>
        </w:rPr>
        <w:t>u</w:t>
      </w:r>
      <w:r w:rsidRPr="0046695E">
        <w:rPr>
          <w:rFonts w:ascii="Arial" w:eastAsia="Arial" w:hAnsi="Arial" w:cs="Arial"/>
          <w:sz w:val="22"/>
          <w:szCs w:val="22"/>
        </w:rPr>
        <w:t>a</w:t>
      </w:r>
      <w:r w:rsidRPr="00BD17CA">
        <w:rPr>
          <w:rFonts w:ascii="Arial" w:eastAsia="Arial" w:hAnsi="Arial" w:cs="Arial"/>
          <w:sz w:val="22"/>
          <w:szCs w:val="22"/>
        </w:rPr>
        <w:t xml:space="preserve">l </w:t>
      </w:r>
      <w:r w:rsidRPr="0046695E">
        <w:rPr>
          <w:rFonts w:ascii="Arial" w:eastAsia="Arial" w:hAnsi="Arial" w:cs="Arial"/>
          <w:sz w:val="22"/>
          <w:szCs w:val="22"/>
        </w:rPr>
        <w:t>r</w:t>
      </w:r>
      <w:r w:rsidRPr="00BD17CA">
        <w:rPr>
          <w:rFonts w:ascii="Arial" w:eastAsia="Arial" w:hAnsi="Arial" w:cs="Arial"/>
          <w:sz w:val="22"/>
          <w:szCs w:val="22"/>
        </w:rPr>
        <w:t>ate</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1/</w:t>
      </w:r>
      <w:r w:rsidRPr="0046695E">
        <w:rPr>
          <w:rFonts w:ascii="Arial" w:eastAsia="Arial" w:hAnsi="Arial" w:cs="Arial"/>
          <w:sz w:val="22"/>
          <w:szCs w:val="22"/>
        </w:rPr>
        <w:t>4</w:t>
      </w:r>
      <w:r w:rsidRPr="00BD17CA">
        <w:rPr>
          <w:rFonts w:ascii="Arial" w:eastAsia="Arial" w:hAnsi="Arial" w:cs="Arial"/>
          <w:sz w:val="22"/>
          <w:szCs w:val="22"/>
        </w:rPr>
        <w:t>9</w:t>
      </w:r>
      <w:r w:rsidRPr="0046695E">
        <w:rPr>
          <w:rFonts w:ascii="Arial" w:eastAsia="Arial" w:hAnsi="Arial" w:cs="Arial"/>
          <w:sz w:val="22"/>
          <w:szCs w:val="22"/>
        </w:rPr>
        <w:t>t</w:t>
      </w:r>
      <w:r w:rsidRPr="00BD17CA">
        <w:rPr>
          <w:rFonts w:ascii="Arial" w:eastAsia="Arial" w:hAnsi="Arial" w:cs="Arial"/>
          <w:sz w:val="22"/>
          <w:szCs w:val="22"/>
        </w:rPr>
        <w:t>h.</w:t>
      </w:r>
      <w:r w:rsidRPr="0046695E">
        <w:rPr>
          <w:rFonts w:ascii="Arial" w:eastAsia="Arial" w:hAnsi="Arial" w:cs="Arial"/>
          <w:sz w:val="22"/>
          <w:szCs w:val="22"/>
        </w:rPr>
        <w:t xml:space="preserve"> Accr</w:t>
      </w:r>
      <w:r w:rsidRPr="00BD17CA">
        <w:rPr>
          <w:rFonts w:ascii="Arial" w:eastAsia="Arial" w:hAnsi="Arial" w:cs="Arial"/>
          <w:sz w:val="22"/>
          <w:szCs w:val="22"/>
        </w:rPr>
        <w:t>u</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on</w:t>
      </w:r>
      <w:r w:rsidRPr="0046695E">
        <w:rPr>
          <w:rFonts w:ascii="Arial" w:eastAsia="Arial" w:hAnsi="Arial" w:cs="Arial"/>
          <w:sz w:val="22"/>
          <w:szCs w:val="22"/>
        </w:rPr>
        <w:t xml:space="preserve"> i</w:t>
      </w:r>
      <w:r w:rsidRPr="00BD17CA">
        <w:rPr>
          <w:rFonts w:ascii="Arial" w:eastAsia="Arial" w:hAnsi="Arial" w:cs="Arial"/>
          <w:sz w:val="22"/>
          <w:szCs w:val="22"/>
        </w:rPr>
        <w:t>s u</w:t>
      </w:r>
      <w:r w:rsidRPr="0046695E">
        <w:rPr>
          <w:rFonts w:ascii="Arial" w:eastAsia="Arial" w:hAnsi="Arial" w:cs="Arial"/>
          <w:sz w:val="22"/>
          <w:szCs w:val="22"/>
        </w:rPr>
        <w:t>p</w:t>
      </w:r>
      <w:r w:rsidRPr="00BD17CA">
        <w:rPr>
          <w:rFonts w:ascii="Arial" w:eastAsia="Arial" w:hAnsi="Arial" w:cs="Arial"/>
          <w:sz w:val="22"/>
          <w:szCs w:val="22"/>
        </w:rPr>
        <w:t>d</w:t>
      </w:r>
      <w:r w:rsidRPr="0046695E">
        <w:rPr>
          <w:rFonts w:ascii="Arial" w:eastAsia="Arial" w:hAnsi="Arial" w:cs="Arial"/>
          <w:sz w:val="22"/>
          <w:szCs w:val="22"/>
        </w:rPr>
        <w:t>a</w:t>
      </w:r>
      <w:r w:rsidRPr="00BD17CA">
        <w:rPr>
          <w:rFonts w:ascii="Arial" w:eastAsia="Arial" w:hAnsi="Arial" w:cs="Arial"/>
          <w:sz w:val="22"/>
          <w:szCs w:val="22"/>
        </w:rPr>
        <w:t>ted</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n</w:t>
      </w:r>
      <w:r w:rsidRPr="0046695E">
        <w:rPr>
          <w:rFonts w:ascii="Arial" w:eastAsia="Arial" w:hAnsi="Arial" w:cs="Arial"/>
          <w:sz w:val="22"/>
          <w:szCs w:val="22"/>
        </w:rPr>
        <w:t>uall</w:t>
      </w:r>
      <w:r w:rsidRPr="00BD17CA">
        <w:rPr>
          <w:rFonts w:ascii="Arial" w:eastAsia="Arial" w:hAnsi="Arial" w:cs="Arial"/>
          <w:sz w:val="22"/>
          <w:szCs w:val="22"/>
        </w:rPr>
        <w:t>y</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li</w:t>
      </w:r>
      <w:r w:rsidRPr="00BD17CA">
        <w:rPr>
          <w:rFonts w:ascii="Arial" w:eastAsia="Arial" w:hAnsi="Arial" w:cs="Arial"/>
          <w:sz w:val="22"/>
          <w:szCs w:val="22"/>
        </w:rPr>
        <w:t>ne</w:t>
      </w:r>
      <w:r w:rsidRPr="0046695E">
        <w:rPr>
          <w:rFonts w:ascii="Arial" w:eastAsia="Arial" w:hAnsi="Arial" w:cs="Arial"/>
          <w:sz w:val="22"/>
          <w:szCs w:val="22"/>
        </w:rPr>
        <w:t xml:space="preserve"> wit</w:t>
      </w:r>
      <w:r w:rsidRPr="00BD17CA">
        <w:rPr>
          <w:rFonts w:ascii="Arial" w:eastAsia="Arial" w:hAnsi="Arial" w:cs="Arial"/>
          <w:sz w:val="22"/>
          <w:szCs w:val="22"/>
        </w:rPr>
        <w:t>h</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C</w:t>
      </w:r>
      <w:r w:rsidRPr="0046695E">
        <w:rPr>
          <w:rFonts w:ascii="Arial" w:eastAsia="Arial" w:hAnsi="Arial" w:cs="Arial"/>
          <w:sz w:val="22"/>
          <w:szCs w:val="22"/>
        </w:rPr>
        <w:t>o</w:t>
      </w:r>
      <w:r w:rsidRPr="00BD17CA">
        <w:rPr>
          <w:rFonts w:ascii="Arial" w:eastAsia="Arial" w:hAnsi="Arial" w:cs="Arial"/>
          <w:sz w:val="22"/>
          <w:szCs w:val="22"/>
        </w:rPr>
        <w:t>n</w:t>
      </w:r>
      <w:r w:rsidRPr="0046695E">
        <w:rPr>
          <w:rFonts w:ascii="Arial" w:eastAsia="Arial" w:hAnsi="Arial" w:cs="Arial"/>
          <w:sz w:val="22"/>
          <w:szCs w:val="22"/>
        </w:rPr>
        <w:t>s</w:t>
      </w:r>
      <w:r w:rsidRPr="00BD17CA">
        <w:rPr>
          <w:rFonts w:ascii="Arial" w:eastAsia="Arial" w:hAnsi="Arial" w:cs="Arial"/>
          <w:sz w:val="22"/>
          <w:szCs w:val="22"/>
        </w:rPr>
        <w:t>u</w:t>
      </w:r>
      <w:r w:rsidRPr="0046695E">
        <w:rPr>
          <w:rFonts w:ascii="Arial" w:eastAsia="Arial" w:hAnsi="Arial" w:cs="Arial"/>
          <w:sz w:val="22"/>
          <w:szCs w:val="22"/>
        </w:rPr>
        <w:t>me</w:t>
      </w:r>
      <w:r w:rsidRPr="00BD17CA">
        <w:rPr>
          <w:rFonts w:ascii="Arial" w:eastAsia="Arial" w:hAnsi="Arial" w:cs="Arial"/>
          <w:sz w:val="22"/>
          <w:szCs w:val="22"/>
        </w:rPr>
        <w:t>r</w:t>
      </w:r>
      <w:r w:rsidRPr="0046695E">
        <w:rPr>
          <w:rFonts w:ascii="Arial" w:eastAsia="Arial" w:hAnsi="Arial" w:cs="Arial"/>
          <w:sz w:val="22"/>
          <w:szCs w:val="22"/>
        </w:rPr>
        <w:t xml:space="preserve"> Pric</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In</w:t>
      </w:r>
      <w:r w:rsidRPr="0046695E">
        <w:rPr>
          <w:rFonts w:ascii="Arial" w:eastAsia="Arial" w:hAnsi="Arial" w:cs="Arial"/>
          <w:sz w:val="22"/>
          <w:szCs w:val="22"/>
        </w:rPr>
        <w:t>d</w:t>
      </w:r>
      <w:r w:rsidRPr="00BD17CA">
        <w:rPr>
          <w:rFonts w:ascii="Arial" w:eastAsia="Arial" w:hAnsi="Arial" w:cs="Arial"/>
          <w:sz w:val="22"/>
          <w:szCs w:val="22"/>
        </w:rPr>
        <w:t>e</w:t>
      </w:r>
      <w:r w:rsidRPr="0046695E">
        <w:rPr>
          <w:rFonts w:ascii="Arial" w:eastAsia="Arial" w:hAnsi="Arial" w:cs="Arial"/>
          <w:sz w:val="22"/>
          <w:szCs w:val="22"/>
        </w:rPr>
        <w:t>x</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 xml:space="preserve">A </w:t>
      </w:r>
      <w:r w:rsidRPr="0046695E">
        <w:rPr>
          <w:rFonts w:ascii="Arial" w:eastAsia="Arial" w:hAnsi="Arial" w:cs="Arial"/>
          <w:sz w:val="22"/>
          <w:szCs w:val="22"/>
        </w:rPr>
        <w:t>r</w:t>
      </w:r>
      <w:r w:rsidRPr="00BD17CA">
        <w:rPr>
          <w:rFonts w:ascii="Arial" w:eastAsia="Arial" w:hAnsi="Arial" w:cs="Arial"/>
          <w:sz w:val="22"/>
          <w:szCs w:val="22"/>
        </w:rPr>
        <w:t>a</w:t>
      </w:r>
      <w:r w:rsidRPr="0046695E">
        <w:rPr>
          <w:rFonts w:ascii="Arial" w:eastAsia="Arial" w:hAnsi="Arial" w:cs="Arial"/>
          <w:sz w:val="22"/>
          <w:szCs w:val="22"/>
        </w:rPr>
        <w:t>ng</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o</w:t>
      </w:r>
      <w:r w:rsidRPr="0046695E">
        <w:rPr>
          <w:rFonts w:ascii="Arial" w:eastAsia="Arial" w:hAnsi="Arial" w:cs="Arial"/>
          <w:sz w:val="22"/>
          <w:szCs w:val="22"/>
        </w:rPr>
        <w:t>t</w:t>
      </w:r>
      <w:r w:rsidRPr="00BD17CA">
        <w:rPr>
          <w:rFonts w:ascii="Arial" w:eastAsia="Arial" w:hAnsi="Arial" w:cs="Arial"/>
          <w:sz w:val="22"/>
          <w:szCs w:val="22"/>
        </w:rPr>
        <w:t>h</w:t>
      </w:r>
      <w:r w:rsidRPr="0046695E">
        <w:rPr>
          <w:rFonts w:ascii="Arial" w:eastAsia="Arial" w:hAnsi="Arial" w:cs="Arial"/>
          <w:sz w:val="22"/>
          <w:szCs w:val="22"/>
        </w:rPr>
        <w:t>e</w:t>
      </w:r>
      <w:r w:rsidRPr="00BD17CA">
        <w:rPr>
          <w:rFonts w:ascii="Arial" w:eastAsia="Arial" w:hAnsi="Arial" w:cs="Arial"/>
          <w:sz w:val="22"/>
          <w:szCs w:val="22"/>
        </w:rPr>
        <w:t>r b</w:t>
      </w:r>
      <w:r w:rsidRPr="0046695E">
        <w:rPr>
          <w:rFonts w:ascii="Arial" w:eastAsia="Arial" w:hAnsi="Arial" w:cs="Arial"/>
          <w:sz w:val="22"/>
          <w:szCs w:val="22"/>
        </w:rPr>
        <w:t>en</w:t>
      </w:r>
      <w:r w:rsidRPr="00BD17CA">
        <w:rPr>
          <w:rFonts w:ascii="Arial" w:eastAsia="Arial" w:hAnsi="Arial" w:cs="Arial"/>
          <w:sz w:val="22"/>
          <w:szCs w:val="22"/>
        </w:rPr>
        <w:t>e</w:t>
      </w:r>
      <w:r w:rsidRPr="0046695E">
        <w:rPr>
          <w:rFonts w:ascii="Arial" w:eastAsia="Arial" w:hAnsi="Arial" w:cs="Arial"/>
          <w:sz w:val="22"/>
          <w:szCs w:val="22"/>
        </w:rPr>
        <w:t>fi</w:t>
      </w:r>
      <w:r w:rsidRPr="00BD17CA">
        <w:rPr>
          <w:rFonts w:ascii="Arial" w:eastAsia="Arial" w:hAnsi="Arial" w:cs="Arial"/>
          <w:sz w:val="22"/>
          <w:szCs w:val="22"/>
        </w:rPr>
        <w:t>ts</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als</w:t>
      </w:r>
      <w:r w:rsidRPr="00BD17CA">
        <w:rPr>
          <w:rFonts w:ascii="Arial" w:eastAsia="Arial" w:hAnsi="Arial" w:cs="Arial"/>
          <w:sz w:val="22"/>
          <w:szCs w:val="22"/>
        </w:rPr>
        <w:t>o</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r</w:t>
      </w:r>
      <w:r w:rsidRPr="00BD17CA">
        <w:rPr>
          <w:rFonts w:ascii="Arial" w:eastAsia="Arial" w:hAnsi="Arial" w:cs="Arial"/>
          <w:sz w:val="22"/>
          <w:szCs w:val="22"/>
        </w:rPr>
        <w:t>o</w:t>
      </w:r>
      <w:r w:rsidRPr="0046695E">
        <w:rPr>
          <w:rFonts w:ascii="Arial" w:eastAsia="Arial" w:hAnsi="Arial" w:cs="Arial"/>
          <w:sz w:val="22"/>
          <w:szCs w:val="22"/>
        </w:rPr>
        <w:t>vi</w:t>
      </w:r>
      <w:r w:rsidRPr="00BD17CA">
        <w:rPr>
          <w:rFonts w:ascii="Arial" w:eastAsia="Arial" w:hAnsi="Arial" w:cs="Arial"/>
          <w:sz w:val="22"/>
          <w:szCs w:val="22"/>
        </w:rPr>
        <w:t>d</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cl</w:t>
      </w:r>
      <w:r w:rsidRPr="00BD17CA">
        <w:rPr>
          <w:rFonts w:ascii="Arial" w:eastAsia="Arial" w:hAnsi="Arial" w:cs="Arial"/>
          <w:sz w:val="22"/>
          <w:szCs w:val="22"/>
        </w:rPr>
        <w:t>u</w:t>
      </w:r>
      <w:r w:rsidRPr="0046695E">
        <w:rPr>
          <w:rFonts w:ascii="Arial" w:eastAsia="Arial" w:hAnsi="Arial" w:cs="Arial"/>
          <w:sz w:val="22"/>
          <w:szCs w:val="22"/>
        </w:rPr>
        <w:t>din</w:t>
      </w:r>
      <w:r w:rsidRPr="00BD17CA">
        <w:rPr>
          <w:rFonts w:ascii="Arial" w:eastAsia="Arial" w:hAnsi="Arial" w:cs="Arial"/>
          <w:sz w:val="22"/>
          <w:szCs w:val="22"/>
        </w:rPr>
        <w:t>g e</w:t>
      </w:r>
      <w:r w:rsidRPr="0046695E">
        <w:rPr>
          <w:rFonts w:ascii="Arial" w:eastAsia="Arial" w:hAnsi="Arial" w:cs="Arial"/>
          <w:sz w:val="22"/>
          <w:szCs w:val="22"/>
        </w:rPr>
        <w:t>arl</w:t>
      </w:r>
      <w:r w:rsidRPr="00BD17CA">
        <w:rPr>
          <w:rFonts w:ascii="Arial" w:eastAsia="Arial" w:hAnsi="Arial" w:cs="Arial"/>
          <w:sz w:val="22"/>
          <w:szCs w:val="22"/>
        </w:rPr>
        <w:t xml:space="preserve">y </w:t>
      </w:r>
      <w:r w:rsidRPr="0046695E">
        <w:rPr>
          <w:rFonts w:ascii="Arial" w:eastAsia="Arial" w:hAnsi="Arial" w:cs="Arial"/>
          <w:sz w:val="22"/>
          <w:szCs w:val="22"/>
        </w:rPr>
        <w:t>re</w:t>
      </w:r>
      <w:r w:rsidRPr="00BD17CA">
        <w:rPr>
          <w:rFonts w:ascii="Arial" w:eastAsia="Arial" w:hAnsi="Arial" w:cs="Arial"/>
          <w:sz w:val="22"/>
          <w:szCs w:val="22"/>
        </w:rPr>
        <w:t>t</w:t>
      </w:r>
      <w:r w:rsidRPr="0046695E">
        <w:rPr>
          <w:rFonts w:ascii="Arial" w:eastAsia="Arial" w:hAnsi="Arial" w:cs="Arial"/>
          <w:sz w:val="22"/>
          <w:szCs w:val="22"/>
        </w:rPr>
        <w:t>ir</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isa</w:t>
      </w:r>
      <w:r w:rsidRPr="00BD17CA">
        <w:rPr>
          <w:rFonts w:ascii="Arial" w:eastAsia="Arial" w:hAnsi="Arial" w:cs="Arial"/>
          <w:sz w:val="22"/>
          <w:szCs w:val="22"/>
        </w:rPr>
        <w:t>b</w:t>
      </w:r>
      <w:r w:rsidRPr="0046695E">
        <w:rPr>
          <w:rFonts w:ascii="Arial" w:eastAsia="Arial" w:hAnsi="Arial" w:cs="Arial"/>
          <w:sz w:val="22"/>
          <w:szCs w:val="22"/>
        </w:rPr>
        <w:t>ilit</w:t>
      </w:r>
      <w:r w:rsidRPr="00BD17CA">
        <w:rPr>
          <w:rFonts w:ascii="Arial" w:eastAsia="Arial" w:hAnsi="Arial" w:cs="Arial"/>
          <w:sz w:val="22"/>
          <w:szCs w:val="22"/>
        </w:rPr>
        <w:t>y 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s</w:t>
      </w:r>
      <w:r w:rsidRPr="0046695E">
        <w:rPr>
          <w:rFonts w:ascii="Arial" w:eastAsia="Arial" w:hAnsi="Arial" w:cs="Arial"/>
          <w:sz w:val="22"/>
          <w:szCs w:val="22"/>
        </w:rPr>
        <w:t xml:space="preserve"> a</w:t>
      </w:r>
      <w:r w:rsidRPr="00BD17CA">
        <w:rPr>
          <w:rFonts w:ascii="Arial" w:eastAsia="Arial" w:hAnsi="Arial" w:cs="Arial"/>
          <w:sz w:val="22"/>
          <w:szCs w:val="22"/>
        </w:rPr>
        <w:t>nd</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e</w:t>
      </w:r>
      <w:r w:rsidRPr="00BD17CA">
        <w:rPr>
          <w:rFonts w:ascii="Arial" w:eastAsia="Arial" w:hAnsi="Arial" w:cs="Arial"/>
          <w:sz w:val="22"/>
          <w:szCs w:val="22"/>
        </w:rPr>
        <w:t>ath</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efi</w:t>
      </w:r>
      <w:r w:rsidRPr="00BD17CA">
        <w:rPr>
          <w:rFonts w:ascii="Arial" w:eastAsia="Arial" w:hAnsi="Arial" w:cs="Arial"/>
          <w:sz w:val="22"/>
          <w:szCs w:val="22"/>
        </w:rPr>
        <w:t>t</w:t>
      </w:r>
      <w:r w:rsidRPr="0046695E">
        <w:rPr>
          <w:rFonts w:ascii="Arial" w:eastAsia="Arial" w:hAnsi="Arial" w:cs="Arial"/>
          <w:sz w:val="22"/>
          <w:szCs w:val="22"/>
        </w:rPr>
        <w:t>s</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 xml:space="preserve"> </w:t>
      </w:r>
      <w:r w:rsidRPr="00BD17CA">
        <w:rPr>
          <w:rFonts w:ascii="Arial" w:eastAsia="Arial" w:hAnsi="Arial" w:cs="Arial"/>
          <w:sz w:val="22"/>
          <w:szCs w:val="22"/>
        </w:rPr>
        <w:t>e</w:t>
      </w:r>
      <w:r w:rsidRPr="0046695E">
        <w:rPr>
          <w:rFonts w:ascii="Arial" w:eastAsia="Arial" w:hAnsi="Arial" w:cs="Arial"/>
          <w:sz w:val="22"/>
          <w:szCs w:val="22"/>
        </w:rPr>
        <w:t>x</w:t>
      </w:r>
      <w:r w:rsidRPr="00BD17CA">
        <w:rPr>
          <w:rFonts w:ascii="Arial" w:eastAsia="Arial" w:hAnsi="Arial" w:cs="Arial"/>
          <w:sz w:val="22"/>
          <w:szCs w:val="22"/>
        </w:rPr>
        <w:t>p</w:t>
      </w:r>
      <w:r w:rsidRPr="0046695E">
        <w:rPr>
          <w:rFonts w:ascii="Arial" w:eastAsia="Arial" w:hAnsi="Arial" w:cs="Arial"/>
          <w:sz w:val="22"/>
          <w:szCs w:val="22"/>
        </w:rPr>
        <w:t>lain</w:t>
      </w:r>
      <w:r w:rsidRPr="00BD17CA">
        <w:rPr>
          <w:rFonts w:ascii="Arial" w:eastAsia="Arial" w:hAnsi="Arial" w:cs="Arial"/>
          <w:sz w:val="22"/>
          <w:szCs w:val="22"/>
        </w:rPr>
        <w:t>ed</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w:t>
      </w:r>
      <w:r w:rsidRPr="00BD17CA">
        <w:rPr>
          <w:rFonts w:ascii="Arial" w:eastAsia="Arial" w:hAnsi="Arial" w:cs="Arial"/>
          <w:sz w:val="22"/>
          <w:szCs w:val="22"/>
        </w:rPr>
        <w:t>LG</w:t>
      </w:r>
      <w:r w:rsidRPr="0046695E">
        <w:rPr>
          <w:rFonts w:ascii="Arial" w:eastAsia="Arial" w:hAnsi="Arial" w:cs="Arial"/>
          <w:sz w:val="22"/>
          <w:szCs w:val="22"/>
        </w:rPr>
        <w:t>P</w:t>
      </w:r>
      <w:r w:rsidRPr="00BD17CA">
        <w:rPr>
          <w:rFonts w:ascii="Arial" w:eastAsia="Arial" w:hAnsi="Arial" w:cs="Arial"/>
          <w:sz w:val="22"/>
          <w:szCs w:val="22"/>
        </w:rPr>
        <w:t>S</w:t>
      </w:r>
      <w:r w:rsidRPr="0046695E">
        <w:rPr>
          <w:rFonts w:ascii="Arial" w:eastAsia="Arial" w:hAnsi="Arial" w:cs="Arial"/>
          <w:sz w:val="22"/>
          <w:szCs w:val="22"/>
        </w:rPr>
        <w:t xml:space="preserve"> we</w:t>
      </w:r>
      <w:r w:rsidRPr="00BD17CA">
        <w:rPr>
          <w:rFonts w:ascii="Arial" w:eastAsia="Arial" w:hAnsi="Arial" w:cs="Arial"/>
          <w:sz w:val="22"/>
          <w:szCs w:val="22"/>
        </w:rPr>
        <w:t>b</w:t>
      </w:r>
      <w:r w:rsidRPr="0046695E">
        <w:rPr>
          <w:rFonts w:ascii="Arial" w:eastAsia="Arial" w:hAnsi="Arial" w:cs="Arial"/>
          <w:sz w:val="22"/>
          <w:szCs w:val="22"/>
        </w:rPr>
        <w:t>sit</w:t>
      </w:r>
      <w:r w:rsidRPr="00BD17CA">
        <w:rPr>
          <w:rFonts w:ascii="Arial" w:eastAsia="Arial" w:hAnsi="Arial" w:cs="Arial"/>
          <w:sz w:val="22"/>
          <w:szCs w:val="22"/>
        </w:rPr>
        <w:t xml:space="preserve">e </w:t>
      </w:r>
      <w:hyperlink r:id="rId11">
        <w:r w:rsidRPr="0046695E">
          <w:rPr>
            <w:rFonts w:ascii="Arial" w:eastAsia="Arial" w:hAnsi="Arial" w:cs="Arial"/>
            <w:color w:val="00B0F0"/>
            <w:sz w:val="22"/>
            <w:szCs w:val="22"/>
            <w:u w:val="single"/>
          </w:rPr>
          <w:t>www.lgpsmember.org</w:t>
        </w:r>
      </w:hyperlink>
      <w:hyperlink>
        <w:r w:rsidRPr="0046695E">
          <w:rPr>
            <w:rFonts w:ascii="Arial" w:eastAsia="Arial" w:hAnsi="Arial" w:cs="Arial"/>
            <w:sz w:val="22"/>
            <w:szCs w:val="22"/>
          </w:rPr>
          <w:t>.</w:t>
        </w:r>
      </w:hyperlink>
    </w:p>
    <w:p w14:paraId="00CD952E" w14:textId="77777777" w:rsidR="009C7422" w:rsidRP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N</w:t>
      </w:r>
      <w:r w:rsidRPr="0046695E">
        <w:rPr>
          <w:rFonts w:ascii="Arial" w:eastAsia="Arial" w:hAnsi="Arial" w:cs="Arial"/>
          <w:b/>
          <w:sz w:val="22"/>
          <w:szCs w:val="22"/>
        </w:rPr>
        <w:t>OT</w:t>
      </w:r>
      <w:r w:rsidRPr="00BD17CA">
        <w:rPr>
          <w:rFonts w:ascii="Arial" w:eastAsia="Arial" w:hAnsi="Arial" w:cs="Arial"/>
          <w:b/>
          <w:sz w:val="22"/>
          <w:szCs w:val="22"/>
        </w:rPr>
        <w:t>E</w:t>
      </w:r>
      <w:r w:rsidRPr="0046695E">
        <w:rPr>
          <w:rFonts w:ascii="Arial" w:eastAsia="Arial" w:hAnsi="Arial" w:cs="Arial"/>
          <w:b/>
          <w:sz w:val="22"/>
          <w:szCs w:val="22"/>
        </w:rPr>
        <w:t xml:space="preserve"> </w:t>
      </w:r>
      <w:r w:rsidRPr="00BD17CA">
        <w:rPr>
          <w:rFonts w:ascii="Arial" w:eastAsia="Arial" w:hAnsi="Arial" w:cs="Arial"/>
          <w:b/>
          <w:sz w:val="22"/>
          <w:szCs w:val="22"/>
        </w:rPr>
        <w:t>2:</w:t>
      </w:r>
      <w:r w:rsidRPr="0046695E">
        <w:rPr>
          <w:rFonts w:ascii="Arial" w:eastAsia="Arial" w:hAnsi="Arial" w:cs="Arial"/>
          <w:b/>
          <w:sz w:val="22"/>
          <w:szCs w:val="22"/>
        </w:rPr>
        <w:t xml:space="preserve"> BASI</w:t>
      </w:r>
      <w:r w:rsidRPr="00BD17CA">
        <w:rPr>
          <w:rFonts w:ascii="Arial" w:eastAsia="Arial" w:hAnsi="Arial" w:cs="Arial"/>
          <w:b/>
          <w:sz w:val="22"/>
          <w:szCs w:val="22"/>
        </w:rPr>
        <w:t>S</w:t>
      </w:r>
      <w:r w:rsidRPr="0046695E">
        <w:rPr>
          <w:rFonts w:ascii="Arial" w:eastAsia="Arial" w:hAnsi="Arial" w:cs="Arial"/>
          <w:b/>
          <w:sz w:val="22"/>
          <w:szCs w:val="22"/>
        </w:rPr>
        <w:t xml:space="preserve"> O</w:t>
      </w:r>
      <w:r w:rsidRPr="00BD17CA">
        <w:rPr>
          <w:rFonts w:ascii="Arial" w:eastAsia="Arial" w:hAnsi="Arial" w:cs="Arial"/>
          <w:b/>
          <w:sz w:val="22"/>
          <w:szCs w:val="22"/>
        </w:rPr>
        <w:t>F</w:t>
      </w:r>
      <w:r w:rsidRPr="0046695E">
        <w:rPr>
          <w:rFonts w:ascii="Arial" w:eastAsia="Arial" w:hAnsi="Arial" w:cs="Arial"/>
          <w:b/>
          <w:sz w:val="22"/>
          <w:szCs w:val="22"/>
        </w:rPr>
        <w:t xml:space="preserve"> PREPARAT</w:t>
      </w:r>
      <w:r w:rsidRPr="00BD17CA">
        <w:rPr>
          <w:rFonts w:ascii="Arial" w:eastAsia="Arial" w:hAnsi="Arial" w:cs="Arial"/>
          <w:b/>
          <w:sz w:val="22"/>
          <w:szCs w:val="22"/>
        </w:rPr>
        <w:t>I</w:t>
      </w:r>
      <w:r w:rsidRPr="0046695E">
        <w:rPr>
          <w:rFonts w:ascii="Arial" w:eastAsia="Arial" w:hAnsi="Arial" w:cs="Arial"/>
          <w:b/>
          <w:sz w:val="22"/>
          <w:szCs w:val="22"/>
        </w:rPr>
        <w:t>O</w:t>
      </w:r>
      <w:r w:rsidRPr="00BD17CA">
        <w:rPr>
          <w:rFonts w:ascii="Arial" w:eastAsia="Arial" w:hAnsi="Arial" w:cs="Arial"/>
          <w:b/>
          <w:sz w:val="22"/>
          <w:szCs w:val="22"/>
        </w:rPr>
        <w:t>N</w:t>
      </w:r>
    </w:p>
    <w:p w14:paraId="6E7AA91B" w14:textId="6E898225" w:rsidR="009C7422" w:rsidRPr="00BD17CA"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T</w:t>
      </w:r>
      <w:r w:rsidRPr="00BD17CA">
        <w:rPr>
          <w:rFonts w:ascii="Arial" w:eastAsia="Arial" w:hAnsi="Arial" w:cs="Arial"/>
          <w:sz w:val="22"/>
          <w:szCs w:val="22"/>
        </w:rPr>
        <w:t>he</w:t>
      </w:r>
      <w:r w:rsidRPr="0046695E">
        <w:rPr>
          <w:rFonts w:ascii="Arial" w:eastAsia="Arial" w:hAnsi="Arial" w:cs="Arial"/>
          <w:sz w:val="22"/>
          <w:szCs w:val="22"/>
        </w:rPr>
        <w:t xml:space="preserve"> S</w:t>
      </w:r>
      <w:r w:rsidRPr="00BD17CA">
        <w:rPr>
          <w:rFonts w:ascii="Arial" w:eastAsia="Arial" w:hAnsi="Arial" w:cs="Arial"/>
          <w:sz w:val="22"/>
          <w:szCs w:val="22"/>
        </w:rPr>
        <w:t>ta</w:t>
      </w:r>
      <w:r w:rsidRPr="0046695E">
        <w:rPr>
          <w:rFonts w:ascii="Arial" w:eastAsia="Arial" w:hAnsi="Arial" w:cs="Arial"/>
          <w:sz w:val="22"/>
          <w:szCs w:val="22"/>
        </w:rPr>
        <w:t>t</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Acc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 xml:space="preserve">nts </w:t>
      </w:r>
      <w:proofErr w:type="spellStart"/>
      <w:r w:rsidRPr="0046695E">
        <w:rPr>
          <w:rFonts w:ascii="Arial" w:eastAsia="Arial" w:hAnsi="Arial" w:cs="Arial"/>
          <w:sz w:val="22"/>
          <w:szCs w:val="22"/>
        </w:rPr>
        <w:t>s</w:t>
      </w:r>
      <w:r w:rsidRPr="00BD17CA">
        <w:rPr>
          <w:rFonts w:ascii="Arial" w:eastAsia="Arial" w:hAnsi="Arial" w:cs="Arial"/>
          <w:sz w:val="22"/>
          <w:szCs w:val="22"/>
        </w:rPr>
        <w:t>u</w:t>
      </w:r>
      <w:r w:rsidRPr="0046695E">
        <w:rPr>
          <w:rFonts w:ascii="Arial" w:eastAsia="Arial" w:hAnsi="Arial" w:cs="Arial"/>
          <w:sz w:val="22"/>
          <w:szCs w:val="22"/>
        </w:rPr>
        <w:t>mmaris</w:t>
      </w:r>
      <w:r w:rsidRPr="00BD17CA">
        <w:rPr>
          <w:rFonts w:ascii="Arial" w:eastAsia="Arial" w:hAnsi="Arial" w:cs="Arial"/>
          <w:sz w:val="22"/>
          <w:szCs w:val="22"/>
        </w:rPr>
        <w:t>es</w:t>
      </w:r>
      <w:proofErr w:type="spellEnd"/>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Pe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on</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d's</w:t>
      </w:r>
      <w:r w:rsidRPr="0046695E">
        <w:rPr>
          <w:rFonts w:ascii="Arial" w:eastAsia="Arial" w:hAnsi="Arial" w:cs="Arial"/>
          <w:sz w:val="22"/>
          <w:szCs w:val="22"/>
        </w:rPr>
        <w:t xml:space="preserve"> </w:t>
      </w:r>
      <w:r w:rsidRPr="00BD17CA">
        <w:rPr>
          <w:rFonts w:ascii="Arial" w:eastAsia="Arial" w:hAnsi="Arial" w:cs="Arial"/>
          <w:sz w:val="22"/>
          <w:szCs w:val="22"/>
        </w:rPr>
        <w:t>tr</w:t>
      </w:r>
      <w:r w:rsidRPr="0046695E">
        <w:rPr>
          <w:rFonts w:ascii="Arial" w:eastAsia="Arial" w:hAnsi="Arial" w:cs="Arial"/>
          <w:sz w:val="22"/>
          <w:szCs w:val="22"/>
        </w:rPr>
        <w:t>a</w:t>
      </w:r>
      <w:r w:rsidRPr="00BD17CA">
        <w:rPr>
          <w:rFonts w:ascii="Arial" w:eastAsia="Arial" w:hAnsi="Arial" w:cs="Arial"/>
          <w:sz w:val="22"/>
          <w:szCs w:val="22"/>
        </w:rPr>
        <w:t>n</w:t>
      </w:r>
      <w:r w:rsidRPr="0046695E">
        <w:rPr>
          <w:rFonts w:ascii="Arial" w:eastAsia="Arial" w:hAnsi="Arial" w:cs="Arial"/>
          <w:sz w:val="22"/>
          <w:szCs w:val="22"/>
        </w:rPr>
        <w:t>s</w:t>
      </w:r>
      <w:r w:rsidRPr="00BD17CA">
        <w:rPr>
          <w:rFonts w:ascii="Arial" w:eastAsia="Arial" w:hAnsi="Arial" w:cs="Arial"/>
          <w:sz w:val="22"/>
          <w:szCs w:val="22"/>
        </w:rPr>
        <w:t>a</w:t>
      </w:r>
      <w:r w:rsidRPr="0046695E">
        <w:rPr>
          <w:rFonts w:ascii="Arial" w:eastAsia="Arial" w:hAnsi="Arial" w:cs="Arial"/>
          <w:sz w:val="22"/>
          <w:szCs w:val="22"/>
        </w:rPr>
        <w:t>c</w:t>
      </w:r>
      <w:r w:rsidRPr="00BD17CA">
        <w:rPr>
          <w:rFonts w:ascii="Arial" w:eastAsia="Arial" w:hAnsi="Arial" w:cs="Arial"/>
          <w:sz w:val="22"/>
          <w:szCs w:val="22"/>
        </w:rPr>
        <w:t>t</w:t>
      </w:r>
      <w:r w:rsidRPr="0046695E">
        <w:rPr>
          <w:rFonts w:ascii="Arial" w:eastAsia="Arial" w:hAnsi="Arial" w:cs="Arial"/>
          <w:sz w:val="22"/>
          <w:szCs w:val="22"/>
        </w:rPr>
        <w:t>io</w:t>
      </w:r>
      <w:r w:rsidRPr="00BD17CA">
        <w:rPr>
          <w:rFonts w:ascii="Arial" w:eastAsia="Arial" w:hAnsi="Arial" w:cs="Arial"/>
          <w:sz w:val="22"/>
          <w:szCs w:val="22"/>
        </w:rPr>
        <w:t>ns</w:t>
      </w:r>
      <w:r w:rsidRPr="0046695E">
        <w:rPr>
          <w:rFonts w:ascii="Arial" w:eastAsia="Arial" w:hAnsi="Arial" w:cs="Arial"/>
          <w:sz w:val="22"/>
          <w:szCs w:val="22"/>
        </w:rPr>
        <w:t xml:space="preserve"> f</w:t>
      </w:r>
      <w:r w:rsidRPr="00BD17CA">
        <w:rPr>
          <w:rFonts w:ascii="Arial" w:eastAsia="Arial" w:hAnsi="Arial" w:cs="Arial"/>
          <w:sz w:val="22"/>
          <w:szCs w:val="22"/>
        </w:rPr>
        <w:t>or</w:t>
      </w:r>
      <w:r w:rsidRPr="0046695E">
        <w:rPr>
          <w:rFonts w:ascii="Arial" w:eastAsia="Arial" w:hAnsi="Arial" w:cs="Arial"/>
          <w:sz w:val="22"/>
          <w:szCs w:val="22"/>
        </w:rPr>
        <w:t xml:space="preserve"> </w:t>
      </w:r>
      <w:r w:rsidRPr="00BD17CA">
        <w:rPr>
          <w:rFonts w:ascii="Arial" w:eastAsia="Arial" w:hAnsi="Arial" w:cs="Arial"/>
          <w:sz w:val="22"/>
          <w:szCs w:val="22"/>
        </w:rPr>
        <w:t xml:space="preserve">the </w:t>
      </w:r>
      <w:r w:rsidR="00D01566">
        <w:rPr>
          <w:rFonts w:ascii="Arial" w:eastAsia="Arial" w:hAnsi="Arial" w:cs="Arial"/>
          <w:sz w:val="22"/>
          <w:szCs w:val="22"/>
        </w:rPr>
        <w:t>2019/20</w:t>
      </w:r>
      <w:r w:rsidRPr="0046695E">
        <w:rPr>
          <w:rFonts w:ascii="Arial" w:eastAsia="Arial" w:hAnsi="Arial" w:cs="Arial"/>
          <w:sz w:val="22"/>
          <w:szCs w:val="22"/>
        </w:rPr>
        <w:t xml:space="preserve"> fin</w:t>
      </w:r>
      <w:r w:rsidRPr="00BD17CA">
        <w:rPr>
          <w:rFonts w:ascii="Arial" w:eastAsia="Arial" w:hAnsi="Arial" w:cs="Arial"/>
          <w:sz w:val="22"/>
          <w:szCs w:val="22"/>
        </w:rPr>
        <w:t>a</w:t>
      </w:r>
      <w:r w:rsidRPr="0046695E">
        <w:rPr>
          <w:rFonts w:ascii="Arial" w:eastAsia="Arial" w:hAnsi="Arial" w:cs="Arial"/>
          <w:sz w:val="22"/>
          <w:szCs w:val="22"/>
        </w:rPr>
        <w:t>nci</w:t>
      </w:r>
      <w:r w:rsidRPr="00BD17CA">
        <w:rPr>
          <w:rFonts w:ascii="Arial" w:eastAsia="Arial" w:hAnsi="Arial" w:cs="Arial"/>
          <w:sz w:val="22"/>
          <w:szCs w:val="22"/>
        </w:rPr>
        <w:t>al</w:t>
      </w:r>
      <w:r w:rsidRPr="0046695E">
        <w:rPr>
          <w:rFonts w:ascii="Arial" w:eastAsia="Arial" w:hAnsi="Arial" w:cs="Arial"/>
          <w:sz w:val="22"/>
          <w:szCs w:val="22"/>
        </w:rPr>
        <w:t xml:space="preserve"> ye</w:t>
      </w:r>
      <w:r w:rsidRPr="00BD17CA">
        <w:rPr>
          <w:rFonts w:ascii="Arial" w:eastAsia="Arial" w:hAnsi="Arial" w:cs="Arial"/>
          <w:sz w:val="22"/>
          <w:szCs w:val="22"/>
        </w:rPr>
        <w:t>ar</w:t>
      </w:r>
      <w:r w:rsidRPr="0046695E">
        <w:rPr>
          <w:rFonts w:ascii="Arial" w:eastAsia="Arial" w:hAnsi="Arial" w:cs="Arial"/>
          <w:sz w:val="22"/>
          <w:szCs w:val="22"/>
        </w:rPr>
        <w:t xml:space="preserve"> a</w:t>
      </w:r>
      <w:r w:rsidRPr="00BD17CA">
        <w:rPr>
          <w:rFonts w:ascii="Arial" w:eastAsia="Arial" w:hAnsi="Arial" w:cs="Arial"/>
          <w:sz w:val="22"/>
          <w:szCs w:val="22"/>
        </w:rPr>
        <w:t>nd</w:t>
      </w:r>
      <w:r w:rsidRPr="0046695E">
        <w:rPr>
          <w:rFonts w:ascii="Arial" w:eastAsia="Arial" w:hAnsi="Arial" w:cs="Arial"/>
          <w:sz w:val="22"/>
          <w:szCs w:val="22"/>
        </w:rPr>
        <w:t xml:space="preserve"> it</w:t>
      </w:r>
      <w:r w:rsidRPr="00BD17CA">
        <w:rPr>
          <w:rFonts w:ascii="Arial" w:eastAsia="Arial" w:hAnsi="Arial" w:cs="Arial"/>
          <w:sz w:val="22"/>
          <w:szCs w:val="22"/>
        </w:rPr>
        <w:t>s p</w:t>
      </w:r>
      <w:r w:rsidRPr="0046695E">
        <w:rPr>
          <w:rFonts w:ascii="Arial" w:eastAsia="Arial" w:hAnsi="Arial" w:cs="Arial"/>
          <w:sz w:val="22"/>
          <w:szCs w:val="22"/>
        </w:rPr>
        <w:t>ositi</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at</w:t>
      </w:r>
      <w:r w:rsidRPr="0046695E">
        <w:rPr>
          <w:rFonts w:ascii="Arial" w:eastAsia="Arial" w:hAnsi="Arial" w:cs="Arial"/>
          <w:sz w:val="22"/>
          <w:szCs w:val="22"/>
        </w:rPr>
        <w:t xml:space="preserve"> </w:t>
      </w:r>
      <w:r w:rsidRPr="00BD17CA">
        <w:rPr>
          <w:rFonts w:ascii="Arial" w:eastAsia="Arial" w:hAnsi="Arial" w:cs="Arial"/>
          <w:sz w:val="22"/>
          <w:szCs w:val="22"/>
        </w:rPr>
        <w:t>31</w:t>
      </w:r>
      <w:r w:rsidRPr="0046695E">
        <w:rPr>
          <w:rFonts w:ascii="Arial" w:eastAsia="Arial" w:hAnsi="Arial" w:cs="Arial"/>
          <w:sz w:val="22"/>
          <w:szCs w:val="22"/>
        </w:rPr>
        <w:t xml:space="preserve"> M</w:t>
      </w:r>
      <w:r w:rsidRPr="00BD17CA">
        <w:rPr>
          <w:rFonts w:ascii="Arial" w:eastAsia="Arial" w:hAnsi="Arial" w:cs="Arial"/>
          <w:sz w:val="22"/>
          <w:szCs w:val="22"/>
        </w:rPr>
        <w:t>ar</w:t>
      </w:r>
      <w:r w:rsidRPr="0046695E">
        <w:rPr>
          <w:rFonts w:ascii="Arial" w:eastAsia="Arial" w:hAnsi="Arial" w:cs="Arial"/>
          <w:sz w:val="22"/>
          <w:szCs w:val="22"/>
        </w:rPr>
        <w:t>c</w:t>
      </w:r>
      <w:r w:rsidRPr="00BD17CA">
        <w:rPr>
          <w:rFonts w:ascii="Arial" w:eastAsia="Arial" w:hAnsi="Arial" w:cs="Arial"/>
          <w:sz w:val="22"/>
          <w:szCs w:val="22"/>
        </w:rPr>
        <w:t>h</w:t>
      </w:r>
      <w:r w:rsidRPr="0046695E">
        <w:rPr>
          <w:rFonts w:ascii="Arial" w:eastAsia="Arial" w:hAnsi="Arial" w:cs="Arial"/>
          <w:sz w:val="22"/>
          <w:szCs w:val="22"/>
        </w:rPr>
        <w:t xml:space="preserve"> </w:t>
      </w:r>
      <w:r w:rsidR="00D01566" w:rsidRPr="00BD17CA">
        <w:rPr>
          <w:rFonts w:ascii="Arial" w:eastAsia="Arial" w:hAnsi="Arial" w:cs="Arial"/>
          <w:sz w:val="22"/>
          <w:szCs w:val="22"/>
        </w:rPr>
        <w:t>2</w:t>
      </w:r>
      <w:r w:rsidR="00D01566" w:rsidRPr="0046695E">
        <w:rPr>
          <w:rFonts w:ascii="Arial" w:eastAsia="Arial" w:hAnsi="Arial" w:cs="Arial"/>
          <w:sz w:val="22"/>
          <w:szCs w:val="22"/>
        </w:rPr>
        <w:t>0</w:t>
      </w:r>
      <w:r w:rsidR="00D01566">
        <w:rPr>
          <w:rFonts w:ascii="Arial" w:eastAsia="Arial" w:hAnsi="Arial" w:cs="Arial"/>
          <w:sz w:val="22"/>
          <w:szCs w:val="22"/>
        </w:rPr>
        <w:t>20</w:t>
      </w:r>
      <w:r w:rsidRPr="00BD17CA">
        <w:rPr>
          <w:rFonts w:ascii="Arial" w:eastAsia="Arial" w:hAnsi="Arial" w:cs="Arial"/>
          <w:sz w:val="22"/>
          <w:szCs w:val="22"/>
        </w:rPr>
        <w:t>.</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nts</w:t>
      </w:r>
      <w:r w:rsidRPr="0046695E">
        <w:rPr>
          <w:rFonts w:ascii="Arial" w:eastAsia="Arial" w:hAnsi="Arial" w:cs="Arial"/>
          <w:sz w:val="22"/>
          <w:szCs w:val="22"/>
        </w:rPr>
        <w:t xml:space="preserve"> </w:t>
      </w:r>
      <w:r w:rsidRPr="00BD17CA">
        <w:rPr>
          <w:rFonts w:ascii="Arial" w:eastAsia="Arial" w:hAnsi="Arial" w:cs="Arial"/>
          <w:sz w:val="22"/>
          <w:szCs w:val="22"/>
        </w:rPr>
        <w:t>h</w:t>
      </w:r>
      <w:r w:rsidRPr="0046695E">
        <w:rPr>
          <w:rFonts w:ascii="Arial" w:eastAsia="Arial" w:hAnsi="Arial" w:cs="Arial"/>
          <w:sz w:val="22"/>
          <w:szCs w:val="22"/>
        </w:rPr>
        <w:t>av</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e</w:t>
      </w:r>
      <w:r w:rsidRPr="00BD17CA">
        <w:rPr>
          <w:rFonts w:ascii="Arial" w:eastAsia="Arial" w:hAnsi="Arial" w:cs="Arial"/>
          <w:sz w:val="22"/>
          <w:szCs w:val="22"/>
        </w:rPr>
        <w:t>en</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p</w:t>
      </w:r>
      <w:r w:rsidRPr="00BD17CA">
        <w:rPr>
          <w:rFonts w:ascii="Arial" w:eastAsia="Arial" w:hAnsi="Arial" w:cs="Arial"/>
          <w:sz w:val="22"/>
          <w:szCs w:val="22"/>
        </w:rPr>
        <w:t>ar</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w:t>
      </w:r>
      <w:r w:rsidRPr="00BD17CA">
        <w:rPr>
          <w:rFonts w:ascii="Arial" w:eastAsia="Arial" w:hAnsi="Arial" w:cs="Arial"/>
          <w:sz w:val="22"/>
          <w:szCs w:val="22"/>
        </w:rPr>
        <w:t>ord</w:t>
      </w:r>
      <w:r w:rsidRPr="0046695E">
        <w:rPr>
          <w:rFonts w:ascii="Arial" w:eastAsia="Arial" w:hAnsi="Arial" w:cs="Arial"/>
          <w:sz w:val="22"/>
          <w:szCs w:val="22"/>
        </w:rPr>
        <w:t>a</w:t>
      </w:r>
      <w:r w:rsidRPr="00BD17CA">
        <w:rPr>
          <w:rFonts w:ascii="Arial" w:eastAsia="Arial" w:hAnsi="Arial" w:cs="Arial"/>
          <w:sz w:val="22"/>
          <w:szCs w:val="22"/>
        </w:rPr>
        <w:t>n</w:t>
      </w:r>
      <w:r w:rsidRPr="0046695E">
        <w:rPr>
          <w:rFonts w:ascii="Arial" w:eastAsia="Arial" w:hAnsi="Arial" w:cs="Arial"/>
          <w:sz w:val="22"/>
          <w:szCs w:val="22"/>
        </w:rPr>
        <w:t>c</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w</w:t>
      </w:r>
      <w:r w:rsidRPr="0046695E">
        <w:rPr>
          <w:rFonts w:ascii="Arial" w:eastAsia="Arial" w:hAnsi="Arial" w:cs="Arial"/>
          <w:sz w:val="22"/>
          <w:szCs w:val="22"/>
        </w:rPr>
        <w:t>i</w:t>
      </w:r>
      <w:r w:rsidRPr="00BD17CA">
        <w:rPr>
          <w:rFonts w:ascii="Arial" w:eastAsia="Arial" w:hAnsi="Arial" w:cs="Arial"/>
          <w:sz w:val="22"/>
          <w:szCs w:val="22"/>
        </w:rPr>
        <w:t>th</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w:t>
      </w:r>
      <w:r w:rsidRPr="00BD17CA">
        <w:rPr>
          <w:rFonts w:ascii="Arial" w:eastAsia="Arial" w:hAnsi="Arial" w:cs="Arial"/>
          <w:sz w:val="22"/>
          <w:szCs w:val="22"/>
        </w:rPr>
        <w:t>C</w:t>
      </w:r>
      <w:r w:rsidRPr="0046695E">
        <w:rPr>
          <w:rFonts w:ascii="Arial" w:eastAsia="Arial" w:hAnsi="Arial" w:cs="Arial"/>
          <w:sz w:val="22"/>
          <w:szCs w:val="22"/>
        </w:rPr>
        <w:t>o</w:t>
      </w:r>
      <w:r w:rsidRPr="00BD17CA">
        <w:rPr>
          <w:rFonts w:ascii="Arial" w:eastAsia="Arial" w:hAnsi="Arial" w:cs="Arial"/>
          <w:sz w:val="22"/>
          <w:szCs w:val="22"/>
        </w:rPr>
        <w:t>de</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Pr</w:t>
      </w:r>
      <w:r w:rsidRPr="00BD17CA">
        <w:rPr>
          <w:rFonts w:ascii="Arial" w:eastAsia="Arial" w:hAnsi="Arial" w:cs="Arial"/>
          <w:sz w:val="22"/>
          <w:szCs w:val="22"/>
        </w:rPr>
        <w:t>a</w:t>
      </w:r>
      <w:r w:rsidRPr="0046695E">
        <w:rPr>
          <w:rFonts w:ascii="Arial" w:eastAsia="Arial" w:hAnsi="Arial" w:cs="Arial"/>
          <w:sz w:val="22"/>
          <w:szCs w:val="22"/>
        </w:rPr>
        <w:t>c</w:t>
      </w:r>
      <w:r w:rsidRPr="00BD17CA">
        <w:rPr>
          <w:rFonts w:ascii="Arial" w:eastAsia="Arial" w:hAnsi="Arial" w:cs="Arial"/>
          <w:sz w:val="22"/>
          <w:szCs w:val="22"/>
        </w:rPr>
        <w:t>t</w:t>
      </w:r>
      <w:r w:rsidRPr="0046695E">
        <w:rPr>
          <w:rFonts w:ascii="Arial" w:eastAsia="Arial" w:hAnsi="Arial" w:cs="Arial"/>
          <w:sz w:val="22"/>
          <w:szCs w:val="22"/>
        </w:rPr>
        <w:t>ic</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L</w:t>
      </w:r>
      <w:r w:rsidRPr="0046695E">
        <w:rPr>
          <w:rFonts w:ascii="Arial" w:eastAsia="Arial" w:hAnsi="Arial" w:cs="Arial"/>
          <w:sz w:val="22"/>
          <w:szCs w:val="22"/>
        </w:rPr>
        <w:t>oc</w:t>
      </w:r>
      <w:r w:rsidRPr="00BD17CA">
        <w:rPr>
          <w:rFonts w:ascii="Arial" w:eastAsia="Arial" w:hAnsi="Arial" w:cs="Arial"/>
          <w:sz w:val="22"/>
          <w:szCs w:val="22"/>
        </w:rPr>
        <w:t xml:space="preserve">al </w:t>
      </w:r>
      <w:r w:rsidRPr="0046695E">
        <w:rPr>
          <w:rFonts w:ascii="Arial" w:eastAsia="Arial" w:hAnsi="Arial" w:cs="Arial"/>
          <w:sz w:val="22"/>
          <w:szCs w:val="22"/>
        </w:rPr>
        <w:t>A</w:t>
      </w:r>
      <w:r w:rsidRPr="00BD17CA">
        <w:rPr>
          <w:rFonts w:ascii="Arial" w:eastAsia="Arial" w:hAnsi="Arial" w:cs="Arial"/>
          <w:sz w:val="22"/>
          <w:szCs w:val="22"/>
        </w:rPr>
        <w:t>ut</w:t>
      </w:r>
      <w:r w:rsidRPr="0046695E">
        <w:rPr>
          <w:rFonts w:ascii="Arial" w:eastAsia="Arial" w:hAnsi="Arial" w:cs="Arial"/>
          <w:sz w:val="22"/>
          <w:szCs w:val="22"/>
        </w:rPr>
        <w:t>h</w:t>
      </w:r>
      <w:r w:rsidRPr="00BD17CA">
        <w:rPr>
          <w:rFonts w:ascii="Arial" w:eastAsia="Arial" w:hAnsi="Arial" w:cs="Arial"/>
          <w:sz w:val="22"/>
          <w:szCs w:val="22"/>
        </w:rPr>
        <w:t>ori</w:t>
      </w:r>
      <w:r w:rsidRPr="0046695E">
        <w:rPr>
          <w:rFonts w:ascii="Arial" w:eastAsia="Arial" w:hAnsi="Arial" w:cs="Arial"/>
          <w:sz w:val="22"/>
          <w:szCs w:val="22"/>
        </w:rPr>
        <w:t>t</w:t>
      </w:r>
      <w:r w:rsidRPr="00BD17CA">
        <w:rPr>
          <w:rFonts w:ascii="Arial" w:eastAsia="Arial" w:hAnsi="Arial" w:cs="Arial"/>
          <w:sz w:val="22"/>
          <w:szCs w:val="22"/>
        </w:rPr>
        <w:t xml:space="preserve">y </w:t>
      </w:r>
      <w:r w:rsidRPr="0046695E">
        <w:rPr>
          <w:rFonts w:ascii="Arial" w:eastAsia="Arial" w:hAnsi="Arial" w:cs="Arial"/>
          <w:sz w:val="22"/>
          <w:szCs w:val="22"/>
        </w:rPr>
        <w:t>Acc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w:t>
      </w:r>
      <w:r w:rsidRPr="0046695E">
        <w:rPr>
          <w:rFonts w:ascii="Arial" w:eastAsia="Arial" w:hAnsi="Arial" w:cs="Arial"/>
          <w:sz w:val="22"/>
          <w:szCs w:val="22"/>
        </w:rPr>
        <w:t>i</w:t>
      </w:r>
      <w:r w:rsidRPr="00BD17CA">
        <w:rPr>
          <w:rFonts w:ascii="Arial" w:eastAsia="Arial" w:hAnsi="Arial" w:cs="Arial"/>
          <w:sz w:val="22"/>
          <w:szCs w:val="22"/>
        </w:rPr>
        <w:t>ng</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Un</w:t>
      </w:r>
      <w:r w:rsidRPr="0046695E">
        <w:rPr>
          <w:rFonts w:ascii="Arial" w:eastAsia="Arial" w:hAnsi="Arial" w:cs="Arial"/>
          <w:sz w:val="22"/>
          <w:szCs w:val="22"/>
        </w:rPr>
        <w:t>i</w:t>
      </w:r>
      <w:r w:rsidRPr="00BD17CA">
        <w:rPr>
          <w:rFonts w:ascii="Arial" w:eastAsia="Arial" w:hAnsi="Arial" w:cs="Arial"/>
          <w:sz w:val="22"/>
          <w:szCs w:val="22"/>
        </w:rPr>
        <w:t>t</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Kin</w:t>
      </w:r>
      <w:r w:rsidRPr="00BD17CA">
        <w:rPr>
          <w:rFonts w:ascii="Arial" w:eastAsia="Arial" w:hAnsi="Arial" w:cs="Arial"/>
          <w:sz w:val="22"/>
          <w:szCs w:val="22"/>
        </w:rPr>
        <w:t>g</w:t>
      </w:r>
      <w:r w:rsidRPr="0046695E">
        <w:rPr>
          <w:rFonts w:ascii="Arial" w:eastAsia="Arial" w:hAnsi="Arial" w:cs="Arial"/>
          <w:sz w:val="22"/>
          <w:szCs w:val="22"/>
        </w:rPr>
        <w:t>d</w:t>
      </w:r>
      <w:r w:rsidRPr="00BD17CA">
        <w:rPr>
          <w:rFonts w:ascii="Arial" w:eastAsia="Arial" w:hAnsi="Arial" w:cs="Arial"/>
          <w:sz w:val="22"/>
          <w:szCs w:val="22"/>
        </w:rPr>
        <w:t>om</w:t>
      </w:r>
      <w:r w:rsidRPr="0046695E">
        <w:rPr>
          <w:rFonts w:ascii="Arial" w:eastAsia="Arial" w:hAnsi="Arial" w:cs="Arial"/>
          <w:sz w:val="22"/>
          <w:szCs w:val="22"/>
        </w:rPr>
        <w:t xml:space="preserve"> </w:t>
      </w:r>
      <w:r w:rsidR="00D01566">
        <w:rPr>
          <w:rFonts w:ascii="Arial" w:eastAsia="Arial" w:hAnsi="Arial" w:cs="Arial"/>
          <w:sz w:val="22"/>
          <w:szCs w:val="22"/>
        </w:rPr>
        <w:t>2019/20</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w:t>
      </w:r>
      <w:r w:rsidRPr="00BD17CA">
        <w:rPr>
          <w:rFonts w:ascii="Arial" w:eastAsia="Arial" w:hAnsi="Arial" w:cs="Arial"/>
          <w:sz w:val="22"/>
          <w:szCs w:val="22"/>
        </w:rPr>
        <w:t>C</w:t>
      </w:r>
      <w:r w:rsidRPr="0046695E">
        <w:rPr>
          <w:rFonts w:ascii="Arial" w:eastAsia="Arial" w:hAnsi="Arial" w:cs="Arial"/>
          <w:sz w:val="22"/>
          <w:szCs w:val="22"/>
        </w:rPr>
        <w:t>o</w:t>
      </w:r>
      <w:r w:rsidRPr="00BD17CA">
        <w:rPr>
          <w:rFonts w:ascii="Arial" w:eastAsia="Arial" w:hAnsi="Arial" w:cs="Arial"/>
          <w:sz w:val="22"/>
          <w:szCs w:val="22"/>
        </w:rPr>
        <w:t>d</w:t>
      </w:r>
      <w:r w:rsidRPr="0046695E">
        <w:rPr>
          <w:rFonts w:ascii="Arial" w:eastAsia="Arial" w:hAnsi="Arial" w:cs="Arial"/>
          <w:sz w:val="22"/>
          <w:szCs w:val="22"/>
        </w:rPr>
        <w:t>e)</w:t>
      </w:r>
      <w:r w:rsidRPr="00BD17CA">
        <w:rPr>
          <w:rFonts w:ascii="Arial" w:eastAsia="Arial" w:hAnsi="Arial" w:cs="Arial"/>
          <w:sz w:val="22"/>
          <w:szCs w:val="22"/>
        </w:rPr>
        <w:t>,</w:t>
      </w:r>
      <w:r w:rsidRPr="0046695E">
        <w:rPr>
          <w:rFonts w:ascii="Arial" w:eastAsia="Arial" w:hAnsi="Arial" w:cs="Arial"/>
          <w:sz w:val="22"/>
          <w:szCs w:val="22"/>
        </w:rPr>
        <w:t xml:space="preserve"> whic</w:t>
      </w:r>
      <w:r w:rsidRPr="00BD17CA">
        <w:rPr>
          <w:rFonts w:ascii="Arial" w:eastAsia="Arial" w:hAnsi="Arial" w:cs="Arial"/>
          <w:sz w:val="22"/>
          <w:szCs w:val="22"/>
        </w:rPr>
        <w:t>h</w:t>
      </w:r>
      <w:r w:rsidRPr="0046695E">
        <w:rPr>
          <w:rFonts w:ascii="Arial" w:eastAsia="Arial" w:hAnsi="Arial" w:cs="Arial"/>
          <w:sz w:val="22"/>
          <w:szCs w:val="22"/>
        </w:rPr>
        <w:t xml:space="preserve"> i</w:t>
      </w:r>
      <w:r w:rsidRPr="00BD17CA">
        <w:rPr>
          <w:rFonts w:ascii="Arial" w:eastAsia="Arial" w:hAnsi="Arial" w:cs="Arial"/>
          <w:sz w:val="22"/>
          <w:szCs w:val="22"/>
        </w:rPr>
        <w:t>s</w:t>
      </w:r>
      <w:r w:rsidRPr="0046695E">
        <w:rPr>
          <w:rFonts w:ascii="Arial" w:eastAsia="Arial" w:hAnsi="Arial" w:cs="Arial"/>
          <w:sz w:val="22"/>
          <w:szCs w:val="22"/>
        </w:rPr>
        <w:t xml:space="preserve"> b</w:t>
      </w:r>
      <w:r w:rsidRPr="00BD17CA">
        <w:rPr>
          <w:rFonts w:ascii="Arial" w:eastAsia="Arial" w:hAnsi="Arial" w:cs="Arial"/>
          <w:sz w:val="22"/>
          <w:szCs w:val="22"/>
        </w:rPr>
        <w:t>a</w:t>
      </w:r>
      <w:r w:rsidRPr="0046695E">
        <w:rPr>
          <w:rFonts w:ascii="Arial" w:eastAsia="Arial" w:hAnsi="Arial" w:cs="Arial"/>
          <w:sz w:val="22"/>
          <w:szCs w:val="22"/>
        </w:rPr>
        <w:t>s</w:t>
      </w:r>
      <w:r w:rsidRPr="00BD17CA">
        <w:rPr>
          <w:rFonts w:ascii="Arial" w:eastAsia="Arial" w:hAnsi="Arial" w:cs="Arial"/>
          <w:sz w:val="22"/>
          <w:szCs w:val="22"/>
        </w:rPr>
        <w:t>ed</w:t>
      </w:r>
      <w:r w:rsidRPr="0046695E">
        <w:rPr>
          <w:rFonts w:ascii="Arial" w:eastAsia="Arial" w:hAnsi="Arial" w:cs="Arial"/>
          <w:sz w:val="22"/>
          <w:szCs w:val="22"/>
        </w:rPr>
        <w:t xml:space="preserve"> </w:t>
      </w:r>
      <w:r w:rsidRPr="00BD17CA">
        <w:rPr>
          <w:rFonts w:ascii="Arial" w:eastAsia="Arial" w:hAnsi="Arial" w:cs="Arial"/>
          <w:sz w:val="22"/>
          <w:szCs w:val="22"/>
        </w:rPr>
        <w:t>u</w:t>
      </w:r>
      <w:r w:rsidRPr="0046695E">
        <w:rPr>
          <w:rFonts w:ascii="Arial" w:eastAsia="Arial" w:hAnsi="Arial" w:cs="Arial"/>
          <w:sz w:val="22"/>
          <w:szCs w:val="22"/>
        </w:rPr>
        <w:t>p</w:t>
      </w:r>
      <w:r w:rsidRPr="00BD17CA">
        <w:rPr>
          <w:rFonts w:ascii="Arial" w:eastAsia="Arial" w:hAnsi="Arial" w:cs="Arial"/>
          <w:sz w:val="22"/>
          <w:szCs w:val="22"/>
        </w:rPr>
        <w:t>on</w:t>
      </w:r>
      <w:r w:rsidRPr="0046695E">
        <w:rPr>
          <w:rFonts w:ascii="Arial" w:eastAsia="Arial" w:hAnsi="Arial" w:cs="Arial"/>
          <w:sz w:val="22"/>
          <w:szCs w:val="22"/>
        </w:rPr>
        <w:t xml:space="preserve"> I</w:t>
      </w:r>
      <w:r w:rsidRPr="00BD17CA">
        <w:rPr>
          <w:rFonts w:ascii="Arial" w:eastAsia="Arial" w:hAnsi="Arial" w:cs="Arial"/>
          <w:sz w:val="22"/>
          <w:szCs w:val="22"/>
        </w:rPr>
        <w:t>nt</w:t>
      </w:r>
      <w:r w:rsidRPr="0046695E">
        <w:rPr>
          <w:rFonts w:ascii="Arial" w:eastAsia="Arial" w:hAnsi="Arial" w:cs="Arial"/>
          <w:sz w:val="22"/>
          <w:szCs w:val="22"/>
        </w:rPr>
        <w:t>ern</w:t>
      </w:r>
      <w:r w:rsidRPr="00BD17CA">
        <w:rPr>
          <w:rFonts w:ascii="Arial" w:eastAsia="Arial" w:hAnsi="Arial" w:cs="Arial"/>
          <w:sz w:val="22"/>
          <w:szCs w:val="22"/>
        </w:rPr>
        <w:t>at</w:t>
      </w:r>
      <w:r w:rsidRPr="0046695E">
        <w:rPr>
          <w:rFonts w:ascii="Arial" w:eastAsia="Arial" w:hAnsi="Arial" w:cs="Arial"/>
          <w:sz w:val="22"/>
          <w:szCs w:val="22"/>
        </w:rPr>
        <w:t>i</w:t>
      </w:r>
      <w:r w:rsidRPr="00BD17CA">
        <w:rPr>
          <w:rFonts w:ascii="Arial" w:eastAsia="Arial" w:hAnsi="Arial" w:cs="Arial"/>
          <w:sz w:val="22"/>
          <w:szCs w:val="22"/>
        </w:rPr>
        <w:t>o</w:t>
      </w:r>
      <w:r w:rsidRPr="0046695E">
        <w:rPr>
          <w:rFonts w:ascii="Arial" w:eastAsia="Arial" w:hAnsi="Arial" w:cs="Arial"/>
          <w:sz w:val="22"/>
          <w:szCs w:val="22"/>
        </w:rPr>
        <w:t>na</w:t>
      </w:r>
      <w:r w:rsidRPr="00BD17CA">
        <w:rPr>
          <w:rFonts w:ascii="Arial" w:eastAsia="Arial" w:hAnsi="Arial" w:cs="Arial"/>
          <w:sz w:val="22"/>
          <w:szCs w:val="22"/>
        </w:rPr>
        <w:t>l F</w:t>
      </w:r>
      <w:r w:rsidRPr="0046695E">
        <w:rPr>
          <w:rFonts w:ascii="Arial" w:eastAsia="Arial" w:hAnsi="Arial" w:cs="Arial"/>
          <w:sz w:val="22"/>
          <w:szCs w:val="22"/>
        </w:rPr>
        <w:t>i</w:t>
      </w:r>
      <w:r w:rsidRPr="00BD17CA">
        <w:rPr>
          <w:rFonts w:ascii="Arial" w:eastAsia="Arial" w:hAnsi="Arial" w:cs="Arial"/>
          <w:sz w:val="22"/>
          <w:szCs w:val="22"/>
        </w:rPr>
        <w:t>n</w:t>
      </w:r>
      <w:r w:rsidRPr="0046695E">
        <w:rPr>
          <w:rFonts w:ascii="Arial" w:eastAsia="Arial" w:hAnsi="Arial" w:cs="Arial"/>
          <w:sz w:val="22"/>
          <w:szCs w:val="22"/>
        </w:rPr>
        <w:t>a</w:t>
      </w:r>
      <w:r w:rsidRPr="00BD17CA">
        <w:rPr>
          <w:rFonts w:ascii="Arial" w:eastAsia="Arial" w:hAnsi="Arial" w:cs="Arial"/>
          <w:sz w:val="22"/>
          <w:szCs w:val="22"/>
        </w:rPr>
        <w:t>n</w:t>
      </w:r>
      <w:r w:rsidRPr="0046695E">
        <w:rPr>
          <w:rFonts w:ascii="Arial" w:eastAsia="Arial" w:hAnsi="Arial" w:cs="Arial"/>
          <w:sz w:val="22"/>
          <w:szCs w:val="22"/>
        </w:rPr>
        <w:t>cia</w:t>
      </w:r>
      <w:r w:rsidRPr="00BD17CA">
        <w:rPr>
          <w:rFonts w:ascii="Arial" w:eastAsia="Arial" w:hAnsi="Arial" w:cs="Arial"/>
          <w:sz w:val="22"/>
          <w:szCs w:val="22"/>
        </w:rPr>
        <w:t>l Rep</w:t>
      </w:r>
      <w:r w:rsidRPr="0046695E">
        <w:rPr>
          <w:rFonts w:ascii="Arial" w:eastAsia="Arial" w:hAnsi="Arial" w:cs="Arial"/>
          <w:sz w:val="22"/>
          <w:szCs w:val="22"/>
        </w:rPr>
        <w:t>orti</w:t>
      </w:r>
      <w:r w:rsidRPr="00BD17CA">
        <w:rPr>
          <w:rFonts w:ascii="Arial" w:eastAsia="Arial" w:hAnsi="Arial" w:cs="Arial"/>
          <w:sz w:val="22"/>
          <w:szCs w:val="22"/>
        </w:rPr>
        <w:t>ng</w:t>
      </w:r>
      <w:r w:rsidRPr="0046695E">
        <w:rPr>
          <w:rFonts w:ascii="Arial" w:eastAsia="Arial" w:hAnsi="Arial" w:cs="Arial"/>
          <w:sz w:val="22"/>
          <w:szCs w:val="22"/>
        </w:rPr>
        <w:t xml:space="preserve"> St</w:t>
      </w:r>
      <w:r w:rsidRPr="00BD17CA">
        <w:rPr>
          <w:rFonts w:ascii="Arial" w:eastAsia="Arial" w:hAnsi="Arial" w:cs="Arial"/>
          <w:sz w:val="22"/>
          <w:szCs w:val="22"/>
        </w:rPr>
        <w:t>a</w:t>
      </w:r>
      <w:r w:rsidRPr="0046695E">
        <w:rPr>
          <w:rFonts w:ascii="Arial" w:eastAsia="Arial" w:hAnsi="Arial" w:cs="Arial"/>
          <w:sz w:val="22"/>
          <w:szCs w:val="22"/>
        </w:rPr>
        <w:t>nd</w:t>
      </w:r>
      <w:r w:rsidRPr="00BD17CA">
        <w:rPr>
          <w:rFonts w:ascii="Arial" w:eastAsia="Arial" w:hAnsi="Arial" w:cs="Arial"/>
          <w:sz w:val="22"/>
          <w:szCs w:val="22"/>
        </w:rPr>
        <w:t>ards</w:t>
      </w:r>
      <w:r w:rsidRPr="0046695E">
        <w:rPr>
          <w:rFonts w:ascii="Arial" w:eastAsia="Arial" w:hAnsi="Arial" w:cs="Arial"/>
          <w:sz w:val="22"/>
          <w:szCs w:val="22"/>
        </w:rPr>
        <w:t xml:space="preserve"> </w:t>
      </w:r>
      <w:r w:rsidRPr="00BD17CA">
        <w:rPr>
          <w:rFonts w:ascii="Arial" w:eastAsia="Arial" w:hAnsi="Arial" w:cs="Arial"/>
          <w:sz w:val="22"/>
          <w:szCs w:val="22"/>
        </w:rPr>
        <w:t>(IFR</w:t>
      </w:r>
      <w:r w:rsidRPr="0046695E">
        <w:rPr>
          <w:rFonts w:ascii="Arial" w:eastAsia="Arial" w:hAnsi="Arial" w:cs="Arial"/>
          <w:sz w:val="22"/>
          <w:szCs w:val="22"/>
        </w:rPr>
        <w:t>S</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f</w:t>
      </w:r>
      <w:r w:rsidRPr="00BD17CA">
        <w:rPr>
          <w:rFonts w:ascii="Arial" w:eastAsia="Arial" w:hAnsi="Arial" w:cs="Arial"/>
          <w:sz w:val="22"/>
          <w:szCs w:val="22"/>
        </w:rPr>
        <w:t>or</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U</w:t>
      </w:r>
      <w:r w:rsidRPr="00BD17CA">
        <w:rPr>
          <w:rFonts w:ascii="Arial" w:eastAsia="Arial" w:hAnsi="Arial" w:cs="Arial"/>
          <w:sz w:val="22"/>
          <w:szCs w:val="22"/>
        </w:rPr>
        <w:t>K</w:t>
      </w:r>
      <w:r w:rsidRPr="0046695E">
        <w:rPr>
          <w:rFonts w:ascii="Arial" w:eastAsia="Arial" w:hAnsi="Arial" w:cs="Arial"/>
          <w:sz w:val="22"/>
          <w:szCs w:val="22"/>
        </w:rPr>
        <w:t xml:space="preserve"> p</w:t>
      </w:r>
      <w:r w:rsidRPr="00BD17CA">
        <w:rPr>
          <w:rFonts w:ascii="Arial" w:eastAsia="Arial" w:hAnsi="Arial" w:cs="Arial"/>
          <w:sz w:val="22"/>
          <w:szCs w:val="22"/>
        </w:rPr>
        <w:t>u</w:t>
      </w:r>
      <w:r w:rsidRPr="0046695E">
        <w:rPr>
          <w:rFonts w:ascii="Arial" w:eastAsia="Arial" w:hAnsi="Arial" w:cs="Arial"/>
          <w:sz w:val="22"/>
          <w:szCs w:val="22"/>
        </w:rPr>
        <w:t>bli</w:t>
      </w:r>
      <w:r w:rsidRPr="00BD17CA">
        <w:rPr>
          <w:rFonts w:ascii="Arial" w:eastAsia="Arial" w:hAnsi="Arial" w:cs="Arial"/>
          <w:sz w:val="22"/>
          <w:szCs w:val="22"/>
        </w:rPr>
        <w:t>c</w:t>
      </w:r>
      <w:r w:rsidRPr="0046695E">
        <w:rPr>
          <w:rFonts w:ascii="Arial" w:eastAsia="Arial" w:hAnsi="Arial" w:cs="Arial"/>
          <w:sz w:val="22"/>
          <w:szCs w:val="22"/>
        </w:rPr>
        <w:t xml:space="preserve"> s</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tor.</w:t>
      </w:r>
    </w:p>
    <w:p w14:paraId="5B1A7D6C" w14:textId="2EAAC228" w:rsidR="009C7422" w:rsidRPr="00BD17CA"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P</w:t>
      </w:r>
      <w:r w:rsidRPr="00BD17CA">
        <w:rPr>
          <w:rFonts w:ascii="Arial" w:eastAsia="Arial" w:hAnsi="Arial" w:cs="Arial"/>
          <w:sz w:val="22"/>
          <w:szCs w:val="22"/>
        </w:rPr>
        <w:t>aragr</w:t>
      </w:r>
      <w:r w:rsidRPr="0046695E">
        <w:rPr>
          <w:rFonts w:ascii="Arial" w:eastAsia="Arial" w:hAnsi="Arial" w:cs="Arial"/>
          <w:sz w:val="22"/>
          <w:szCs w:val="22"/>
        </w:rPr>
        <w:t>a</w:t>
      </w:r>
      <w:r w:rsidRPr="00BD17CA">
        <w:rPr>
          <w:rFonts w:ascii="Arial" w:eastAsia="Arial" w:hAnsi="Arial" w:cs="Arial"/>
          <w:sz w:val="22"/>
          <w:szCs w:val="22"/>
        </w:rPr>
        <w:t>ph</w:t>
      </w:r>
      <w:r w:rsidRPr="0046695E">
        <w:rPr>
          <w:rFonts w:ascii="Arial" w:eastAsia="Arial" w:hAnsi="Arial" w:cs="Arial"/>
          <w:sz w:val="22"/>
          <w:szCs w:val="22"/>
        </w:rPr>
        <w:t xml:space="preserve"> </w:t>
      </w:r>
      <w:r w:rsidRPr="00BD17CA">
        <w:rPr>
          <w:rFonts w:ascii="Arial" w:eastAsia="Arial" w:hAnsi="Arial" w:cs="Arial"/>
          <w:sz w:val="22"/>
          <w:szCs w:val="22"/>
        </w:rPr>
        <w:t>3</w:t>
      </w:r>
      <w:r w:rsidRPr="0046695E">
        <w:rPr>
          <w:rFonts w:ascii="Arial" w:eastAsia="Arial" w:hAnsi="Arial" w:cs="Arial"/>
          <w:sz w:val="22"/>
          <w:szCs w:val="22"/>
        </w:rPr>
        <w:t>.</w:t>
      </w:r>
      <w:r w:rsidRPr="00BD17CA">
        <w:rPr>
          <w:rFonts w:ascii="Arial" w:eastAsia="Arial" w:hAnsi="Arial" w:cs="Arial"/>
          <w:sz w:val="22"/>
          <w:szCs w:val="22"/>
        </w:rPr>
        <w:t>3.</w:t>
      </w:r>
      <w:r w:rsidRPr="0046695E">
        <w:rPr>
          <w:rFonts w:ascii="Arial" w:eastAsia="Arial" w:hAnsi="Arial" w:cs="Arial"/>
          <w:sz w:val="22"/>
          <w:szCs w:val="22"/>
        </w:rPr>
        <w:t>1.</w:t>
      </w:r>
      <w:r w:rsidRPr="00BD17CA">
        <w:rPr>
          <w:rFonts w:ascii="Arial" w:eastAsia="Arial" w:hAnsi="Arial" w:cs="Arial"/>
          <w:sz w:val="22"/>
          <w:szCs w:val="22"/>
        </w:rPr>
        <w:t>2</w:t>
      </w:r>
      <w:r w:rsidRPr="0046695E">
        <w:rPr>
          <w:rFonts w:ascii="Arial" w:eastAsia="Arial" w:hAnsi="Arial" w:cs="Arial"/>
          <w:sz w:val="22"/>
          <w:szCs w:val="22"/>
        </w:rPr>
        <w:t xml:space="preserve"> </w:t>
      </w:r>
      <w:r w:rsidRPr="00BD17CA">
        <w:rPr>
          <w:rFonts w:ascii="Arial" w:eastAsia="Arial" w:hAnsi="Arial" w:cs="Arial"/>
          <w:sz w:val="22"/>
          <w:szCs w:val="22"/>
        </w:rPr>
        <w:t>of 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C</w:t>
      </w:r>
      <w:r w:rsidRPr="00BD17CA">
        <w:rPr>
          <w:rFonts w:ascii="Arial" w:eastAsia="Arial" w:hAnsi="Arial" w:cs="Arial"/>
          <w:sz w:val="22"/>
          <w:szCs w:val="22"/>
        </w:rPr>
        <w:t>o</w:t>
      </w:r>
      <w:r w:rsidRPr="0046695E">
        <w:rPr>
          <w:rFonts w:ascii="Arial" w:eastAsia="Arial" w:hAnsi="Arial" w:cs="Arial"/>
          <w:sz w:val="22"/>
          <w:szCs w:val="22"/>
        </w:rPr>
        <w:t>d</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re</w:t>
      </w:r>
      <w:r w:rsidRPr="0046695E">
        <w:rPr>
          <w:rFonts w:ascii="Arial" w:eastAsia="Arial" w:hAnsi="Arial" w:cs="Arial"/>
          <w:sz w:val="22"/>
          <w:szCs w:val="22"/>
        </w:rPr>
        <w:t>quir</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iscl</w:t>
      </w:r>
      <w:r w:rsidRPr="00BD17CA">
        <w:rPr>
          <w:rFonts w:ascii="Arial" w:eastAsia="Arial" w:hAnsi="Arial" w:cs="Arial"/>
          <w:sz w:val="22"/>
          <w:szCs w:val="22"/>
        </w:rPr>
        <w:t>o</w:t>
      </w:r>
      <w:r w:rsidRPr="0046695E">
        <w:rPr>
          <w:rFonts w:ascii="Arial" w:eastAsia="Arial" w:hAnsi="Arial" w:cs="Arial"/>
          <w:sz w:val="22"/>
          <w:szCs w:val="22"/>
        </w:rPr>
        <w:t>s</w:t>
      </w:r>
      <w:r w:rsidRPr="00BD17CA">
        <w:rPr>
          <w:rFonts w:ascii="Arial" w:eastAsia="Arial" w:hAnsi="Arial" w:cs="Arial"/>
          <w:sz w:val="22"/>
          <w:szCs w:val="22"/>
        </w:rPr>
        <w:t>ure</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w:t>
      </w:r>
      <w:r w:rsidRPr="0046695E">
        <w:rPr>
          <w:rFonts w:ascii="Arial" w:eastAsia="Arial" w:hAnsi="Arial" w:cs="Arial"/>
          <w:sz w:val="22"/>
          <w:szCs w:val="22"/>
        </w:rPr>
        <w:t>i</w:t>
      </w:r>
      <w:r w:rsidRPr="00BD17CA">
        <w:rPr>
          <w:rFonts w:ascii="Arial" w:eastAsia="Arial" w:hAnsi="Arial" w:cs="Arial"/>
          <w:sz w:val="22"/>
          <w:szCs w:val="22"/>
        </w:rPr>
        <w:t>ng</w:t>
      </w:r>
      <w:r w:rsidRPr="0046695E">
        <w:rPr>
          <w:rFonts w:ascii="Arial" w:eastAsia="Arial" w:hAnsi="Arial" w:cs="Arial"/>
          <w:sz w:val="22"/>
          <w:szCs w:val="22"/>
        </w:rPr>
        <w:t xml:space="preserve"> s</w:t>
      </w:r>
      <w:r w:rsidRPr="00BD17CA">
        <w:rPr>
          <w:rFonts w:ascii="Arial" w:eastAsia="Arial" w:hAnsi="Arial" w:cs="Arial"/>
          <w:sz w:val="22"/>
          <w:szCs w:val="22"/>
        </w:rPr>
        <w:t>ta</w:t>
      </w:r>
      <w:r w:rsidRPr="0046695E">
        <w:rPr>
          <w:rFonts w:ascii="Arial" w:eastAsia="Arial" w:hAnsi="Arial" w:cs="Arial"/>
          <w:sz w:val="22"/>
          <w:szCs w:val="22"/>
        </w:rPr>
        <w:t>nd</w:t>
      </w:r>
      <w:r w:rsidRPr="00BD17CA">
        <w:rPr>
          <w:rFonts w:ascii="Arial" w:eastAsia="Arial" w:hAnsi="Arial" w:cs="Arial"/>
          <w:sz w:val="22"/>
          <w:szCs w:val="22"/>
        </w:rPr>
        <w:t>ards</w:t>
      </w:r>
      <w:r w:rsidRPr="0046695E">
        <w:rPr>
          <w:rFonts w:ascii="Arial" w:eastAsia="Arial" w:hAnsi="Arial" w:cs="Arial"/>
          <w:sz w:val="22"/>
          <w:szCs w:val="22"/>
        </w:rPr>
        <w:t xml:space="preserve"> iss</w:t>
      </w:r>
      <w:r w:rsidRPr="00BD17CA">
        <w:rPr>
          <w:rFonts w:ascii="Arial" w:eastAsia="Arial" w:hAnsi="Arial" w:cs="Arial"/>
          <w:sz w:val="22"/>
          <w:szCs w:val="22"/>
        </w:rPr>
        <w:t>u</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b</w:t>
      </w:r>
      <w:r w:rsidRPr="00BD17CA">
        <w:rPr>
          <w:rFonts w:ascii="Arial" w:eastAsia="Arial" w:hAnsi="Arial" w:cs="Arial"/>
          <w:sz w:val="22"/>
          <w:szCs w:val="22"/>
        </w:rPr>
        <w:t>ut</w:t>
      </w:r>
      <w:r w:rsidRPr="0046695E">
        <w:rPr>
          <w:rFonts w:ascii="Arial" w:eastAsia="Arial" w:hAnsi="Arial" w:cs="Arial"/>
          <w:sz w:val="22"/>
          <w:szCs w:val="22"/>
        </w:rPr>
        <w:t xml:space="preserve"> </w:t>
      </w:r>
      <w:r w:rsidRPr="00BD17CA">
        <w:rPr>
          <w:rFonts w:ascii="Arial" w:eastAsia="Arial" w:hAnsi="Arial" w:cs="Arial"/>
          <w:sz w:val="22"/>
          <w:szCs w:val="22"/>
        </w:rPr>
        <w:t>n</w:t>
      </w:r>
      <w:r w:rsidRPr="0046695E">
        <w:rPr>
          <w:rFonts w:ascii="Arial" w:eastAsia="Arial" w:hAnsi="Arial" w:cs="Arial"/>
          <w:sz w:val="22"/>
          <w:szCs w:val="22"/>
        </w:rPr>
        <w:t>o</w:t>
      </w:r>
      <w:r w:rsidRPr="00BD17CA">
        <w:rPr>
          <w:rFonts w:ascii="Arial" w:eastAsia="Arial" w:hAnsi="Arial" w:cs="Arial"/>
          <w:sz w:val="22"/>
          <w:szCs w:val="22"/>
        </w:rPr>
        <w:t>t</w:t>
      </w:r>
      <w:r w:rsidRPr="0046695E">
        <w:rPr>
          <w:rFonts w:ascii="Arial" w:eastAsia="Arial" w:hAnsi="Arial" w:cs="Arial"/>
          <w:sz w:val="22"/>
          <w:szCs w:val="22"/>
        </w:rPr>
        <w:t xml:space="preserve"> ye</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d</w:t>
      </w:r>
      <w:r w:rsidRPr="00BD17CA">
        <w:rPr>
          <w:rFonts w:ascii="Arial" w:eastAsia="Arial" w:hAnsi="Arial" w:cs="Arial"/>
          <w:sz w:val="22"/>
          <w:szCs w:val="22"/>
        </w:rPr>
        <w:t>o</w:t>
      </w:r>
      <w:r w:rsidRPr="0046695E">
        <w:rPr>
          <w:rFonts w:ascii="Arial" w:eastAsia="Arial" w:hAnsi="Arial" w:cs="Arial"/>
          <w:sz w:val="22"/>
          <w:szCs w:val="22"/>
        </w:rPr>
        <w:t>p</w:t>
      </w:r>
      <w:r w:rsidRPr="00BD17CA">
        <w:rPr>
          <w:rFonts w:ascii="Arial" w:eastAsia="Arial" w:hAnsi="Arial" w:cs="Arial"/>
          <w:sz w:val="22"/>
          <w:szCs w:val="22"/>
        </w:rPr>
        <w:t>t</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 xml:space="preserve">No </w:t>
      </w:r>
      <w:r w:rsidRPr="0046695E">
        <w:rPr>
          <w:rFonts w:ascii="Arial" w:eastAsia="Arial" w:hAnsi="Arial" w:cs="Arial"/>
          <w:sz w:val="22"/>
          <w:szCs w:val="22"/>
        </w:rPr>
        <w:t>s</w:t>
      </w:r>
      <w:r w:rsidRPr="00BD17CA">
        <w:rPr>
          <w:rFonts w:ascii="Arial" w:eastAsia="Arial" w:hAnsi="Arial" w:cs="Arial"/>
          <w:sz w:val="22"/>
          <w:szCs w:val="22"/>
        </w:rPr>
        <w:t>u</w:t>
      </w:r>
      <w:r w:rsidRPr="0046695E">
        <w:rPr>
          <w:rFonts w:ascii="Arial" w:eastAsia="Arial" w:hAnsi="Arial" w:cs="Arial"/>
          <w:sz w:val="22"/>
          <w:szCs w:val="22"/>
        </w:rPr>
        <w:t>c</w:t>
      </w:r>
      <w:r w:rsidRPr="00BD17CA">
        <w:rPr>
          <w:rFonts w:ascii="Arial" w:eastAsia="Arial" w:hAnsi="Arial" w:cs="Arial"/>
          <w:sz w:val="22"/>
          <w:szCs w:val="22"/>
        </w:rPr>
        <w:t>h</w:t>
      </w:r>
      <w:r w:rsidRPr="0046695E">
        <w:rPr>
          <w:rFonts w:ascii="Arial" w:eastAsia="Arial" w:hAnsi="Arial" w:cs="Arial"/>
          <w:sz w:val="22"/>
          <w:szCs w:val="22"/>
        </w:rPr>
        <w:t xml:space="preserve"> acc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w:t>
      </w:r>
      <w:r w:rsidRPr="0046695E">
        <w:rPr>
          <w:rFonts w:ascii="Arial" w:eastAsia="Arial" w:hAnsi="Arial" w:cs="Arial"/>
          <w:sz w:val="22"/>
          <w:szCs w:val="22"/>
        </w:rPr>
        <w:t>ti</w:t>
      </w:r>
      <w:r w:rsidRPr="00BD17CA">
        <w:rPr>
          <w:rFonts w:ascii="Arial" w:eastAsia="Arial" w:hAnsi="Arial" w:cs="Arial"/>
          <w:sz w:val="22"/>
          <w:szCs w:val="22"/>
        </w:rPr>
        <w:t>ng</w:t>
      </w:r>
      <w:r w:rsidRPr="0046695E">
        <w:rPr>
          <w:rFonts w:ascii="Arial" w:eastAsia="Arial" w:hAnsi="Arial" w:cs="Arial"/>
          <w:sz w:val="22"/>
          <w:szCs w:val="22"/>
        </w:rPr>
        <w:t xml:space="preserve"> st</w:t>
      </w:r>
      <w:r w:rsidRPr="00BD17CA">
        <w:rPr>
          <w:rFonts w:ascii="Arial" w:eastAsia="Arial" w:hAnsi="Arial" w:cs="Arial"/>
          <w:sz w:val="22"/>
          <w:szCs w:val="22"/>
        </w:rPr>
        <w:t>a</w:t>
      </w:r>
      <w:r w:rsidRPr="0046695E">
        <w:rPr>
          <w:rFonts w:ascii="Arial" w:eastAsia="Arial" w:hAnsi="Arial" w:cs="Arial"/>
          <w:sz w:val="22"/>
          <w:szCs w:val="22"/>
        </w:rPr>
        <w:t>nd</w:t>
      </w:r>
      <w:r w:rsidRPr="00BD17CA">
        <w:rPr>
          <w:rFonts w:ascii="Arial" w:eastAsia="Arial" w:hAnsi="Arial" w:cs="Arial"/>
          <w:sz w:val="22"/>
          <w:szCs w:val="22"/>
        </w:rPr>
        <w:t>ards</w:t>
      </w:r>
      <w:r w:rsidRPr="0046695E">
        <w:rPr>
          <w:rFonts w:ascii="Arial" w:eastAsia="Arial" w:hAnsi="Arial" w:cs="Arial"/>
          <w:sz w:val="22"/>
          <w:szCs w:val="22"/>
        </w:rPr>
        <w:t xml:space="preserve"> </w:t>
      </w:r>
      <w:r w:rsidRPr="00BD17CA">
        <w:rPr>
          <w:rFonts w:ascii="Arial" w:eastAsia="Arial" w:hAnsi="Arial" w:cs="Arial"/>
          <w:sz w:val="22"/>
          <w:szCs w:val="22"/>
        </w:rPr>
        <w:t>h</w:t>
      </w:r>
      <w:r w:rsidRPr="0046695E">
        <w:rPr>
          <w:rFonts w:ascii="Arial" w:eastAsia="Arial" w:hAnsi="Arial" w:cs="Arial"/>
          <w:sz w:val="22"/>
          <w:szCs w:val="22"/>
        </w:rPr>
        <w:t>av</w:t>
      </w:r>
      <w:r w:rsidRPr="00BD17CA">
        <w:rPr>
          <w:rFonts w:ascii="Arial" w:eastAsia="Arial" w:hAnsi="Arial" w:cs="Arial"/>
          <w:sz w:val="22"/>
          <w:szCs w:val="22"/>
        </w:rPr>
        <w:t>e</w:t>
      </w:r>
      <w:r w:rsidRPr="0046695E">
        <w:rPr>
          <w:rFonts w:ascii="Arial" w:eastAsia="Arial" w:hAnsi="Arial" w:cs="Arial"/>
          <w:sz w:val="22"/>
          <w:szCs w:val="22"/>
        </w:rPr>
        <w:t xml:space="preserve"> b</w:t>
      </w:r>
      <w:r w:rsidRPr="00BD17CA">
        <w:rPr>
          <w:rFonts w:ascii="Arial" w:eastAsia="Arial" w:hAnsi="Arial" w:cs="Arial"/>
          <w:sz w:val="22"/>
          <w:szCs w:val="22"/>
        </w:rPr>
        <w:t>e</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 xml:space="preserve"> id</w:t>
      </w:r>
      <w:r w:rsidRPr="00BD17CA">
        <w:rPr>
          <w:rFonts w:ascii="Arial" w:eastAsia="Arial" w:hAnsi="Arial" w:cs="Arial"/>
          <w:sz w:val="22"/>
          <w:szCs w:val="22"/>
        </w:rPr>
        <w:t>e</w:t>
      </w:r>
      <w:r w:rsidRPr="0046695E">
        <w:rPr>
          <w:rFonts w:ascii="Arial" w:eastAsia="Arial" w:hAnsi="Arial" w:cs="Arial"/>
          <w:sz w:val="22"/>
          <w:szCs w:val="22"/>
        </w:rPr>
        <w:t>ntifi</w:t>
      </w:r>
      <w:r w:rsidRPr="00BD17CA">
        <w:rPr>
          <w:rFonts w:ascii="Arial" w:eastAsia="Arial" w:hAnsi="Arial" w:cs="Arial"/>
          <w:sz w:val="22"/>
          <w:szCs w:val="22"/>
        </w:rPr>
        <w:t>ed</w:t>
      </w:r>
      <w:r w:rsidRPr="0046695E">
        <w:rPr>
          <w:rFonts w:ascii="Arial" w:eastAsia="Arial" w:hAnsi="Arial" w:cs="Arial"/>
          <w:sz w:val="22"/>
          <w:szCs w:val="22"/>
        </w:rPr>
        <w:t xml:space="preserve"> f</w:t>
      </w:r>
      <w:r w:rsidRPr="00BD17CA">
        <w:rPr>
          <w:rFonts w:ascii="Arial" w:eastAsia="Arial" w:hAnsi="Arial" w:cs="Arial"/>
          <w:sz w:val="22"/>
          <w:szCs w:val="22"/>
        </w:rPr>
        <w:t>or</w:t>
      </w:r>
      <w:r w:rsidRPr="0046695E">
        <w:rPr>
          <w:rFonts w:ascii="Arial" w:eastAsia="Arial" w:hAnsi="Arial" w:cs="Arial"/>
          <w:sz w:val="22"/>
          <w:szCs w:val="22"/>
        </w:rPr>
        <w:t xml:space="preserve"> </w:t>
      </w:r>
      <w:r w:rsidR="00D01566">
        <w:rPr>
          <w:rFonts w:ascii="Arial" w:eastAsia="Arial" w:hAnsi="Arial" w:cs="Arial"/>
          <w:sz w:val="22"/>
          <w:szCs w:val="22"/>
        </w:rPr>
        <w:t>2019/20</w:t>
      </w:r>
      <w:r w:rsidRPr="00BD17CA">
        <w:rPr>
          <w:rFonts w:ascii="Arial" w:eastAsia="Arial" w:hAnsi="Arial" w:cs="Arial"/>
          <w:sz w:val="22"/>
          <w:szCs w:val="22"/>
        </w:rPr>
        <w:t>.</w:t>
      </w:r>
    </w:p>
    <w:p w14:paraId="1CBED07C" w14:textId="364D42B3" w:rsidR="009C7422"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T</w:t>
      </w:r>
      <w:r w:rsidRPr="00BD17CA">
        <w:rPr>
          <w:rFonts w:ascii="Arial" w:eastAsia="Arial" w:hAnsi="Arial" w:cs="Arial"/>
          <w:sz w:val="22"/>
          <w:szCs w:val="22"/>
        </w:rPr>
        <w:t>he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nts</w:t>
      </w:r>
      <w:r w:rsidRPr="0046695E">
        <w:rPr>
          <w:rFonts w:ascii="Arial" w:eastAsia="Arial" w:hAnsi="Arial" w:cs="Arial"/>
          <w:sz w:val="22"/>
          <w:szCs w:val="22"/>
        </w:rPr>
        <w:t xml:space="preserve"> r</w:t>
      </w:r>
      <w:r w:rsidRPr="00BD17CA">
        <w:rPr>
          <w:rFonts w:ascii="Arial" w:eastAsia="Arial" w:hAnsi="Arial" w:cs="Arial"/>
          <w:sz w:val="22"/>
          <w:szCs w:val="22"/>
        </w:rPr>
        <w:t>e</w:t>
      </w:r>
      <w:r w:rsidRPr="0046695E">
        <w:rPr>
          <w:rFonts w:ascii="Arial" w:eastAsia="Arial" w:hAnsi="Arial" w:cs="Arial"/>
          <w:sz w:val="22"/>
          <w:szCs w:val="22"/>
        </w:rPr>
        <w:t>p</w:t>
      </w:r>
      <w:r w:rsidRPr="00BD17CA">
        <w:rPr>
          <w:rFonts w:ascii="Arial" w:eastAsia="Arial" w:hAnsi="Arial" w:cs="Arial"/>
          <w:sz w:val="22"/>
          <w:szCs w:val="22"/>
        </w:rPr>
        <w:t>ort</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w:t>
      </w:r>
      <w:r w:rsidRPr="00BD17CA">
        <w:rPr>
          <w:rFonts w:ascii="Arial" w:eastAsia="Arial" w:hAnsi="Arial" w:cs="Arial"/>
          <w:sz w:val="22"/>
          <w:szCs w:val="22"/>
        </w:rPr>
        <w:t>n</w:t>
      </w:r>
      <w:r w:rsidRPr="0046695E">
        <w:rPr>
          <w:rFonts w:ascii="Arial" w:eastAsia="Arial" w:hAnsi="Arial" w:cs="Arial"/>
          <w:sz w:val="22"/>
          <w:szCs w:val="22"/>
        </w:rPr>
        <w:t>e</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ss</w:t>
      </w:r>
      <w:r w:rsidRPr="00BD17CA">
        <w:rPr>
          <w:rFonts w:ascii="Arial" w:eastAsia="Arial" w:hAnsi="Arial" w:cs="Arial"/>
          <w:sz w:val="22"/>
          <w:szCs w:val="22"/>
        </w:rPr>
        <w:t>ets</w:t>
      </w:r>
      <w:r w:rsidRPr="0046695E">
        <w:rPr>
          <w:rFonts w:ascii="Arial" w:eastAsia="Arial" w:hAnsi="Arial" w:cs="Arial"/>
          <w:sz w:val="22"/>
          <w:szCs w:val="22"/>
        </w:rPr>
        <w:t xml:space="preserve"> av</w:t>
      </w:r>
      <w:r w:rsidRPr="00BD17CA">
        <w:rPr>
          <w:rFonts w:ascii="Arial" w:eastAsia="Arial" w:hAnsi="Arial" w:cs="Arial"/>
          <w:sz w:val="22"/>
          <w:szCs w:val="22"/>
        </w:rPr>
        <w:t>a</w:t>
      </w:r>
      <w:r w:rsidRPr="0046695E">
        <w:rPr>
          <w:rFonts w:ascii="Arial" w:eastAsia="Arial" w:hAnsi="Arial" w:cs="Arial"/>
          <w:sz w:val="22"/>
          <w:szCs w:val="22"/>
        </w:rPr>
        <w:t>ila</w:t>
      </w:r>
      <w:r w:rsidRPr="00BD17CA">
        <w:rPr>
          <w:rFonts w:ascii="Arial" w:eastAsia="Arial" w:hAnsi="Arial" w:cs="Arial"/>
          <w:sz w:val="22"/>
          <w:szCs w:val="22"/>
        </w:rPr>
        <w:t>b</w:t>
      </w:r>
      <w:r w:rsidRPr="0046695E">
        <w:rPr>
          <w:rFonts w:ascii="Arial" w:eastAsia="Arial" w:hAnsi="Arial" w:cs="Arial"/>
          <w:sz w:val="22"/>
          <w:szCs w:val="22"/>
        </w:rPr>
        <w:t>l</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pa</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on</w:t>
      </w:r>
      <w:r w:rsidRPr="0046695E">
        <w:rPr>
          <w:rFonts w:ascii="Arial" w:eastAsia="Arial" w:hAnsi="Arial" w:cs="Arial"/>
          <w:sz w:val="22"/>
          <w:szCs w:val="22"/>
        </w:rPr>
        <w:t xml:space="preserve"> b</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e</w:t>
      </w:r>
      <w:r w:rsidRPr="0046695E">
        <w:rPr>
          <w:rFonts w:ascii="Arial" w:eastAsia="Arial" w:hAnsi="Arial" w:cs="Arial"/>
          <w:sz w:val="22"/>
          <w:szCs w:val="22"/>
        </w:rPr>
        <w:t>fi</w:t>
      </w:r>
      <w:r w:rsidRPr="00BD17CA">
        <w:rPr>
          <w:rFonts w:ascii="Arial" w:eastAsia="Arial" w:hAnsi="Arial" w:cs="Arial"/>
          <w:sz w:val="22"/>
          <w:szCs w:val="22"/>
        </w:rPr>
        <w:t>t</w:t>
      </w:r>
      <w:r w:rsidRPr="0046695E">
        <w:rPr>
          <w:rFonts w:ascii="Arial" w:eastAsia="Arial" w:hAnsi="Arial" w:cs="Arial"/>
          <w:sz w:val="22"/>
          <w:szCs w:val="22"/>
        </w:rPr>
        <w:t>s</w:t>
      </w:r>
      <w:r w:rsidRPr="00BD17CA">
        <w:rPr>
          <w:rFonts w:ascii="Arial" w:eastAsia="Arial" w:hAnsi="Arial" w:cs="Arial"/>
          <w:sz w:val="22"/>
          <w:szCs w:val="22"/>
        </w:rPr>
        <w:t>.</w:t>
      </w:r>
      <w:r w:rsidRPr="0046695E">
        <w:rPr>
          <w:rFonts w:ascii="Arial" w:eastAsia="Arial" w:hAnsi="Arial" w:cs="Arial"/>
          <w:sz w:val="22"/>
          <w:szCs w:val="22"/>
        </w:rPr>
        <w:t xml:space="preserve"> T</w:t>
      </w:r>
      <w:r w:rsidRPr="00BD17CA">
        <w:rPr>
          <w:rFonts w:ascii="Arial" w:eastAsia="Arial" w:hAnsi="Arial" w:cs="Arial"/>
          <w:sz w:val="22"/>
          <w:szCs w:val="22"/>
        </w:rPr>
        <w:t>h</w:t>
      </w:r>
      <w:r w:rsidRPr="0046695E">
        <w:rPr>
          <w:rFonts w:ascii="Arial" w:eastAsia="Arial" w:hAnsi="Arial" w:cs="Arial"/>
          <w:sz w:val="22"/>
          <w:szCs w:val="22"/>
        </w:rPr>
        <w:t>e</w:t>
      </w:r>
      <w:r w:rsidRPr="00BD17CA">
        <w:rPr>
          <w:rFonts w:ascii="Arial" w:eastAsia="Arial" w:hAnsi="Arial" w:cs="Arial"/>
          <w:sz w:val="22"/>
          <w:szCs w:val="22"/>
        </w:rPr>
        <w:t>y</w:t>
      </w:r>
      <w:r w:rsidRPr="0046695E">
        <w:rPr>
          <w:rFonts w:ascii="Arial" w:eastAsia="Arial" w:hAnsi="Arial" w:cs="Arial"/>
          <w:sz w:val="22"/>
          <w:szCs w:val="22"/>
        </w:rPr>
        <w:t xml:space="preserve"> d</w:t>
      </w:r>
      <w:r w:rsidRPr="00BD17CA">
        <w:rPr>
          <w:rFonts w:ascii="Arial" w:eastAsia="Arial" w:hAnsi="Arial" w:cs="Arial"/>
          <w:sz w:val="22"/>
          <w:szCs w:val="22"/>
        </w:rPr>
        <w:t>o</w:t>
      </w:r>
      <w:r w:rsidRPr="0046695E">
        <w:rPr>
          <w:rFonts w:ascii="Arial" w:eastAsia="Arial" w:hAnsi="Arial" w:cs="Arial"/>
          <w:sz w:val="22"/>
          <w:szCs w:val="22"/>
        </w:rPr>
        <w:t xml:space="preserve"> n</w:t>
      </w:r>
      <w:r w:rsidRPr="00BD17CA">
        <w:rPr>
          <w:rFonts w:ascii="Arial" w:eastAsia="Arial" w:hAnsi="Arial" w:cs="Arial"/>
          <w:sz w:val="22"/>
          <w:szCs w:val="22"/>
        </w:rPr>
        <w:t>ot</w:t>
      </w:r>
      <w:r w:rsidRPr="0046695E">
        <w:rPr>
          <w:rFonts w:ascii="Arial" w:eastAsia="Arial" w:hAnsi="Arial" w:cs="Arial"/>
          <w:sz w:val="22"/>
          <w:szCs w:val="22"/>
        </w:rPr>
        <w:t xml:space="preserve"> </w:t>
      </w:r>
      <w:r w:rsidRPr="00BD17CA">
        <w:rPr>
          <w:rFonts w:ascii="Arial" w:eastAsia="Arial" w:hAnsi="Arial" w:cs="Arial"/>
          <w:sz w:val="22"/>
          <w:szCs w:val="22"/>
        </w:rPr>
        <w:t>ta</w:t>
      </w:r>
      <w:r w:rsidRPr="0046695E">
        <w:rPr>
          <w:rFonts w:ascii="Arial" w:eastAsia="Arial" w:hAnsi="Arial" w:cs="Arial"/>
          <w:sz w:val="22"/>
          <w:szCs w:val="22"/>
        </w:rPr>
        <w:t>k</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o</w:t>
      </w:r>
      <w:r w:rsidRPr="0046695E">
        <w:rPr>
          <w:rFonts w:ascii="Arial" w:eastAsia="Arial" w:hAnsi="Arial" w:cs="Arial"/>
          <w:sz w:val="22"/>
          <w:szCs w:val="22"/>
        </w:rPr>
        <w:t>bli</w:t>
      </w:r>
      <w:r w:rsidRPr="00BD17CA">
        <w:rPr>
          <w:rFonts w:ascii="Arial" w:eastAsia="Arial" w:hAnsi="Arial" w:cs="Arial"/>
          <w:sz w:val="22"/>
          <w:szCs w:val="22"/>
        </w:rPr>
        <w:t>g</w:t>
      </w:r>
      <w:r w:rsidRPr="0046695E">
        <w:rPr>
          <w:rFonts w:ascii="Arial" w:eastAsia="Arial" w:hAnsi="Arial" w:cs="Arial"/>
          <w:sz w:val="22"/>
          <w:szCs w:val="22"/>
        </w:rPr>
        <w:t>a</w:t>
      </w:r>
      <w:r w:rsidRPr="00BD17CA">
        <w:rPr>
          <w:rFonts w:ascii="Arial" w:eastAsia="Arial" w:hAnsi="Arial" w:cs="Arial"/>
          <w:sz w:val="22"/>
          <w:szCs w:val="22"/>
        </w:rPr>
        <w:t>t</w:t>
      </w:r>
      <w:r w:rsidRPr="0046695E">
        <w:rPr>
          <w:rFonts w:ascii="Arial" w:eastAsia="Arial" w:hAnsi="Arial" w:cs="Arial"/>
          <w:sz w:val="22"/>
          <w:szCs w:val="22"/>
        </w:rPr>
        <w:t>io</w:t>
      </w:r>
      <w:r w:rsidRPr="00BD17CA">
        <w:rPr>
          <w:rFonts w:ascii="Arial" w:eastAsia="Arial" w:hAnsi="Arial" w:cs="Arial"/>
          <w:sz w:val="22"/>
          <w:szCs w:val="22"/>
        </w:rPr>
        <w:t>ns to</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a</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en</w:t>
      </w:r>
      <w:r w:rsidRPr="00BD17CA">
        <w:rPr>
          <w:rFonts w:ascii="Arial" w:eastAsia="Arial" w:hAnsi="Arial" w:cs="Arial"/>
          <w:sz w:val="22"/>
          <w:szCs w:val="22"/>
        </w:rPr>
        <w:t>e</w:t>
      </w:r>
      <w:r w:rsidRPr="0046695E">
        <w:rPr>
          <w:rFonts w:ascii="Arial" w:eastAsia="Arial" w:hAnsi="Arial" w:cs="Arial"/>
          <w:sz w:val="22"/>
          <w:szCs w:val="22"/>
        </w:rPr>
        <w:t>fi</w:t>
      </w:r>
      <w:r w:rsidRPr="00BD17CA">
        <w:rPr>
          <w:rFonts w:ascii="Arial" w:eastAsia="Arial" w:hAnsi="Arial" w:cs="Arial"/>
          <w:sz w:val="22"/>
          <w:szCs w:val="22"/>
        </w:rPr>
        <w:t>ts</w:t>
      </w:r>
      <w:r w:rsidRPr="0046695E">
        <w:rPr>
          <w:rFonts w:ascii="Arial" w:eastAsia="Arial" w:hAnsi="Arial" w:cs="Arial"/>
          <w:sz w:val="22"/>
          <w:szCs w:val="22"/>
        </w:rPr>
        <w:t xml:space="preserve"> w</w:t>
      </w:r>
      <w:r w:rsidRPr="00BD17CA">
        <w:rPr>
          <w:rFonts w:ascii="Arial" w:eastAsia="Arial" w:hAnsi="Arial" w:cs="Arial"/>
          <w:sz w:val="22"/>
          <w:szCs w:val="22"/>
        </w:rPr>
        <w:t>h</w:t>
      </w:r>
      <w:r w:rsidRPr="0046695E">
        <w:rPr>
          <w:rFonts w:ascii="Arial" w:eastAsia="Arial" w:hAnsi="Arial" w:cs="Arial"/>
          <w:sz w:val="22"/>
          <w:szCs w:val="22"/>
        </w:rPr>
        <w:t>ic</w:t>
      </w:r>
      <w:r w:rsidRPr="00BD17CA">
        <w:rPr>
          <w:rFonts w:ascii="Arial" w:eastAsia="Arial" w:hAnsi="Arial" w:cs="Arial"/>
          <w:sz w:val="22"/>
          <w:szCs w:val="22"/>
        </w:rPr>
        <w:t>h</w:t>
      </w:r>
      <w:r w:rsidRPr="0046695E">
        <w:rPr>
          <w:rFonts w:ascii="Arial" w:eastAsia="Arial" w:hAnsi="Arial" w:cs="Arial"/>
          <w:sz w:val="22"/>
          <w:szCs w:val="22"/>
        </w:rPr>
        <w:t xml:space="preserve"> f</w:t>
      </w:r>
      <w:r w:rsidRPr="00BD17CA">
        <w:rPr>
          <w:rFonts w:ascii="Arial" w:eastAsia="Arial" w:hAnsi="Arial" w:cs="Arial"/>
          <w:sz w:val="22"/>
          <w:szCs w:val="22"/>
        </w:rPr>
        <w:t>a</w:t>
      </w:r>
      <w:r w:rsidRPr="0046695E">
        <w:rPr>
          <w:rFonts w:ascii="Arial" w:eastAsia="Arial" w:hAnsi="Arial" w:cs="Arial"/>
          <w:sz w:val="22"/>
          <w:szCs w:val="22"/>
        </w:rPr>
        <w:t>l</w:t>
      </w:r>
      <w:r w:rsidRPr="00BD17CA">
        <w:rPr>
          <w:rFonts w:ascii="Arial" w:eastAsia="Arial" w:hAnsi="Arial" w:cs="Arial"/>
          <w:sz w:val="22"/>
          <w:szCs w:val="22"/>
        </w:rPr>
        <w:t>l</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u</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f</w:t>
      </w:r>
      <w:r w:rsidRPr="00BD17CA">
        <w:rPr>
          <w:rFonts w:ascii="Arial" w:eastAsia="Arial" w:hAnsi="Arial" w:cs="Arial"/>
          <w:sz w:val="22"/>
          <w:szCs w:val="22"/>
        </w:rPr>
        <w:t>ter</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en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fi</w:t>
      </w:r>
      <w:r w:rsidRPr="00BD17CA">
        <w:rPr>
          <w:rFonts w:ascii="Arial" w:eastAsia="Arial" w:hAnsi="Arial" w:cs="Arial"/>
          <w:sz w:val="22"/>
          <w:szCs w:val="22"/>
        </w:rPr>
        <w:t>n</w:t>
      </w:r>
      <w:r w:rsidRPr="0046695E">
        <w:rPr>
          <w:rFonts w:ascii="Arial" w:eastAsia="Arial" w:hAnsi="Arial" w:cs="Arial"/>
          <w:sz w:val="22"/>
          <w:szCs w:val="22"/>
        </w:rPr>
        <w:t>a</w:t>
      </w:r>
      <w:r w:rsidRPr="00BD17CA">
        <w:rPr>
          <w:rFonts w:ascii="Arial" w:eastAsia="Arial" w:hAnsi="Arial" w:cs="Arial"/>
          <w:sz w:val="22"/>
          <w:szCs w:val="22"/>
        </w:rPr>
        <w:t>n</w:t>
      </w:r>
      <w:r w:rsidRPr="0046695E">
        <w:rPr>
          <w:rFonts w:ascii="Arial" w:eastAsia="Arial" w:hAnsi="Arial" w:cs="Arial"/>
          <w:sz w:val="22"/>
          <w:szCs w:val="22"/>
        </w:rPr>
        <w:t>cia</w:t>
      </w:r>
      <w:r w:rsidRPr="00BD17CA">
        <w:rPr>
          <w:rFonts w:ascii="Arial" w:eastAsia="Arial" w:hAnsi="Arial" w:cs="Arial"/>
          <w:sz w:val="22"/>
          <w:szCs w:val="22"/>
        </w:rPr>
        <w:t>l</w:t>
      </w:r>
      <w:r w:rsidRPr="0046695E">
        <w:rPr>
          <w:rFonts w:ascii="Arial" w:eastAsia="Arial" w:hAnsi="Arial" w:cs="Arial"/>
          <w:sz w:val="22"/>
          <w:szCs w:val="22"/>
        </w:rPr>
        <w:t xml:space="preserve"> ye</w:t>
      </w:r>
      <w:r w:rsidRPr="00BD17CA">
        <w:rPr>
          <w:rFonts w:ascii="Arial" w:eastAsia="Arial" w:hAnsi="Arial" w:cs="Arial"/>
          <w:sz w:val="22"/>
          <w:szCs w:val="22"/>
        </w:rPr>
        <w:t>ar</w:t>
      </w:r>
      <w:r w:rsidRPr="0046695E">
        <w:rPr>
          <w:rFonts w:ascii="Arial" w:eastAsia="Arial" w:hAnsi="Arial" w:cs="Arial"/>
          <w:sz w:val="22"/>
          <w:szCs w:val="22"/>
        </w:rPr>
        <w:t xml:space="preserve"> </w:t>
      </w:r>
      <w:r w:rsidRPr="00BD17CA">
        <w:rPr>
          <w:rFonts w:ascii="Arial" w:eastAsia="Arial" w:hAnsi="Arial" w:cs="Arial"/>
          <w:sz w:val="22"/>
          <w:szCs w:val="22"/>
        </w:rPr>
        <w:t>n</w:t>
      </w:r>
      <w:r w:rsidRPr="0046695E">
        <w:rPr>
          <w:rFonts w:ascii="Arial" w:eastAsia="Arial" w:hAnsi="Arial" w:cs="Arial"/>
          <w:sz w:val="22"/>
          <w:szCs w:val="22"/>
        </w:rPr>
        <w:t>o</w:t>
      </w:r>
      <w:r w:rsidRPr="00BD17CA">
        <w:rPr>
          <w:rFonts w:ascii="Arial" w:eastAsia="Arial" w:hAnsi="Arial" w:cs="Arial"/>
          <w:sz w:val="22"/>
          <w:szCs w:val="22"/>
        </w:rPr>
        <w:t>r do</w:t>
      </w:r>
      <w:r w:rsidRPr="0046695E">
        <w:rPr>
          <w:rFonts w:ascii="Arial" w:eastAsia="Arial" w:hAnsi="Arial" w:cs="Arial"/>
          <w:sz w:val="22"/>
          <w:szCs w:val="22"/>
        </w:rPr>
        <w:t xml:space="preserve"> </w:t>
      </w:r>
      <w:r w:rsidRPr="00BD17CA">
        <w:rPr>
          <w:rFonts w:ascii="Arial" w:eastAsia="Arial" w:hAnsi="Arial" w:cs="Arial"/>
          <w:sz w:val="22"/>
          <w:szCs w:val="22"/>
        </w:rPr>
        <w:t>th</w:t>
      </w:r>
      <w:r w:rsidRPr="0046695E">
        <w:rPr>
          <w:rFonts w:ascii="Arial" w:eastAsia="Arial" w:hAnsi="Arial" w:cs="Arial"/>
          <w:sz w:val="22"/>
          <w:szCs w:val="22"/>
        </w:rPr>
        <w:t>e</w:t>
      </w:r>
      <w:r w:rsidRPr="00BD17CA">
        <w:rPr>
          <w:rFonts w:ascii="Arial" w:eastAsia="Arial" w:hAnsi="Arial" w:cs="Arial"/>
          <w:sz w:val="22"/>
          <w:szCs w:val="22"/>
        </w:rPr>
        <w:t>y</w:t>
      </w:r>
      <w:r w:rsidRPr="0046695E">
        <w:rPr>
          <w:rFonts w:ascii="Arial" w:eastAsia="Arial" w:hAnsi="Arial" w:cs="Arial"/>
          <w:sz w:val="22"/>
          <w:szCs w:val="22"/>
        </w:rPr>
        <w:t xml:space="preserve"> </w:t>
      </w:r>
      <w:proofErr w:type="gramStart"/>
      <w:r w:rsidRPr="0046695E">
        <w:rPr>
          <w:rFonts w:ascii="Arial" w:eastAsia="Arial" w:hAnsi="Arial" w:cs="Arial"/>
          <w:sz w:val="22"/>
          <w:szCs w:val="22"/>
        </w:rPr>
        <w:t>t</w:t>
      </w:r>
      <w:r w:rsidRPr="00BD17CA">
        <w:rPr>
          <w:rFonts w:ascii="Arial" w:eastAsia="Arial" w:hAnsi="Arial" w:cs="Arial"/>
          <w:sz w:val="22"/>
          <w:szCs w:val="22"/>
        </w:rPr>
        <w:t>a</w:t>
      </w:r>
      <w:r w:rsidRPr="0046695E">
        <w:rPr>
          <w:rFonts w:ascii="Arial" w:eastAsia="Arial" w:hAnsi="Arial" w:cs="Arial"/>
          <w:sz w:val="22"/>
          <w:szCs w:val="22"/>
        </w:rPr>
        <w:t>k</w:t>
      </w:r>
      <w:r w:rsidRPr="00BD17CA">
        <w:rPr>
          <w:rFonts w:ascii="Arial" w:eastAsia="Arial" w:hAnsi="Arial" w:cs="Arial"/>
          <w:sz w:val="22"/>
          <w:szCs w:val="22"/>
        </w:rPr>
        <w:t>e</w:t>
      </w:r>
      <w:r w:rsidRPr="0046695E">
        <w:rPr>
          <w:rFonts w:ascii="Arial" w:eastAsia="Arial" w:hAnsi="Arial" w:cs="Arial"/>
          <w:sz w:val="22"/>
          <w:szCs w:val="22"/>
        </w:rPr>
        <w:t xml:space="preserve"> i</w:t>
      </w:r>
      <w:r w:rsidRPr="00BD17CA">
        <w:rPr>
          <w:rFonts w:ascii="Arial" w:eastAsia="Arial" w:hAnsi="Arial" w:cs="Arial"/>
          <w:sz w:val="22"/>
          <w:szCs w:val="22"/>
        </w:rPr>
        <w:t>nto</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w:t>
      </w:r>
      <w:proofErr w:type="gramEnd"/>
      <w:r w:rsidRPr="0046695E">
        <w:rPr>
          <w:rFonts w:ascii="Arial" w:eastAsia="Arial" w:hAnsi="Arial" w:cs="Arial"/>
          <w:sz w:val="22"/>
          <w:szCs w:val="22"/>
        </w:rPr>
        <w:t xml:space="preserve"> t</w:t>
      </w:r>
      <w:r w:rsidRPr="00BD17CA">
        <w:rPr>
          <w:rFonts w:ascii="Arial" w:eastAsia="Arial" w:hAnsi="Arial" w:cs="Arial"/>
          <w:sz w:val="22"/>
          <w:szCs w:val="22"/>
        </w:rPr>
        <w:t>he a</w:t>
      </w:r>
      <w:r w:rsidRPr="0046695E">
        <w:rPr>
          <w:rFonts w:ascii="Arial" w:eastAsia="Arial" w:hAnsi="Arial" w:cs="Arial"/>
          <w:sz w:val="22"/>
          <w:szCs w:val="22"/>
        </w:rPr>
        <w:t>c</w:t>
      </w:r>
      <w:r w:rsidRPr="00BD17CA">
        <w:rPr>
          <w:rFonts w:ascii="Arial" w:eastAsia="Arial" w:hAnsi="Arial" w:cs="Arial"/>
          <w:sz w:val="22"/>
          <w:szCs w:val="22"/>
        </w:rPr>
        <w:t>tu</w:t>
      </w:r>
      <w:r w:rsidRPr="0046695E">
        <w:rPr>
          <w:rFonts w:ascii="Arial" w:eastAsia="Arial" w:hAnsi="Arial" w:cs="Arial"/>
          <w:sz w:val="22"/>
          <w:szCs w:val="22"/>
        </w:rPr>
        <w:t>aria</w:t>
      </w:r>
      <w:r w:rsidRPr="00BD17CA">
        <w:rPr>
          <w:rFonts w:ascii="Arial" w:eastAsia="Arial" w:hAnsi="Arial" w:cs="Arial"/>
          <w:sz w:val="22"/>
          <w:szCs w:val="22"/>
        </w:rPr>
        <w:t>l</w:t>
      </w:r>
      <w:r w:rsidRPr="0046695E">
        <w:rPr>
          <w:rFonts w:ascii="Arial" w:eastAsia="Arial" w:hAnsi="Arial" w:cs="Arial"/>
          <w:sz w:val="22"/>
          <w:szCs w:val="22"/>
        </w:rPr>
        <w:t xml:space="preserve"> </w:t>
      </w:r>
      <w:r w:rsidRPr="00BD17CA">
        <w:rPr>
          <w:rFonts w:ascii="Arial" w:eastAsia="Arial" w:hAnsi="Arial" w:cs="Arial"/>
          <w:sz w:val="22"/>
          <w:szCs w:val="22"/>
        </w:rPr>
        <w:t>pre</w:t>
      </w:r>
      <w:r w:rsidRPr="0046695E">
        <w:rPr>
          <w:rFonts w:ascii="Arial" w:eastAsia="Arial" w:hAnsi="Arial" w:cs="Arial"/>
          <w:sz w:val="22"/>
          <w:szCs w:val="22"/>
        </w:rPr>
        <w:t>s</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val</w:t>
      </w:r>
      <w:r w:rsidRPr="00BD17CA">
        <w:rPr>
          <w:rFonts w:ascii="Arial" w:eastAsia="Arial" w:hAnsi="Arial" w:cs="Arial"/>
          <w:sz w:val="22"/>
          <w:szCs w:val="22"/>
        </w:rPr>
        <w:t>ue</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pr</w:t>
      </w:r>
      <w:r w:rsidRPr="00BD17CA">
        <w:rPr>
          <w:rFonts w:ascii="Arial" w:eastAsia="Arial" w:hAnsi="Arial" w:cs="Arial"/>
          <w:sz w:val="22"/>
          <w:szCs w:val="22"/>
        </w:rPr>
        <w:t>o</w:t>
      </w:r>
      <w:r w:rsidRPr="0046695E">
        <w:rPr>
          <w:rFonts w:ascii="Arial" w:eastAsia="Arial" w:hAnsi="Arial" w:cs="Arial"/>
          <w:sz w:val="22"/>
          <w:szCs w:val="22"/>
        </w:rPr>
        <w:t>mis</w:t>
      </w:r>
      <w:r w:rsidRPr="00BD17CA">
        <w:rPr>
          <w:rFonts w:ascii="Arial" w:eastAsia="Arial" w:hAnsi="Arial" w:cs="Arial"/>
          <w:sz w:val="22"/>
          <w:szCs w:val="22"/>
        </w:rPr>
        <w:t>ed</w:t>
      </w:r>
      <w:r w:rsidRPr="0046695E">
        <w:rPr>
          <w:rFonts w:ascii="Arial" w:eastAsia="Arial" w:hAnsi="Arial" w:cs="Arial"/>
          <w:sz w:val="22"/>
          <w:szCs w:val="22"/>
        </w:rPr>
        <w:t xml:space="preserve"> r</w:t>
      </w:r>
      <w:r w:rsidRPr="00BD17CA">
        <w:rPr>
          <w:rFonts w:ascii="Arial" w:eastAsia="Arial" w:hAnsi="Arial" w:cs="Arial"/>
          <w:sz w:val="22"/>
          <w:szCs w:val="22"/>
        </w:rPr>
        <w:t>et</w:t>
      </w:r>
      <w:r w:rsidRPr="0046695E">
        <w:rPr>
          <w:rFonts w:ascii="Arial" w:eastAsia="Arial" w:hAnsi="Arial" w:cs="Arial"/>
          <w:sz w:val="22"/>
          <w:szCs w:val="22"/>
        </w:rPr>
        <w:t>ir</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b</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e</w:t>
      </w:r>
      <w:r w:rsidRPr="0046695E">
        <w:rPr>
          <w:rFonts w:ascii="Arial" w:eastAsia="Arial" w:hAnsi="Arial" w:cs="Arial"/>
          <w:sz w:val="22"/>
          <w:szCs w:val="22"/>
        </w:rPr>
        <w:t>fi</w:t>
      </w:r>
      <w:r w:rsidRPr="00BD17CA">
        <w:rPr>
          <w:rFonts w:ascii="Arial" w:eastAsia="Arial" w:hAnsi="Arial" w:cs="Arial"/>
          <w:sz w:val="22"/>
          <w:szCs w:val="22"/>
        </w:rPr>
        <w:t>t</w:t>
      </w:r>
      <w:r w:rsidRPr="0046695E">
        <w:rPr>
          <w:rFonts w:ascii="Arial" w:eastAsia="Arial" w:hAnsi="Arial" w:cs="Arial"/>
          <w:sz w:val="22"/>
          <w:szCs w:val="22"/>
        </w:rPr>
        <w:t>s</w:t>
      </w:r>
      <w:r w:rsidRPr="00BD17CA">
        <w:rPr>
          <w:rFonts w:ascii="Arial" w:eastAsia="Arial" w:hAnsi="Arial" w:cs="Arial"/>
          <w:sz w:val="22"/>
          <w:szCs w:val="22"/>
        </w:rPr>
        <w:t>.</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C</w:t>
      </w:r>
      <w:r w:rsidRPr="00BD17CA">
        <w:rPr>
          <w:rFonts w:ascii="Arial" w:eastAsia="Arial" w:hAnsi="Arial" w:cs="Arial"/>
          <w:sz w:val="22"/>
          <w:szCs w:val="22"/>
        </w:rPr>
        <w:t>o</w:t>
      </w:r>
      <w:r w:rsidRPr="0046695E">
        <w:rPr>
          <w:rFonts w:ascii="Arial" w:eastAsia="Arial" w:hAnsi="Arial" w:cs="Arial"/>
          <w:sz w:val="22"/>
          <w:szCs w:val="22"/>
        </w:rPr>
        <w:t>d</w:t>
      </w:r>
      <w:r w:rsidRPr="00BD17CA">
        <w:rPr>
          <w:rFonts w:ascii="Arial" w:eastAsia="Arial" w:hAnsi="Arial" w:cs="Arial"/>
          <w:sz w:val="22"/>
          <w:szCs w:val="22"/>
        </w:rPr>
        <w:t>e</w:t>
      </w:r>
      <w:r w:rsidRPr="0046695E">
        <w:rPr>
          <w:rFonts w:ascii="Arial" w:eastAsia="Arial" w:hAnsi="Arial" w:cs="Arial"/>
          <w:sz w:val="22"/>
          <w:szCs w:val="22"/>
        </w:rPr>
        <w:t xml:space="preserve"> giv</w:t>
      </w:r>
      <w:r w:rsidRPr="00BD17CA">
        <w:rPr>
          <w:rFonts w:ascii="Arial" w:eastAsia="Arial" w:hAnsi="Arial" w:cs="Arial"/>
          <w:sz w:val="22"/>
          <w:szCs w:val="22"/>
        </w:rPr>
        <w:t>es</w:t>
      </w:r>
      <w:r w:rsidRPr="0046695E">
        <w:rPr>
          <w:rFonts w:ascii="Arial" w:eastAsia="Arial" w:hAnsi="Arial" w:cs="Arial"/>
          <w:sz w:val="22"/>
          <w:szCs w:val="22"/>
        </w:rPr>
        <w:t xml:space="preserve"> a</w:t>
      </w:r>
      <w:r w:rsidRPr="00BD17CA">
        <w:rPr>
          <w:rFonts w:ascii="Arial" w:eastAsia="Arial" w:hAnsi="Arial" w:cs="Arial"/>
          <w:sz w:val="22"/>
          <w:szCs w:val="22"/>
        </w:rPr>
        <w:t>d</w:t>
      </w:r>
      <w:r w:rsidRPr="0046695E">
        <w:rPr>
          <w:rFonts w:ascii="Arial" w:eastAsia="Arial" w:hAnsi="Arial" w:cs="Arial"/>
          <w:sz w:val="22"/>
          <w:szCs w:val="22"/>
        </w:rPr>
        <w:t>minis</w:t>
      </w:r>
      <w:r w:rsidRPr="00BD17CA">
        <w:rPr>
          <w:rFonts w:ascii="Arial" w:eastAsia="Arial" w:hAnsi="Arial" w:cs="Arial"/>
          <w:sz w:val="22"/>
          <w:szCs w:val="22"/>
        </w:rPr>
        <w:t>t</w:t>
      </w:r>
      <w:r w:rsidRPr="0046695E">
        <w:rPr>
          <w:rFonts w:ascii="Arial" w:eastAsia="Arial" w:hAnsi="Arial" w:cs="Arial"/>
          <w:sz w:val="22"/>
          <w:szCs w:val="22"/>
        </w:rPr>
        <w:t>eri</w:t>
      </w:r>
      <w:r w:rsidRPr="00BD17CA">
        <w:rPr>
          <w:rFonts w:ascii="Arial" w:eastAsia="Arial" w:hAnsi="Arial" w:cs="Arial"/>
          <w:sz w:val="22"/>
          <w:szCs w:val="22"/>
        </w:rPr>
        <w:t>ng</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ut</w:t>
      </w:r>
      <w:r w:rsidRPr="00BD17CA">
        <w:rPr>
          <w:rFonts w:ascii="Arial" w:eastAsia="Arial" w:hAnsi="Arial" w:cs="Arial"/>
          <w:sz w:val="22"/>
          <w:szCs w:val="22"/>
        </w:rPr>
        <w:t>h</w:t>
      </w:r>
      <w:r w:rsidRPr="0046695E">
        <w:rPr>
          <w:rFonts w:ascii="Arial" w:eastAsia="Arial" w:hAnsi="Arial" w:cs="Arial"/>
          <w:sz w:val="22"/>
          <w:szCs w:val="22"/>
        </w:rPr>
        <w:t>ori</w:t>
      </w:r>
      <w:r w:rsidRPr="00BD17CA">
        <w:rPr>
          <w:rFonts w:ascii="Arial" w:eastAsia="Arial" w:hAnsi="Arial" w:cs="Arial"/>
          <w:sz w:val="22"/>
          <w:szCs w:val="22"/>
        </w:rPr>
        <w:t>t</w:t>
      </w:r>
      <w:r w:rsidRPr="0046695E">
        <w:rPr>
          <w:rFonts w:ascii="Arial" w:eastAsia="Arial" w:hAnsi="Arial" w:cs="Arial"/>
          <w:sz w:val="22"/>
          <w:szCs w:val="22"/>
        </w:rPr>
        <w:t>i</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o</w:t>
      </w:r>
      <w:r w:rsidRPr="0046695E">
        <w:rPr>
          <w:rFonts w:ascii="Arial" w:eastAsia="Arial" w:hAnsi="Arial" w:cs="Arial"/>
          <w:sz w:val="22"/>
          <w:szCs w:val="22"/>
        </w:rPr>
        <w:t>pti</w:t>
      </w:r>
      <w:r w:rsidRPr="00BD17CA">
        <w:rPr>
          <w:rFonts w:ascii="Arial" w:eastAsia="Arial" w:hAnsi="Arial" w:cs="Arial"/>
          <w:sz w:val="22"/>
          <w:szCs w:val="22"/>
        </w:rPr>
        <w:t>on</w:t>
      </w:r>
      <w:r w:rsidRPr="0046695E">
        <w:rPr>
          <w:rFonts w:ascii="Arial" w:eastAsia="Arial" w:hAnsi="Arial" w:cs="Arial"/>
          <w:sz w:val="22"/>
          <w:szCs w:val="22"/>
        </w:rPr>
        <w:t xml:space="preserve"> t</w:t>
      </w:r>
      <w:r w:rsidRPr="00BD17CA">
        <w:rPr>
          <w:rFonts w:ascii="Arial" w:eastAsia="Arial" w:hAnsi="Arial" w:cs="Arial"/>
          <w:sz w:val="22"/>
          <w:szCs w:val="22"/>
        </w:rPr>
        <w:t>o d</w:t>
      </w:r>
      <w:r w:rsidRPr="0046695E">
        <w:rPr>
          <w:rFonts w:ascii="Arial" w:eastAsia="Arial" w:hAnsi="Arial" w:cs="Arial"/>
          <w:sz w:val="22"/>
          <w:szCs w:val="22"/>
        </w:rPr>
        <w:t>iscl</w:t>
      </w:r>
      <w:r w:rsidRPr="00BD17CA">
        <w:rPr>
          <w:rFonts w:ascii="Arial" w:eastAsia="Arial" w:hAnsi="Arial" w:cs="Arial"/>
          <w:sz w:val="22"/>
          <w:szCs w:val="22"/>
        </w:rPr>
        <w:t>o</w:t>
      </w:r>
      <w:r w:rsidRPr="0046695E">
        <w:rPr>
          <w:rFonts w:ascii="Arial" w:eastAsia="Arial" w:hAnsi="Arial" w:cs="Arial"/>
          <w:sz w:val="22"/>
          <w:szCs w:val="22"/>
        </w:rPr>
        <w:t>s</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th</w:t>
      </w:r>
      <w:r w:rsidRPr="0046695E">
        <w:rPr>
          <w:rFonts w:ascii="Arial" w:eastAsia="Arial" w:hAnsi="Arial" w:cs="Arial"/>
          <w:sz w:val="22"/>
          <w:szCs w:val="22"/>
        </w:rPr>
        <w:t>i</w:t>
      </w:r>
      <w:r w:rsidRPr="00BD17CA">
        <w:rPr>
          <w:rFonts w:ascii="Arial" w:eastAsia="Arial" w:hAnsi="Arial" w:cs="Arial"/>
          <w:sz w:val="22"/>
          <w:szCs w:val="22"/>
        </w:rPr>
        <w:t>s</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f</w:t>
      </w:r>
      <w:r w:rsidRPr="00BD17CA">
        <w:rPr>
          <w:rFonts w:ascii="Arial" w:eastAsia="Arial" w:hAnsi="Arial" w:cs="Arial"/>
          <w:sz w:val="22"/>
          <w:szCs w:val="22"/>
        </w:rPr>
        <w:t>or</w:t>
      </w:r>
      <w:r w:rsidRPr="0046695E">
        <w:rPr>
          <w:rFonts w:ascii="Arial" w:eastAsia="Arial" w:hAnsi="Arial" w:cs="Arial"/>
          <w:sz w:val="22"/>
          <w:szCs w:val="22"/>
        </w:rPr>
        <w:t>m</w:t>
      </w:r>
      <w:r w:rsidRPr="00BD17CA">
        <w:rPr>
          <w:rFonts w:ascii="Arial" w:eastAsia="Arial" w:hAnsi="Arial" w:cs="Arial"/>
          <w:sz w:val="22"/>
          <w:szCs w:val="22"/>
        </w:rPr>
        <w:t>at</w:t>
      </w:r>
      <w:r w:rsidRPr="0046695E">
        <w:rPr>
          <w:rFonts w:ascii="Arial" w:eastAsia="Arial" w:hAnsi="Arial" w:cs="Arial"/>
          <w:sz w:val="22"/>
          <w:szCs w:val="22"/>
        </w:rPr>
        <w:t>i</w:t>
      </w:r>
      <w:r w:rsidRPr="00BD17CA">
        <w:rPr>
          <w:rFonts w:ascii="Arial" w:eastAsia="Arial" w:hAnsi="Arial" w:cs="Arial"/>
          <w:sz w:val="22"/>
          <w:szCs w:val="22"/>
        </w:rPr>
        <w:t>on</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n</w:t>
      </w:r>
      <w:r w:rsidRPr="00BD17CA">
        <w:rPr>
          <w:rFonts w:ascii="Arial" w:eastAsia="Arial" w:hAnsi="Arial" w:cs="Arial"/>
          <w:sz w:val="22"/>
          <w:szCs w:val="22"/>
        </w:rPr>
        <w:t>et</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ss</w:t>
      </w:r>
      <w:r w:rsidRPr="00BD17CA">
        <w:rPr>
          <w:rFonts w:ascii="Arial" w:eastAsia="Arial" w:hAnsi="Arial" w:cs="Arial"/>
          <w:sz w:val="22"/>
          <w:szCs w:val="22"/>
        </w:rPr>
        <w:t>ets</w:t>
      </w:r>
      <w:r w:rsidRPr="0046695E">
        <w:rPr>
          <w:rFonts w:ascii="Arial" w:eastAsia="Arial" w:hAnsi="Arial" w:cs="Arial"/>
          <w:sz w:val="22"/>
          <w:szCs w:val="22"/>
        </w:rPr>
        <w:t xml:space="preserve"> s</w:t>
      </w:r>
      <w:r w:rsidRPr="00BD17CA">
        <w:rPr>
          <w:rFonts w:ascii="Arial" w:eastAsia="Arial" w:hAnsi="Arial" w:cs="Arial"/>
          <w:sz w:val="22"/>
          <w:szCs w:val="22"/>
        </w:rPr>
        <w:t>ta</w:t>
      </w:r>
      <w:r w:rsidRPr="0046695E">
        <w:rPr>
          <w:rFonts w:ascii="Arial" w:eastAsia="Arial" w:hAnsi="Arial" w:cs="Arial"/>
          <w:sz w:val="22"/>
          <w:szCs w:val="22"/>
        </w:rPr>
        <w:t>t</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i</w:t>
      </w:r>
      <w:r w:rsidRPr="00BD17CA">
        <w:rPr>
          <w:rFonts w:ascii="Arial" w:eastAsia="Arial" w:hAnsi="Arial" w:cs="Arial"/>
          <w:sz w:val="22"/>
          <w:szCs w:val="22"/>
        </w:rPr>
        <w:t>n the n</w:t>
      </w:r>
      <w:r w:rsidRPr="0046695E">
        <w:rPr>
          <w:rFonts w:ascii="Arial" w:eastAsia="Arial" w:hAnsi="Arial" w:cs="Arial"/>
          <w:sz w:val="22"/>
          <w:szCs w:val="22"/>
        </w:rPr>
        <w:t>o</w:t>
      </w:r>
      <w:r w:rsidRPr="00BD17CA">
        <w:rPr>
          <w:rFonts w:ascii="Arial" w:eastAsia="Arial" w:hAnsi="Arial" w:cs="Arial"/>
          <w:sz w:val="22"/>
          <w:szCs w:val="22"/>
        </w:rPr>
        <w:t>tes</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nts</w:t>
      </w:r>
      <w:r w:rsidRPr="0046695E">
        <w:rPr>
          <w:rFonts w:ascii="Arial" w:eastAsia="Arial" w:hAnsi="Arial" w:cs="Arial"/>
          <w:sz w:val="22"/>
          <w:szCs w:val="22"/>
        </w:rPr>
        <w:t xml:space="preserve"> </w:t>
      </w:r>
      <w:r w:rsidRPr="00BD17CA">
        <w:rPr>
          <w:rFonts w:ascii="Arial" w:eastAsia="Arial" w:hAnsi="Arial" w:cs="Arial"/>
          <w:sz w:val="22"/>
          <w:szCs w:val="22"/>
        </w:rPr>
        <w:t>or</w:t>
      </w:r>
      <w:r w:rsidRPr="0046695E">
        <w:rPr>
          <w:rFonts w:ascii="Arial" w:eastAsia="Arial" w:hAnsi="Arial" w:cs="Arial"/>
          <w:sz w:val="22"/>
          <w:szCs w:val="22"/>
        </w:rPr>
        <w:t xml:space="preserve"> b</w:t>
      </w:r>
      <w:r w:rsidRPr="00BD17CA">
        <w:rPr>
          <w:rFonts w:ascii="Arial" w:eastAsia="Arial" w:hAnsi="Arial" w:cs="Arial"/>
          <w:sz w:val="22"/>
          <w:szCs w:val="22"/>
        </w:rPr>
        <w:t>y</w:t>
      </w:r>
      <w:r w:rsidRPr="0046695E">
        <w:rPr>
          <w:rFonts w:ascii="Arial" w:eastAsia="Arial" w:hAnsi="Arial" w:cs="Arial"/>
          <w:sz w:val="22"/>
          <w:szCs w:val="22"/>
        </w:rPr>
        <w:t xml:space="preserve"> a</w:t>
      </w:r>
      <w:r w:rsidRPr="00BD17CA">
        <w:rPr>
          <w:rFonts w:ascii="Arial" w:eastAsia="Arial" w:hAnsi="Arial" w:cs="Arial"/>
          <w:sz w:val="22"/>
          <w:szCs w:val="22"/>
        </w:rPr>
        <w:t>p</w:t>
      </w:r>
      <w:r w:rsidRPr="0046695E">
        <w:rPr>
          <w:rFonts w:ascii="Arial" w:eastAsia="Arial" w:hAnsi="Arial" w:cs="Arial"/>
          <w:sz w:val="22"/>
          <w:szCs w:val="22"/>
        </w:rPr>
        <w:t>pe</w:t>
      </w:r>
      <w:r w:rsidRPr="00BD17CA">
        <w:rPr>
          <w:rFonts w:ascii="Arial" w:eastAsia="Arial" w:hAnsi="Arial" w:cs="Arial"/>
          <w:sz w:val="22"/>
          <w:szCs w:val="22"/>
        </w:rPr>
        <w:t>n</w:t>
      </w:r>
      <w:r w:rsidRPr="0046695E">
        <w:rPr>
          <w:rFonts w:ascii="Arial" w:eastAsia="Arial" w:hAnsi="Arial" w:cs="Arial"/>
          <w:sz w:val="22"/>
          <w:szCs w:val="22"/>
        </w:rPr>
        <w:t>di</w:t>
      </w:r>
      <w:r w:rsidRPr="00BD17CA">
        <w:rPr>
          <w:rFonts w:ascii="Arial" w:eastAsia="Arial" w:hAnsi="Arial" w:cs="Arial"/>
          <w:sz w:val="22"/>
          <w:szCs w:val="22"/>
        </w:rPr>
        <w:t>ng</w:t>
      </w:r>
      <w:r w:rsidRPr="0046695E">
        <w:rPr>
          <w:rFonts w:ascii="Arial" w:eastAsia="Arial" w:hAnsi="Arial" w:cs="Arial"/>
          <w:sz w:val="22"/>
          <w:szCs w:val="22"/>
        </w:rPr>
        <w:t xml:space="preserve"> </w:t>
      </w:r>
      <w:r w:rsidRPr="00BD17CA">
        <w:rPr>
          <w:rFonts w:ascii="Arial" w:eastAsia="Arial" w:hAnsi="Arial" w:cs="Arial"/>
          <w:sz w:val="22"/>
          <w:szCs w:val="22"/>
        </w:rPr>
        <w:t>an</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w:t>
      </w:r>
      <w:r w:rsidRPr="00BD17CA">
        <w:rPr>
          <w:rFonts w:ascii="Arial" w:eastAsia="Arial" w:hAnsi="Arial" w:cs="Arial"/>
          <w:sz w:val="22"/>
          <w:szCs w:val="22"/>
        </w:rPr>
        <w:t>tu</w:t>
      </w:r>
      <w:r w:rsidRPr="0046695E">
        <w:rPr>
          <w:rFonts w:ascii="Arial" w:eastAsia="Arial" w:hAnsi="Arial" w:cs="Arial"/>
          <w:sz w:val="22"/>
          <w:szCs w:val="22"/>
        </w:rPr>
        <w:t>ari</w:t>
      </w:r>
      <w:r w:rsidRPr="00BD17CA">
        <w:rPr>
          <w:rFonts w:ascii="Arial" w:eastAsia="Arial" w:hAnsi="Arial" w:cs="Arial"/>
          <w:sz w:val="22"/>
          <w:szCs w:val="22"/>
        </w:rPr>
        <w:t xml:space="preserve">al </w:t>
      </w:r>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p</w:t>
      </w:r>
      <w:r w:rsidRPr="00BD17CA">
        <w:rPr>
          <w:rFonts w:ascii="Arial" w:eastAsia="Arial" w:hAnsi="Arial" w:cs="Arial"/>
          <w:sz w:val="22"/>
          <w:szCs w:val="22"/>
        </w:rPr>
        <w:t>ort</w:t>
      </w:r>
      <w:r w:rsidRPr="0046695E">
        <w:rPr>
          <w:rFonts w:ascii="Arial" w:eastAsia="Arial" w:hAnsi="Arial" w:cs="Arial"/>
          <w:sz w:val="22"/>
          <w:szCs w:val="22"/>
        </w:rPr>
        <w:t xml:space="preserve"> </w:t>
      </w:r>
      <w:r w:rsidRPr="00BD17CA">
        <w:rPr>
          <w:rFonts w:ascii="Arial" w:eastAsia="Arial" w:hAnsi="Arial" w:cs="Arial"/>
          <w:sz w:val="22"/>
          <w:szCs w:val="22"/>
        </w:rPr>
        <w:t>prepa</w:t>
      </w:r>
      <w:r w:rsidRPr="0046695E">
        <w:rPr>
          <w:rFonts w:ascii="Arial" w:eastAsia="Arial" w:hAnsi="Arial" w:cs="Arial"/>
          <w:sz w:val="22"/>
          <w:szCs w:val="22"/>
        </w:rPr>
        <w:t>r</w:t>
      </w:r>
      <w:r w:rsidRPr="00BD17CA">
        <w:rPr>
          <w:rFonts w:ascii="Arial" w:eastAsia="Arial" w:hAnsi="Arial" w:cs="Arial"/>
          <w:sz w:val="22"/>
          <w:szCs w:val="22"/>
        </w:rPr>
        <w:t xml:space="preserve">ed </w:t>
      </w:r>
      <w:r w:rsidRPr="0046695E">
        <w:rPr>
          <w:rFonts w:ascii="Arial" w:eastAsia="Arial" w:hAnsi="Arial" w:cs="Arial"/>
          <w:sz w:val="22"/>
          <w:szCs w:val="22"/>
        </w:rPr>
        <w:t>f</w:t>
      </w:r>
      <w:r w:rsidRPr="00BD17CA">
        <w:rPr>
          <w:rFonts w:ascii="Arial" w:eastAsia="Arial" w:hAnsi="Arial" w:cs="Arial"/>
          <w:sz w:val="22"/>
          <w:szCs w:val="22"/>
        </w:rPr>
        <w:t>or</w:t>
      </w:r>
      <w:r w:rsidRPr="0046695E">
        <w:rPr>
          <w:rFonts w:ascii="Arial" w:eastAsia="Arial" w:hAnsi="Arial" w:cs="Arial"/>
          <w:sz w:val="22"/>
          <w:szCs w:val="22"/>
        </w:rPr>
        <w:t xml:space="preserve"> t</w:t>
      </w:r>
      <w:r w:rsidRPr="00BD17CA">
        <w:rPr>
          <w:rFonts w:ascii="Arial" w:eastAsia="Arial" w:hAnsi="Arial" w:cs="Arial"/>
          <w:sz w:val="22"/>
          <w:szCs w:val="22"/>
        </w:rPr>
        <w:t>h</w:t>
      </w:r>
      <w:r w:rsidRPr="0046695E">
        <w:rPr>
          <w:rFonts w:ascii="Arial" w:eastAsia="Arial" w:hAnsi="Arial" w:cs="Arial"/>
          <w:sz w:val="22"/>
          <w:szCs w:val="22"/>
        </w:rPr>
        <w:t>i</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ur</w:t>
      </w:r>
      <w:r w:rsidRPr="00BD17CA">
        <w:rPr>
          <w:rFonts w:ascii="Arial" w:eastAsia="Arial" w:hAnsi="Arial" w:cs="Arial"/>
          <w:sz w:val="22"/>
          <w:szCs w:val="22"/>
        </w:rPr>
        <w:t>p</w:t>
      </w:r>
      <w:r w:rsidRPr="0046695E">
        <w:rPr>
          <w:rFonts w:ascii="Arial" w:eastAsia="Arial" w:hAnsi="Arial" w:cs="Arial"/>
          <w:sz w:val="22"/>
          <w:szCs w:val="22"/>
        </w:rPr>
        <w:t>os</w:t>
      </w:r>
      <w:r w:rsidRPr="00BD17CA">
        <w:rPr>
          <w:rFonts w:ascii="Arial" w:eastAsia="Arial" w:hAnsi="Arial" w:cs="Arial"/>
          <w:sz w:val="22"/>
          <w:szCs w:val="22"/>
        </w:rPr>
        <w:t xml:space="preserve">e. </w:t>
      </w:r>
      <w:r w:rsidRPr="0046695E">
        <w:rPr>
          <w:rFonts w:ascii="Arial" w:eastAsia="Arial" w:hAnsi="Arial" w:cs="Arial"/>
          <w:sz w:val="22"/>
          <w:szCs w:val="22"/>
        </w:rPr>
        <w:t>T</w:t>
      </w:r>
      <w:r w:rsidRPr="00BD17CA">
        <w:rPr>
          <w:rFonts w:ascii="Arial" w:eastAsia="Arial" w:hAnsi="Arial" w:cs="Arial"/>
          <w:sz w:val="22"/>
          <w:szCs w:val="22"/>
        </w:rPr>
        <w:t>he</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on</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h</w:t>
      </w:r>
      <w:r w:rsidRPr="00BD17CA">
        <w:rPr>
          <w:rFonts w:ascii="Arial" w:eastAsia="Arial" w:hAnsi="Arial" w:cs="Arial"/>
          <w:sz w:val="22"/>
          <w:szCs w:val="22"/>
        </w:rPr>
        <w:t>as</w:t>
      </w:r>
      <w:r w:rsidRPr="0046695E">
        <w:rPr>
          <w:rFonts w:ascii="Arial" w:eastAsia="Arial" w:hAnsi="Arial" w:cs="Arial"/>
          <w:sz w:val="22"/>
          <w:szCs w:val="22"/>
        </w:rPr>
        <w:t xml:space="preserve"> </w:t>
      </w:r>
      <w:r w:rsidRPr="00BD17CA">
        <w:rPr>
          <w:rFonts w:ascii="Arial" w:eastAsia="Arial" w:hAnsi="Arial" w:cs="Arial"/>
          <w:sz w:val="22"/>
          <w:szCs w:val="22"/>
        </w:rPr>
        <w:t>o</w:t>
      </w:r>
      <w:r w:rsidRPr="0046695E">
        <w:rPr>
          <w:rFonts w:ascii="Arial" w:eastAsia="Arial" w:hAnsi="Arial" w:cs="Arial"/>
          <w:sz w:val="22"/>
          <w:szCs w:val="22"/>
        </w:rPr>
        <w:t>pt</w:t>
      </w:r>
      <w:r w:rsidRPr="00BD17CA">
        <w:rPr>
          <w:rFonts w:ascii="Arial" w:eastAsia="Arial" w:hAnsi="Arial" w:cs="Arial"/>
          <w:sz w:val="22"/>
          <w:szCs w:val="22"/>
        </w:rPr>
        <w:t>ed</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discl</w:t>
      </w:r>
      <w:r w:rsidRPr="00BD17CA">
        <w:rPr>
          <w:rFonts w:ascii="Arial" w:eastAsia="Arial" w:hAnsi="Arial" w:cs="Arial"/>
          <w:sz w:val="22"/>
          <w:szCs w:val="22"/>
        </w:rPr>
        <w:t>o</w:t>
      </w:r>
      <w:r w:rsidRPr="0046695E">
        <w:rPr>
          <w:rFonts w:ascii="Arial" w:eastAsia="Arial" w:hAnsi="Arial" w:cs="Arial"/>
          <w:sz w:val="22"/>
          <w:szCs w:val="22"/>
        </w:rPr>
        <w:t>s</w:t>
      </w:r>
      <w:r w:rsidRPr="00BD17CA">
        <w:rPr>
          <w:rFonts w:ascii="Arial" w:eastAsia="Arial" w:hAnsi="Arial" w:cs="Arial"/>
          <w:sz w:val="22"/>
          <w:szCs w:val="22"/>
        </w:rPr>
        <w:t>e</w:t>
      </w:r>
      <w:r w:rsidRPr="0046695E">
        <w:rPr>
          <w:rFonts w:ascii="Arial" w:eastAsia="Arial" w:hAnsi="Arial" w:cs="Arial"/>
          <w:sz w:val="22"/>
          <w:szCs w:val="22"/>
        </w:rPr>
        <w:t xml:space="preserve"> t</w:t>
      </w:r>
      <w:r w:rsidRPr="00BD17CA">
        <w:rPr>
          <w:rFonts w:ascii="Arial" w:eastAsia="Arial" w:hAnsi="Arial" w:cs="Arial"/>
          <w:sz w:val="22"/>
          <w:szCs w:val="22"/>
        </w:rPr>
        <w:t>h</w:t>
      </w:r>
      <w:r w:rsidRPr="0046695E">
        <w:rPr>
          <w:rFonts w:ascii="Arial" w:eastAsia="Arial" w:hAnsi="Arial" w:cs="Arial"/>
          <w:sz w:val="22"/>
          <w:szCs w:val="22"/>
        </w:rPr>
        <w:t>i</w:t>
      </w:r>
      <w:r w:rsidRPr="00BD17CA">
        <w:rPr>
          <w:rFonts w:ascii="Arial" w:eastAsia="Arial" w:hAnsi="Arial" w:cs="Arial"/>
          <w:sz w:val="22"/>
          <w:szCs w:val="22"/>
        </w:rPr>
        <w:t>s</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f</w:t>
      </w:r>
      <w:r w:rsidRPr="00BD17CA">
        <w:rPr>
          <w:rFonts w:ascii="Arial" w:eastAsia="Arial" w:hAnsi="Arial" w:cs="Arial"/>
          <w:sz w:val="22"/>
          <w:szCs w:val="22"/>
        </w:rPr>
        <w:t>o</w:t>
      </w:r>
      <w:r w:rsidRPr="0046695E">
        <w:rPr>
          <w:rFonts w:ascii="Arial" w:eastAsia="Arial" w:hAnsi="Arial" w:cs="Arial"/>
          <w:sz w:val="22"/>
          <w:szCs w:val="22"/>
        </w:rPr>
        <w:t>rm</w:t>
      </w:r>
      <w:r w:rsidRPr="00BD17CA">
        <w:rPr>
          <w:rFonts w:ascii="Arial" w:eastAsia="Arial" w:hAnsi="Arial" w:cs="Arial"/>
          <w:sz w:val="22"/>
          <w:szCs w:val="22"/>
        </w:rPr>
        <w:t>at</w:t>
      </w:r>
      <w:r w:rsidRPr="0046695E">
        <w:rPr>
          <w:rFonts w:ascii="Arial" w:eastAsia="Arial" w:hAnsi="Arial" w:cs="Arial"/>
          <w:sz w:val="22"/>
          <w:szCs w:val="22"/>
        </w:rPr>
        <w:t>i</w:t>
      </w:r>
      <w:r w:rsidRPr="00BD17CA">
        <w:rPr>
          <w:rFonts w:ascii="Arial" w:eastAsia="Arial" w:hAnsi="Arial" w:cs="Arial"/>
          <w:sz w:val="22"/>
          <w:szCs w:val="22"/>
        </w:rPr>
        <w:t>on</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094814">
        <w:rPr>
          <w:rFonts w:ascii="Arial" w:eastAsia="Arial" w:hAnsi="Arial" w:cs="Arial"/>
          <w:sz w:val="22"/>
          <w:szCs w:val="22"/>
        </w:rPr>
        <w:t xml:space="preserve">Note </w:t>
      </w:r>
      <w:r w:rsidR="00247116" w:rsidRPr="00094814">
        <w:rPr>
          <w:rFonts w:ascii="Arial" w:eastAsia="Arial" w:hAnsi="Arial" w:cs="Arial"/>
          <w:sz w:val="22"/>
          <w:szCs w:val="22"/>
        </w:rPr>
        <w:t>1</w:t>
      </w:r>
      <w:r w:rsidR="00247116">
        <w:rPr>
          <w:rFonts w:ascii="Arial" w:eastAsia="Arial" w:hAnsi="Arial" w:cs="Arial"/>
          <w:sz w:val="22"/>
          <w:szCs w:val="22"/>
        </w:rPr>
        <w:t>7</w:t>
      </w:r>
      <w:r w:rsidRPr="00BD17CA">
        <w:rPr>
          <w:rFonts w:ascii="Arial" w:eastAsia="Arial" w:hAnsi="Arial" w:cs="Arial"/>
          <w:sz w:val="22"/>
          <w:szCs w:val="22"/>
        </w:rPr>
        <w:t>.</w:t>
      </w:r>
      <w:r w:rsidRPr="0046695E">
        <w:rPr>
          <w:rFonts w:ascii="Arial" w:eastAsia="Arial" w:hAnsi="Arial" w:cs="Arial"/>
          <w:sz w:val="22"/>
          <w:szCs w:val="22"/>
        </w:rPr>
        <w:t xml:space="preserve"> T</w:t>
      </w:r>
      <w:r w:rsidRPr="00BD17CA">
        <w:rPr>
          <w:rFonts w:ascii="Arial" w:eastAsia="Arial" w:hAnsi="Arial" w:cs="Arial"/>
          <w:sz w:val="22"/>
          <w:szCs w:val="22"/>
        </w:rPr>
        <w:t>he 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on</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nts</w:t>
      </w:r>
      <w:r w:rsidRPr="0046695E">
        <w:rPr>
          <w:rFonts w:ascii="Arial" w:eastAsia="Arial" w:hAnsi="Arial" w:cs="Arial"/>
          <w:sz w:val="22"/>
          <w:szCs w:val="22"/>
        </w:rPr>
        <w:t xml:space="preserve"> </w:t>
      </w:r>
      <w:r w:rsidRPr="00BD17CA">
        <w:rPr>
          <w:rFonts w:ascii="Arial" w:eastAsia="Arial" w:hAnsi="Arial" w:cs="Arial"/>
          <w:sz w:val="22"/>
          <w:szCs w:val="22"/>
        </w:rPr>
        <w:t>h</w:t>
      </w:r>
      <w:r w:rsidRPr="0046695E">
        <w:rPr>
          <w:rFonts w:ascii="Arial" w:eastAsia="Arial" w:hAnsi="Arial" w:cs="Arial"/>
          <w:sz w:val="22"/>
          <w:szCs w:val="22"/>
        </w:rPr>
        <w:t>av</w:t>
      </w:r>
      <w:r w:rsidRPr="00BD17CA">
        <w:rPr>
          <w:rFonts w:ascii="Arial" w:eastAsia="Arial" w:hAnsi="Arial" w:cs="Arial"/>
          <w:sz w:val="22"/>
          <w:szCs w:val="22"/>
        </w:rPr>
        <w:t>e</w:t>
      </w:r>
      <w:r w:rsidRPr="0046695E">
        <w:rPr>
          <w:rFonts w:ascii="Arial" w:eastAsia="Arial" w:hAnsi="Arial" w:cs="Arial"/>
          <w:sz w:val="22"/>
          <w:szCs w:val="22"/>
        </w:rPr>
        <w:t xml:space="preserve"> be</w:t>
      </w:r>
      <w:r w:rsidRPr="00BD17CA">
        <w:rPr>
          <w:rFonts w:ascii="Arial" w:eastAsia="Arial" w:hAnsi="Arial" w:cs="Arial"/>
          <w:sz w:val="22"/>
          <w:szCs w:val="22"/>
        </w:rPr>
        <w:t>en</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p</w:t>
      </w:r>
      <w:r w:rsidRPr="00BD17CA">
        <w:rPr>
          <w:rFonts w:ascii="Arial" w:eastAsia="Arial" w:hAnsi="Arial" w:cs="Arial"/>
          <w:sz w:val="22"/>
          <w:szCs w:val="22"/>
        </w:rPr>
        <w:t>ar</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o</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a g</w:t>
      </w:r>
      <w:r w:rsidRPr="0046695E">
        <w:rPr>
          <w:rFonts w:ascii="Arial" w:eastAsia="Arial" w:hAnsi="Arial" w:cs="Arial"/>
          <w:sz w:val="22"/>
          <w:szCs w:val="22"/>
        </w:rPr>
        <w:t>oin</w:t>
      </w:r>
      <w:r w:rsidRPr="00BD17CA">
        <w:rPr>
          <w:rFonts w:ascii="Arial" w:eastAsia="Arial" w:hAnsi="Arial" w:cs="Arial"/>
          <w:sz w:val="22"/>
          <w:szCs w:val="22"/>
        </w:rPr>
        <w:t>g</w:t>
      </w:r>
      <w:r w:rsidRPr="0046695E">
        <w:rPr>
          <w:rFonts w:ascii="Arial" w:eastAsia="Arial" w:hAnsi="Arial" w:cs="Arial"/>
          <w:sz w:val="22"/>
          <w:szCs w:val="22"/>
        </w:rPr>
        <w:t xml:space="preserve"> </w:t>
      </w:r>
      <w:r w:rsidRPr="00BD17CA">
        <w:rPr>
          <w:rFonts w:ascii="Arial" w:eastAsia="Arial" w:hAnsi="Arial" w:cs="Arial"/>
          <w:sz w:val="22"/>
          <w:szCs w:val="22"/>
        </w:rPr>
        <w:t>co</w:t>
      </w:r>
      <w:r w:rsidRPr="0046695E">
        <w:rPr>
          <w:rFonts w:ascii="Arial" w:eastAsia="Arial" w:hAnsi="Arial" w:cs="Arial"/>
          <w:sz w:val="22"/>
          <w:szCs w:val="22"/>
        </w:rPr>
        <w:t>nc</w:t>
      </w:r>
      <w:r w:rsidRPr="00BD17CA">
        <w:rPr>
          <w:rFonts w:ascii="Arial" w:eastAsia="Arial" w:hAnsi="Arial" w:cs="Arial"/>
          <w:sz w:val="22"/>
          <w:szCs w:val="22"/>
        </w:rPr>
        <w:t>ern</w:t>
      </w:r>
      <w:r w:rsidRPr="0046695E">
        <w:rPr>
          <w:rFonts w:ascii="Arial" w:eastAsia="Arial" w:hAnsi="Arial" w:cs="Arial"/>
          <w:sz w:val="22"/>
          <w:szCs w:val="22"/>
        </w:rPr>
        <w:t xml:space="preserve"> b</w:t>
      </w:r>
      <w:r w:rsidRPr="00BD17CA">
        <w:rPr>
          <w:rFonts w:ascii="Arial" w:eastAsia="Arial" w:hAnsi="Arial" w:cs="Arial"/>
          <w:sz w:val="22"/>
          <w:szCs w:val="22"/>
        </w:rPr>
        <w:t>a</w:t>
      </w:r>
      <w:r w:rsidRPr="0046695E">
        <w:rPr>
          <w:rFonts w:ascii="Arial" w:eastAsia="Arial" w:hAnsi="Arial" w:cs="Arial"/>
          <w:sz w:val="22"/>
          <w:szCs w:val="22"/>
        </w:rPr>
        <w:t>sis</w:t>
      </w:r>
      <w:r w:rsidRPr="00BD17CA">
        <w:rPr>
          <w:rFonts w:ascii="Arial" w:eastAsia="Arial" w:hAnsi="Arial" w:cs="Arial"/>
          <w:sz w:val="22"/>
          <w:szCs w:val="22"/>
        </w:rPr>
        <w:t>.</w:t>
      </w:r>
    </w:p>
    <w:p w14:paraId="165D75C8" w14:textId="77777777" w:rsid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N</w:t>
      </w:r>
      <w:r w:rsidRPr="0046695E">
        <w:rPr>
          <w:rFonts w:ascii="Arial" w:eastAsia="Arial" w:hAnsi="Arial" w:cs="Arial"/>
          <w:b/>
          <w:sz w:val="22"/>
          <w:szCs w:val="22"/>
        </w:rPr>
        <w:t>OT</w:t>
      </w:r>
      <w:r w:rsidRPr="00BD17CA">
        <w:rPr>
          <w:rFonts w:ascii="Arial" w:eastAsia="Arial" w:hAnsi="Arial" w:cs="Arial"/>
          <w:b/>
          <w:sz w:val="22"/>
          <w:szCs w:val="22"/>
        </w:rPr>
        <w:t>E</w:t>
      </w:r>
      <w:r w:rsidRPr="0046695E">
        <w:rPr>
          <w:rFonts w:ascii="Arial" w:eastAsia="Arial" w:hAnsi="Arial" w:cs="Arial"/>
          <w:b/>
          <w:sz w:val="22"/>
          <w:szCs w:val="22"/>
        </w:rPr>
        <w:t xml:space="preserve"> </w:t>
      </w:r>
      <w:r w:rsidRPr="00BD17CA">
        <w:rPr>
          <w:rFonts w:ascii="Arial" w:eastAsia="Arial" w:hAnsi="Arial" w:cs="Arial"/>
          <w:b/>
          <w:sz w:val="22"/>
          <w:szCs w:val="22"/>
        </w:rPr>
        <w:t>3:</w:t>
      </w:r>
      <w:r w:rsidRPr="0046695E">
        <w:rPr>
          <w:rFonts w:ascii="Arial" w:eastAsia="Arial" w:hAnsi="Arial" w:cs="Arial"/>
          <w:b/>
          <w:sz w:val="22"/>
          <w:szCs w:val="22"/>
        </w:rPr>
        <w:t xml:space="preserve"> S</w:t>
      </w:r>
      <w:r w:rsidRPr="00BD17CA">
        <w:rPr>
          <w:rFonts w:ascii="Arial" w:eastAsia="Arial" w:hAnsi="Arial" w:cs="Arial"/>
          <w:b/>
          <w:sz w:val="22"/>
          <w:szCs w:val="22"/>
        </w:rPr>
        <w:t>U</w:t>
      </w:r>
      <w:r w:rsidRPr="0046695E">
        <w:rPr>
          <w:rFonts w:ascii="Arial" w:eastAsia="Arial" w:hAnsi="Arial" w:cs="Arial"/>
          <w:b/>
          <w:sz w:val="22"/>
          <w:szCs w:val="22"/>
        </w:rPr>
        <w:t>MMA</w:t>
      </w:r>
      <w:r w:rsidRPr="00BD17CA">
        <w:rPr>
          <w:rFonts w:ascii="Arial" w:eastAsia="Arial" w:hAnsi="Arial" w:cs="Arial"/>
          <w:b/>
          <w:sz w:val="22"/>
          <w:szCs w:val="22"/>
        </w:rPr>
        <w:t>RY</w:t>
      </w:r>
      <w:r w:rsidRPr="0046695E">
        <w:rPr>
          <w:rFonts w:ascii="Arial" w:eastAsia="Arial" w:hAnsi="Arial" w:cs="Arial"/>
          <w:b/>
          <w:sz w:val="22"/>
          <w:szCs w:val="22"/>
        </w:rPr>
        <w:t xml:space="preserve"> O</w:t>
      </w:r>
      <w:r w:rsidRPr="00BD17CA">
        <w:rPr>
          <w:rFonts w:ascii="Arial" w:eastAsia="Arial" w:hAnsi="Arial" w:cs="Arial"/>
          <w:b/>
          <w:sz w:val="22"/>
          <w:szCs w:val="22"/>
        </w:rPr>
        <w:t>F</w:t>
      </w:r>
      <w:r w:rsidRPr="0046695E">
        <w:rPr>
          <w:rFonts w:ascii="Arial" w:eastAsia="Arial" w:hAnsi="Arial" w:cs="Arial"/>
          <w:b/>
          <w:sz w:val="22"/>
          <w:szCs w:val="22"/>
        </w:rPr>
        <w:t xml:space="preserve"> SIG</w:t>
      </w:r>
      <w:r w:rsidRPr="00BD17CA">
        <w:rPr>
          <w:rFonts w:ascii="Arial" w:eastAsia="Arial" w:hAnsi="Arial" w:cs="Arial"/>
          <w:b/>
          <w:sz w:val="22"/>
          <w:szCs w:val="22"/>
        </w:rPr>
        <w:t>NIFI</w:t>
      </w:r>
      <w:r w:rsidRPr="0046695E">
        <w:rPr>
          <w:rFonts w:ascii="Arial" w:eastAsia="Arial" w:hAnsi="Arial" w:cs="Arial"/>
          <w:b/>
          <w:sz w:val="22"/>
          <w:szCs w:val="22"/>
        </w:rPr>
        <w:t>CA</w:t>
      </w:r>
      <w:r w:rsidRPr="00BD17CA">
        <w:rPr>
          <w:rFonts w:ascii="Arial" w:eastAsia="Arial" w:hAnsi="Arial" w:cs="Arial"/>
          <w:b/>
          <w:sz w:val="22"/>
          <w:szCs w:val="22"/>
        </w:rPr>
        <w:t>NT</w:t>
      </w:r>
      <w:r w:rsidRPr="0046695E">
        <w:rPr>
          <w:rFonts w:ascii="Arial" w:eastAsia="Arial" w:hAnsi="Arial" w:cs="Arial"/>
          <w:b/>
          <w:sz w:val="22"/>
          <w:szCs w:val="22"/>
        </w:rPr>
        <w:t xml:space="preserve"> A</w:t>
      </w:r>
      <w:r w:rsidRPr="00BD17CA">
        <w:rPr>
          <w:rFonts w:ascii="Arial" w:eastAsia="Arial" w:hAnsi="Arial" w:cs="Arial"/>
          <w:b/>
          <w:sz w:val="22"/>
          <w:szCs w:val="22"/>
        </w:rPr>
        <w:t>CC</w:t>
      </w:r>
      <w:r w:rsidRPr="0046695E">
        <w:rPr>
          <w:rFonts w:ascii="Arial" w:eastAsia="Arial" w:hAnsi="Arial" w:cs="Arial"/>
          <w:b/>
          <w:sz w:val="22"/>
          <w:szCs w:val="22"/>
        </w:rPr>
        <w:t>OU</w:t>
      </w:r>
      <w:r w:rsidRPr="00BD17CA">
        <w:rPr>
          <w:rFonts w:ascii="Arial" w:eastAsia="Arial" w:hAnsi="Arial" w:cs="Arial"/>
          <w:b/>
          <w:sz w:val="22"/>
          <w:szCs w:val="22"/>
        </w:rPr>
        <w:t>N</w:t>
      </w:r>
      <w:r w:rsidRPr="0046695E">
        <w:rPr>
          <w:rFonts w:ascii="Arial" w:eastAsia="Arial" w:hAnsi="Arial" w:cs="Arial"/>
          <w:b/>
          <w:sz w:val="22"/>
          <w:szCs w:val="22"/>
        </w:rPr>
        <w:t>T</w:t>
      </w:r>
      <w:r w:rsidRPr="00BD17CA">
        <w:rPr>
          <w:rFonts w:ascii="Arial" w:eastAsia="Arial" w:hAnsi="Arial" w:cs="Arial"/>
          <w:b/>
          <w:sz w:val="22"/>
          <w:szCs w:val="22"/>
        </w:rPr>
        <w:t>ING</w:t>
      </w:r>
      <w:r w:rsidRPr="0046695E">
        <w:rPr>
          <w:rFonts w:ascii="Arial" w:eastAsia="Arial" w:hAnsi="Arial" w:cs="Arial"/>
          <w:b/>
          <w:sz w:val="22"/>
          <w:szCs w:val="22"/>
        </w:rPr>
        <w:t xml:space="preserve"> PO</w:t>
      </w:r>
      <w:r w:rsidRPr="00BD17CA">
        <w:rPr>
          <w:rFonts w:ascii="Arial" w:eastAsia="Arial" w:hAnsi="Arial" w:cs="Arial"/>
          <w:b/>
          <w:sz w:val="22"/>
          <w:szCs w:val="22"/>
        </w:rPr>
        <w:t>LICI</w:t>
      </w:r>
      <w:r w:rsidRPr="0046695E">
        <w:rPr>
          <w:rFonts w:ascii="Arial" w:eastAsia="Arial" w:hAnsi="Arial" w:cs="Arial"/>
          <w:b/>
          <w:sz w:val="22"/>
          <w:szCs w:val="22"/>
        </w:rPr>
        <w:t>E</w:t>
      </w:r>
      <w:r w:rsidRPr="00BD17CA">
        <w:rPr>
          <w:rFonts w:ascii="Arial" w:eastAsia="Arial" w:hAnsi="Arial" w:cs="Arial"/>
          <w:b/>
          <w:sz w:val="22"/>
          <w:szCs w:val="22"/>
        </w:rPr>
        <w:t>S</w:t>
      </w:r>
    </w:p>
    <w:p w14:paraId="3F92F19A" w14:textId="35158A0A" w:rsidR="009C7422" w:rsidRP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Fund</w:t>
      </w:r>
      <w:r w:rsidRPr="0046695E">
        <w:rPr>
          <w:rFonts w:ascii="Arial" w:eastAsia="Arial" w:hAnsi="Arial" w:cs="Arial"/>
          <w:b/>
          <w:sz w:val="22"/>
          <w:szCs w:val="22"/>
        </w:rPr>
        <w:t xml:space="preserve"> Ac</w:t>
      </w:r>
      <w:r w:rsidRPr="00BD17CA">
        <w:rPr>
          <w:rFonts w:ascii="Arial" w:eastAsia="Arial" w:hAnsi="Arial" w:cs="Arial"/>
          <w:b/>
          <w:sz w:val="22"/>
          <w:szCs w:val="22"/>
        </w:rPr>
        <w:t>co</w:t>
      </w:r>
      <w:r w:rsidRPr="0046695E">
        <w:rPr>
          <w:rFonts w:ascii="Arial" w:eastAsia="Arial" w:hAnsi="Arial" w:cs="Arial"/>
          <w:b/>
          <w:sz w:val="22"/>
          <w:szCs w:val="22"/>
        </w:rPr>
        <w:t>u</w:t>
      </w:r>
      <w:r w:rsidRPr="00BD17CA">
        <w:rPr>
          <w:rFonts w:ascii="Arial" w:eastAsia="Arial" w:hAnsi="Arial" w:cs="Arial"/>
          <w:b/>
          <w:sz w:val="22"/>
          <w:szCs w:val="22"/>
        </w:rPr>
        <w:t>nt</w:t>
      </w:r>
      <w:r w:rsidRPr="0046695E">
        <w:rPr>
          <w:rFonts w:ascii="Arial" w:eastAsia="Arial" w:hAnsi="Arial" w:cs="Arial"/>
          <w:b/>
          <w:sz w:val="22"/>
          <w:szCs w:val="22"/>
        </w:rPr>
        <w:t xml:space="preserve"> </w:t>
      </w:r>
      <w:r w:rsidRPr="00BD17CA">
        <w:rPr>
          <w:rFonts w:ascii="Arial" w:eastAsia="Arial" w:hAnsi="Arial" w:cs="Arial"/>
          <w:b/>
          <w:sz w:val="22"/>
          <w:szCs w:val="22"/>
        </w:rPr>
        <w:t xml:space="preserve">- </w:t>
      </w:r>
      <w:r w:rsidRPr="0046695E">
        <w:rPr>
          <w:rFonts w:ascii="Arial" w:eastAsia="Arial" w:hAnsi="Arial" w:cs="Arial"/>
          <w:b/>
          <w:sz w:val="22"/>
          <w:szCs w:val="22"/>
        </w:rPr>
        <w:t>r</w:t>
      </w:r>
      <w:r w:rsidRPr="00BD17CA">
        <w:rPr>
          <w:rFonts w:ascii="Arial" w:eastAsia="Arial" w:hAnsi="Arial" w:cs="Arial"/>
          <w:b/>
          <w:sz w:val="22"/>
          <w:szCs w:val="22"/>
        </w:rPr>
        <w:t>e</w:t>
      </w:r>
      <w:r w:rsidRPr="0046695E">
        <w:rPr>
          <w:rFonts w:ascii="Arial" w:eastAsia="Arial" w:hAnsi="Arial" w:cs="Arial"/>
          <w:b/>
          <w:sz w:val="22"/>
          <w:szCs w:val="22"/>
        </w:rPr>
        <w:t>v</w:t>
      </w:r>
      <w:r w:rsidRPr="00BD17CA">
        <w:rPr>
          <w:rFonts w:ascii="Arial" w:eastAsia="Arial" w:hAnsi="Arial" w:cs="Arial"/>
          <w:b/>
          <w:sz w:val="22"/>
          <w:szCs w:val="22"/>
        </w:rPr>
        <w:t>en</w:t>
      </w:r>
      <w:r w:rsidRPr="0046695E">
        <w:rPr>
          <w:rFonts w:ascii="Arial" w:eastAsia="Arial" w:hAnsi="Arial" w:cs="Arial"/>
          <w:b/>
          <w:sz w:val="22"/>
          <w:szCs w:val="22"/>
        </w:rPr>
        <w:t>u</w:t>
      </w:r>
      <w:r w:rsidRPr="00BD17CA">
        <w:rPr>
          <w:rFonts w:ascii="Arial" w:eastAsia="Arial" w:hAnsi="Arial" w:cs="Arial"/>
          <w:b/>
          <w:sz w:val="22"/>
          <w:szCs w:val="22"/>
        </w:rPr>
        <w:t>e</w:t>
      </w:r>
      <w:r w:rsidRPr="0046695E">
        <w:rPr>
          <w:rFonts w:ascii="Arial" w:eastAsia="Arial" w:hAnsi="Arial" w:cs="Arial"/>
          <w:b/>
          <w:sz w:val="22"/>
          <w:szCs w:val="22"/>
        </w:rPr>
        <w:t xml:space="preserve"> r</w:t>
      </w:r>
      <w:r w:rsidRPr="00BD17CA">
        <w:rPr>
          <w:rFonts w:ascii="Arial" w:eastAsia="Arial" w:hAnsi="Arial" w:cs="Arial"/>
          <w:b/>
          <w:sz w:val="22"/>
          <w:szCs w:val="22"/>
        </w:rPr>
        <w:t>e</w:t>
      </w:r>
      <w:r w:rsidRPr="0046695E">
        <w:rPr>
          <w:rFonts w:ascii="Arial" w:eastAsia="Arial" w:hAnsi="Arial" w:cs="Arial"/>
          <w:b/>
          <w:sz w:val="22"/>
          <w:szCs w:val="22"/>
        </w:rPr>
        <w:t>c</w:t>
      </w:r>
      <w:r w:rsidRPr="00BD17CA">
        <w:rPr>
          <w:rFonts w:ascii="Arial" w:eastAsia="Arial" w:hAnsi="Arial" w:cs="Arial"/>
          <w:b/>
          <w:sz w:val="22"/>
          <w:szCs w:val="22"/>
        </w:rPr>
        <w:t>ognition</w:t>
      </w:r>
    </w:p>
    <w:p w14:paraId="034B850E" w14:textId="77777777" w:rsidR="009C7422" w:rsidRP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a)</w:t>
      </w:r>
      <w:r w:rsidRPr="0046695E">
        <w:rPr>
          <w:rFonts w:ascii="Arial" w:eastAsia="Arial" w:hAnsi="Arial" w:cs="Arial"/>
          <w:b/>
          <w:sz w:val="22"/>
          <w:szCs w:val="22"/>
        </w:rPr>
        <w:t xml:space="preserve"> </w:t>
      </w:r>
      <w:r w:rsidRPr="00BD17CA">
        <w:rPr>
          <w:rFonts w:ascii="Arial" w:eastAsia="Arial" w:hAnsi="Arial" w:cs="Arial"/>
          <w:b/>
          <w:sz w:val="22"/>
          <w:szCs w:val="22"/>
        </w:rPr>
        <w:t>C</w:t>
      </w:r>
      <w:r w:rsidRPr="0046695E">
        <w:rPr>
          <w:rFonts w:ascii="Arial" w:eastAsia="Arial" w:hAnsi="Arial" w:cs="Arial"/>
          <w:b/>
          <w:sz w:val="22"/>
          <w:szCs w:val="22"/>
        </w:rPr>
        <w:t>o</w:t>
      </w:r>
      <w:r w:rsidRPr="00BD17CA">
        <w:rPr>
          <w:rFonts w:ascii="Arial" w:eastAsia="Arial" w:hAnsi="Arial" w:cs="Arial"/>
          <w:b/>
          <w:sz w:val="22"/>
          <w:szCs w:val="22"/>
        </w:rPr>
        <w:t>n</w:t>
      </w:r>
      <w:r w:rsidRPr="0046695E">
        <w:rPr>
          <w:rFonts w:ascii="Arial" w:eastAsia="Arial" w:hAnsi="Arial" w:cs="Arial"/>
          <w:b/>
          <w:sz w:val="22"/>
          <w:szCs w:val="22"/>
        </w:rPr>
        <w:t>tr</w:t>
      </w:r>
      <w:r w:rsidRPr="00BD17CA">
        <w:rPr>
          <w:rFonts w:ascii="Arial" w:eastAsia="Arial" w:hAnsi="Arial" w:cs="Arial"/>
          <w:b/>
          <w:sz w:val="22"/>
          <w:szCs w:val="22"/>
        </w:rPr>
        <w:t>ib</w:t>
      </w:r>
      <w:r w:rsidRPr="0046695E">
        <w:rPr>
          <w:rFonts w:ascii="Arial" w:eastAsia="Arial" w:hAnsi="Arial" w:cs="Arial"/>
          <w:b/>
          <w:sz w:val="22"/>
          <w:szCs w:val="22"/>
        </w:rPr>
        <w:t>ut</w:t>
      </w:r>
      <w:r w:rsidRPr="00BD17CA">
        <w:rPr>
          <w:rFonts w:ascii="Arial" w:eastAsia="Arial" w:hAnsi="Arial" w:cs="Arial"/>
          <w:b/>
          <w:sz w:val="22"/>
          <w:szCs w:val="22"/>
        </w:rPr>
        <w:t>ion</w:t>
      </w:r>
      <w:r w:rsidRPr="0046695E">
        <w:rPr>
          <w:rFonts w:ascii="Arial" w:eastAsia="Arial" w:hAnsi="Arial" w:cs="Arial"/>
          <w:b/>
          <w:sz w:val="22"/>
          <w:szCs w:val="22"/>
        </w:rPr>
        <w:t xml:space="preserve"> </w:t>
      </w:r>
      <w:r w:rsidRPr="00BD17CA">
        <w:rPr>
          <w:rFonts w:ascii="Arial" w:eastAsia="Arial" w:hAnsi="Arial" w:cs="Arial"/>
          <w:b/>
          <w:sz w:val="22"/>
          <w:szCs w:val="22"/>
        </w:rPr>
        <w:t>income</w:t>
      </w:r>
    </w:p>
    <w:p w14:paraId="033C10FA" w14:textId="77777777" w:rsidR="009C7422" w:rsidRPr="00BD17CA" w:rsidRDefault="001706EB" w:rsidP="0046695E">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Nor</w:t>
      </w:r>
      <w:r w:rsidRPr="0046695E">
        <w:rPr>
          <w:rFonts w:ascii="Arial" w:eastAsia="Arial" w:hAnsi="Arial" w:cs="Arial"/>
          <w:sz w:val="22"/>
          <w:szCs w:val="22"/>
        </w:rPr>
        <w:t>m</w:t>
      </w:r>
      <w:r w:rsidRPr="00BD17CA">
        <w:rPr>
          <w:rFonts w:ascii="Arial" w:eastAsia="Arial" w:hAnsi="Arial" w:cs="Arial"/>
          <w:sz w:val="22"/>
          <w:szCs w:val="22"/>
        </w:rPr>
        <w:t>al</w:t>
      </w:r>
      <w:r w:rsidRPr="0046695E">
        <w:rPr>
          <w:rFonts w:ascii="Arial" w:eastAsia="Arial" w:hAnsi="Arial" w:cs="Arial"/>
          <w:sz w:val="22"/>
          <w:szCs w:val="22"/>
        </w:rPr>
        <w:t xml:space="preserve"> c</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tr</w:t>
      </w:r>
      <w:r w:rsidRPr="0046695E">
        <w:rPr>
          <w:rFonts w:ascii="Arial" w:eastAsia="Arial" w:hAnsi="Arial" w:cs="Arial"/>
          <w:sz w:val="22"/>
          <w:szCs w:val="22"/>
        </w:rPr>
        <w:t>i</w:t>
      </w:r>
      <w:r w:rsidRPr="00BD17CA">
        <w:rPr>
          <w:rFonts w:ascii="Arial" w:eastAsia="Arial" w:hAnsi="Arial" w:cs="Arial"/>
          <w:sz w:val="22"/>
          <w:szCs w:val="22"/>
        </w:rPr>
        <w:t>b</w:t>
      </w:r>
      <w:r w:rsidRPr="0046695E">
        <w:rPr>
          <w:rFonts w:ascii="Arial" w:eastAsia="Arial" w:hAnsi="Arial" w:cs="Arial"/>
          <w:sz w:val="22"/>
          <w:szCs w:val="22"/>
        </w:rPr>
        <w:t>utio</w:t>
      </w:r>
      <w:r w:rsidRPr="00BD17CA">
        <w:rPr>
          <w:rFonts w:ascii="Arial" w:eastAsia="Arial" w:hAnsi="Arial" w:cs="Arial"/>
          <w:sz w:val="22"/>
          <w:szCs w:val="22"/>
        </w:rPr>
        <w:t>ns</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cco</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f</w:t>
      </w:r>
      <w:r w:rsidRPr="00BD17CA">
        <w:rPr>
          <w:rFonts w:ascii="Arial" w:eastAsia="Arial" w:hAnsi="Arial" w:cs="Arial"/>
          <w:sz w:val="22"/>
          <w:szCs w:val="22"/>
        </w:rPr>
        <w:t>or</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a</w:t>
      </w:r>
      <w:r w:rsidRPr="00BD17CA">
        <w:rPr>
          <w:rFonts w:ascii="Arial" w:eastAsia="Arial" w:hAnsi="Arial" w:cs="Arial"/>
          <w:sz w:val="22"/>
          <w:szCs w:val="22"/>
        </w:rPr>
        <w:t>n</w:t>
      </w:r>
      <w:r w:rsidRPr="0046695E">
        <w:rPr>
          <w:rFonts w:ascii="Arial" w:eastAsia="Arial" w:hAnsi="Arial" w:cs="Arial"/>
          <w:sz w:val="22"/>
          <w:szCs w:val="22"/>
        </w:rPr>
        <w:t xml:space="preserve"> accr</w:t>
      </w:r>
      <w:r w:rsidRPr="00BD17CA">
        <w:rPr>
          <w:rFonts w:ascii="Arial" w:eastAsia="Arial" w:hAnsi="Arial" w:cs="Arial"/>
          <w:sz w:val="22"/>
          <w:szCs w:val="22"/>
        </w:rPr>
        <w:t>u</w:t>
      </w:r>
      <w:r w:rsidRPr="0046695E">
        <w:rPr>
          <w:rFonts w:ascii="Arial" w:eastAsia="Arial" w:hAnsi="Arial" w:cs="Arial"/>
          <w:sz w:val="22"/>
          <w:szCs w:val="22"/>
        </w:rPr>
        <w:t>a</w:t>
      </w:r>
      <w:r w:rsidRPr="00BD17CA">
        <w:rPr>
          <w:rFonts w:ascii="Arial" w:eastAsia="Arial" w:hAnsi="Arial" w:cs="Arial"/>
          <w:sz w:val="22"/>
          <w:szCs w:val="22"/>
        </w:rPr>
        <w:t>l</w:t>
      </w:r>
      <w:r w:rsidRPr="0046695E">
        <w:rPr>
          <w:rFonts w:ascii="Arial" w:eastAsia="Arial" w:hAnsi="Arial" w:cs="Arial"/>
          <w:sz w:val="22"/>
          <w:szCs w:val="22"/>
        </w:rPr>
        <w:t xml:space="preserve"> b</w:t>
      </w:r>
      <w:r w:rsidRPr="00BD17CA">
        <w:rPr>
          <w:rFonts w:ascii="Arial" w:eastAsia="Arial" w:hAnsi="Arial" w:cs="Arial"/>
          <w:sz w:val="22"/>
          <w:szCs w:val="22"/>
        </w:rPr>
        <w:t>a</w:t>
      </w:r>
      <w:r w:rsidRPr="0046695E">
        <w:rPr>
          <w:rFonts w:ascii="Arial" w:eastAsia="Arial" w:hAnsi="Arial" w:cs="Arial"/>
          <w:sz w:val="22"/>
          <w:szCs w:val="22"/>
        </w:rPr>
        <w:t>si</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 xml:space="preserve"> f</w:t>
      </w:r>
      <w:r w:rsidRPr="00BD17CA">
        <w:rPr>
          <w:rFonts w:ascii="Arial" w:eastAsia="Arial" w:hAnsi="Arial" w:cs="Arial"/>
          <w:sz w:val="22"/>
          <w:szCs w:val="22"/>
        </w:rPr>
        <w:t>o</w:t>
      </w:r>
      <w:r w:rsidRPr="0046695E">
        <w:rPr>
          <w:rFonts w:ascii="Arial" w:eastAsia="Arial" w:hAnsi="Arial" w:cs="Arial"/>
          <w:sz w:val="22"/>
          <w:szCs w:val="22"/>
        </w:rPr>
        <w:t>llows</w:t>
      </w:r>
      <w:r w:rsidRPr="00BD17CA">
        <w:rPr>
          <w:rFonts w:ascii="Arial" w:eastAsia="Arial" w:hAnsi="Arial" w:cs="Arial"/>
          <w:sz w:val="22"/>
          <w:szCs w:val="22"/>
        </w:rPr>
        <w:t>:</w:t>
      </w:r>
    </w:p>
    <w:p w14:paraId="4215AC4E" w14:textId="77777777" w:rsidR="009C7422" w:rsidRPr="006F3D5E" w:rsidRDefault="001706EB" w:rsidP="006F3D5E">
      <w:pPr>
        <w:pStyle w:val="ListParagraph"/>
        <w:numPr>
          <w:ilvl w:val="0"/>
          <w:numId w:val="12"/>
        </w:numPr>
        <w:spacing w:after="200" w:line="276" w:lineRule="auto"/>
        <w:ind w:left="567" w:right="74" w:hanging="567"/>
        <w:jc w:val="both"/>
        <w:rPr>
          <w:rFonts w:ascii="Arial" w:eastAsia="Arial" w:hAnsi="Arial" w:cs="Arial"/>
          <w:sz w:val="22"/>
          <w:szCs w:val="22"/>
        </w:rPr>
      </w:pPr>
      <w:r w:rsidRPr="006F3D5E">
        <w:rPr>
          <w:rFonts w:ascii="Arial" w:eastAsia="Arial" w:hAnsi="Arial" w:cs="Arial"/>
          <w:sz w:val="22"/>
          <w:szCs w:val="22"/>
        </w:rPr>
        <w:t>Employee contribution rates are set in accordance with LGPS regulations, using common percentage rates for all schemes which rise accordingly with pensionable pay.</w:t>
      </w:r>
    </w:p>
    <w:p w14:paraId="4C4C171C" w14:textId="77777777" w:rsidR="009C7422" w:rsidRPr="006F3D5E" w:rsidRDefault="001706EB" w:rsidP="006F3D5E">
      <w:pPr>
        <w:pStyle w:val="ListParagraph"/>
        <w:numPr>
          <w:ilvl w:val="0"/>
          <w:numId w:val="12"/>
        </w:numPr>
        <w:spacing w:after="200" w:line="276" w:lineRule="auto"/>
        <w:ind w:left="567" w:right="74" w:hanging="567"/>
        <w:jc w:val="both"/>
        <w:rPr>
          <w:rFonts w:ascii="Arial" w:eastAsia="Arial" w:hAnsi="Arial" w:cs="Arial"/>
          <w:sz w:val="22"/>
          <w:szCs w:val="22"/>
        </w:rPr>
      </w:pPr>
      <w:r w:rsidRPr="006F3D5E">
        <w:rPr>
          <w:rFonts w:ascii="Arial" w:eastAsia="Arial" w:hAnsi="Arial" w:cs="Arial"/>
          <w:sz w:val="22"/>
          <w:szCs w:val="22"/>
        </w:rPr>
        <w:t>Employer contributions are set at the percentage rate recommended by the fund actuary for the period to which they relate.</w:t>
      </w:r>
    </w:p>
    <w:p w14:paraId="34C2BB25" w14:textId="1EDEE0F5" w:rsidR="009C7422" w:rsidRPr="006F3D5E" w:rsidRDefault="001706EB" w:rsidP="006F3D5E">
      <w:pPr>
        <w:pStyle w:val="ListParagraph"/>
        <w:numPr>
          <w:ilvl w:val="0"/>
          <w:numId w:val="12"/>
        </w:numPr>
        <w:spacing w:after="200" w:line="276" w:lineRule="auto"/>
        <w:ind w:left="567" w:right="74" w:hanging="567"/>
        <w:jc w:val="both"/>
        <w:rPr>
          <w:rFonts w:ascii="Arial" w:eastAsia="Arial" w:hAnsi="Arial" w:cs="Arial"/>
          <w:sz w:val="22"/>
          <w:szCs w:val="22"/>
        </w:rPr>
      </w:pPr>
      <w:r w:rsidRPr="006F3D5E">
        <w:rPr>
          <w:rFonts w:ascii="Arial" w:eastAsia="Arial" w:hAnsi="Arial" w:cs="Arial"/>
          <w:sz w:val="22"/>
          <w:szCs w:val="22"/>
        </w:rPr>
        <w:t xml:space="preserve">Employer deficit funding contributions are accounted for on </w:t>
      </w:r>
      <w:r w:rsidR="00AF1D79" w:rsidRPr="006F3D5E">
        <w:rPr>
          <w:rFonts w:ascii="Arial" w:eastAsia="Arial" w:hAnsi="Arial" w:cs="Arial"/>
          <w:sz w:val="22"/>
          <w:szCs w:val="22"/>
        </w:rPr>
        <w:t xml:space="preserve">the </w:t>
      </w:r>
      <w:r w:rsidRPr="006F3D5E">
        <w:rPr>
          <w:rFonts w:ascii="Arial" w:eastAsia="Arial" w:hAnsi="Arial" w:cs="Arial"/>
          <w:sz w:val="22"/>
          <w:szCs w:val="22"/>
        </w:rPr>
        <w:t>basis advised by the fund actuary in the rates and adjustment certificate issued to the relevant employing body or on receipt if earlier than the due date.</w:t>
      </w:r>
    </w:p>
    <w:p w14:paraId="5E8204D0" w14:textId="55138C0F" w:rsidR="009C7422" w:rsidRDefault="001706EB" w:rsidP="006F3D5E">
      <w:pPr>
        <w:pStyle w:val="ListParagraph"/>
        <w:numPr>
          <w:ilvl w:val="0"/>
          <w:numId w:val="12"/>
        </w:numPr>
        <w:spacing w:after="200" w:line="276" w:lineRule="auto"/>
        <w:ind w:left="567" w:right="74" w:hanging="567"/>
        <w:jc w:val="both"/>
        <w:rPr>
          <w:rFonts w:ascii="Arial" w:eastAsia="Arial" w:hAnsi="Arial" w:cs="Arial"/>
          <w:sz w:val="22"/>
          <w:szCs w:val="22"/>
        </w:rPr>
      </w:pPr>
      <w:r w:rsidRPr="006F3D5E">
        <w:rPr>
          <w:rFonts w:ascii="Arial" w:eastAsia="Arial" w:hAnsi="Arial" w:cs="Arial"/>
          <w:sz w:val="22"/>
          <w:szCs w:val="22"/>
        </w:rPr>
        <w:t>Additional employers' contributions in respect of ill-health and early retirements are accounted for in the year the event arose. Any amount due in year but unpaid will be classed as a current financial asset.  Amounts not due until future years are classed as long-term financial assets.</w:t>
      </w:r>
    </w:p>
    <w:p w14:paraId="69F0EF4B" w14:textId="77777777" w:rsidR="00524ED8" w:rsidRPr="00524ED8" w:rsidRDefault="00524ED8" w:rsidP="00524ED8">
      <w:pPr>
        <w:spacing w:after="200" w:line="276" w:lineRule="auto"/>
        <w:ind w:right="74"/>
        <w:jc w:val="both"/>
        <w:rPr>
          <w:rFonts w:ascii="Arial" w:eastAsia="Arial" w:hAnsi="Arial" w:cs="Arial"/>
          <w:sz w:val="22"/>
          <w:szCs w:val="22"/>
        </w:rPr>
      </w:pPr>
    </w:p>
    <w:p w14:paraId="33F78704" w14:textId="77777777" w:rsidR="009C7422" w:rsidRP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lastRenderedPageBreak/>
        <w:t>b)</w:t>
      </w:r>
      <w:r w:rsidRPr="0046695E">
        <w:rPr>
          <w:rFonts w:ascii="Arial" w:eastAsia="Arial" w:hAnsi="Arial" w:cs="Arial"/>
          <w:b/>
          <w:sz w:val="22"/>
          <w:szCs w:val="22"/>
        </w:rPr>
        <w:t xml:space="preserve"> Tr</w:t>
      </w:r>
      <w:r w:rsidRPr="00BD17CA">
        <w:rPr>
          <w:rFonts w:ascii="Arial" w:eastAsia="Arial" w:hAnsi="Arial" w:cs="Arial"/>
          <w:b/>
          <w:sz w:val="22"/>
          <w:szCs w:val="22"/>
        </w:rPr>
        <w:t>ans</w:t>
      </w:r>
      <w:r w:rsidRPr="0046695E">
        <w:rPr>
          <w:rFonts w:ascii="Arial" w:eastAsia="Arial" w:hAnsi="Arial" w:cs="Arial"/>
          <w:b/>
          <w:sz w:val="22"/>
          <w:szCs w:val="22"/>
        </w:rPr>
        <w:t>f</w:t>
      </w:r>
      <w:r w:rsidRPr="00BD17CA">
        <w:rPr>
          <w:rFonts w:ascii="Arial" w:eastAsia="Arial" w:hAnsi="Arial" w:cs="Arial"/>
          <w:b/>
          <w:sz w:val="22"/>
          <w:szCs w:val="22"/>
        </w:rPr>
        <w:t>e</w:t>
      </w:r>
      <w:r w:rsidRPr="0046695E">
        <w:rPr>
          <w:rFonts w:ascii="Arial" w:eastAsia="Arial" w:hAnsi="Arial" w:cs="Arial"/>
          <w:b/>
          <w:sz w:val="22"/>
          <w:szCs w:val="22"/>
        </w:rPr>
        <w:t>r</w:t>
      </w:r>
      <w:r w:rsidRPr="00BD17CA">
        <w:rPr>
          <w:rFonts w:ascii="Arial" w:eastAsia="Arial" w:hAnsi="Arial" w:cs="Arial"/>
          <w:b/>
          <w:sz w:val="22"/>
          <w:szCs w:val="22"/>
        </w:rPr>
        <w:t>s</w:t>
      </w:r>
      <w:r w:rsidRPr="0046695E">
        <w:rPr>
          <w:rFonts w:ascii="Arial" w:eastAsia="Arial" w:hAnsi="Arial" w:cs="Arial"/>
          <w:b/>
          <w:sz w:val="22"/>
          <w:szCs w:val="22"/>
        </w:rPr>
        <w:t xml:space="preserve"> </w:t>
      </w:r>
      <w:r w:rsidRPr="00BD17CA">
        <w:rPr>
          <w:rFonts w:ascii="Arial" w:eastAsia="Arial" w:hAnsi="Arial" w:cs="Arial"/>
          <w:b/>
          <w:sz w:val="22"/>
          <w:szCs w:val="22"/>
        </w:rPr>
        <w:t>to</w:t>
      </w:r>
      <w:r w:rsidRPr="0046695E">
        <w:rPr>
          <w:rFonts w:ascii="Arial" w:eastAsia="Arial" w:hAnsi="Arial" w:cs="Arial"/>
          <w:b/>
          <w:sz w:val="22"/>
          <w:szCs w:val="22"/>
        </w:rPr>
        <w:t xml:space="preserve"> </w:t>
      </w:r>
      <w:r w:rsidRPr="00BD17CA">
        <w:rPr>
          <w:rFonts w:ascii="Arial" w:eastAsia="Arial" w:hAnsi="Arial" w:cs="Arial"/>
          <w:b/>
          <w:sz w:val="22"/>
          <w:szCs w:val="22"/>
        </w:rPr>
        <w:t>and</w:t>
      </w:r>
      <w:r w:rsidRPr="0046695E">
        <w:rPr>
          <w:rFonts w:ascii="Arial" w:eastAsia="Arial" w:hAnsi="Arial" w:cs="Arial"/>
          <w:b/>
          <w:sz w:val="22"/>
          <w:szCs w:val="22"/>
        </w:rPr>
        <w:t xml:space="preserve"> </w:t>
      </w:r>
      <w:r w:rsidRPr="00BD17CA">
        <w:rPr>
          <w:rFonts w:ascii="Arial" w:eastAsia="Arial" w:hAnsi="Arial" w:cs="Arial"/>
          <w:b/>
          <w:sz w:val="22"/>
          <w:szCs w:val="22"/>
        </w:rPr>
        <w:t>f</w:t>
      </w:r>
      <w:r w:rsidRPr="0046695E">
        <w:rPr>
          <w:rFonts w:ascii="Arial" w:eastAsia="Arial" w:hAnsi="Arial" w:cs="Arial"/>
          <w:b/>
          <w:sz w:val="22"/>
          <w:szCs w:val="22"/>
        </w:rPr>
        <w:t>r</w:t>
      </w:r>
      <w:r w:rsidRPr="00BD17CA">
        <w:rPr>
          <w:rFonts w:ascii="Arial" w:eastAsia="Arial" w:hAnsi="Arial" w:cs="Arial"/>
          <w:b/>
          <w:sz w:val="22"/>
          <w:szCs w:val="22"/>
        </w:rPr>
        <w:t>om</w:t>
      </w:r>
      <w:r w:rsidRPr="0046695E">
        <w:rPr>
          <w:rFonts w:ascii="Arial" w:eastAsia="Arial" w:hAnsi="Arial" w:cs="Arial"/>
          <w:b/>
          <w:sz w:val="22"/>
          <w:szCs w:val="22"/>
        </w:rPr>
        <w:t xml:space="preserve"> </w:t>
      </w:r>
      <w:r w:rsidRPr="00BD17CA">
        <w:rPr>
          <w:rFonts w:ascii="Arial" w:eastAsia="Arial" w:hAnsi="Arial" w:cs="Arial"/>
          <w:b/>
          <w:sz w:val="22"/>
          <w:szCs w:val="22"/>
        </w:rPr>
        <w:t>o</w:t>
      </w:r>
      <w:r w:rsidRPr="0046695E">
        <w:rPr>
          <w:rFonts w:ascii="Arial" w:eastAsia="Arial" w:hAnsi="Arial" w:cs="Arial"/>
          <w:b/>
          <w:sz w:val="22"/>
          <w:szCs w:val="22"/>
        </w:rPr>
        <w:t>t</w:t>
      </w:r>
      <w:r w:rsidRPr="00BD17CA">
        <w:rPr>
          <w:rFonts w:ascii="Arial" w:eastAsia="Arial" w:hAnsi="Arial" w:cs="Arial"/>
          <w:b/>
          <w:sz w:val="22"/>
          <w:szCs w:val="22"/>
        </w:rPr>
        <w:t>her</w:t>
      </w:r>
      <w:r w:rsidRPr="0046695E">
        <w:rPr>
          <w:rFonts w:ascii="Arial" w:eastAsia="Arial" w:hAnsi="Arial" w:cs="Arial"/>
          <w:b/>
          <w:sz w:val="22"/>
          <w:szCs w:val="22"/>
        </w:rPr>
        <w:t xml:space="preserve"> </w:t>
      </w:r>
      <w:r w:rsidRPr="00BD17CA">
        <w:rPr>
          <w:rFonts w:ascii="Arial" w:eastAsia="Arial" w:hAnsi="Arial" w:cs="Arial"/>
          <w:b/>
          <w:sz w:val="22"/>
          <w:szCs w:val="22"/>
        </w:rPr>
        <w:t>s</w:t>
      </w:r>
      <w:r w:rsidRPr="0046695E">
        <w:rPr>
          <w:rFonts w:ascii="Arial" w:eastAsia="Arial" w:hAnsi="Arial" w:cs="Arial"/>
          <w:b/>
          <w:sz w:val="22"/>
          <w:szCs w:val="22"/>
        </w:rPr>
        <w:t>c</w:t>
      </w:r>
      <w:r w:rsidRPr="00BD17CA">
        <w:rPr>
          <w:rFonts w:ascii="Arial" w:eastAsia="Arial" w:hAnsi="Arial" w:cs="Arial"/>
          <w:b/>
          <w:sz w:val="22"/>
          <w:szCs w:val="22"/>
        </w:rPr>
        <w:t>h</w:t>
      </w:r>
      <w:r w:rsidRPr="0046695E">
        <w:rPr>
          <w:rFonts w:ascii="Arial" w:eastAsia="Arial" w:hAnsi="Arial" w:cs="Arial"/>
          <w:b/>
          <w:sz w:val="22"/>
          <w:szCs w:val="22"/>
        </w:rPr>
        <w:t>e</w:t>
      </w:r>
      <w:r w:rsidRPr="00BD17CA">
        <w:rPr>
          <w:rFonts w:ascii="Arial" w:eastAsia="Arial" w:hAnsi="Arial" w:cs="Arial"/>
          <w:b/>
          <w:sz w:val="22"/>
          <w:szCs w:val="22"/>
        </w:rPr>
        <w:t>mes</w:t>
      </w:r>
    </w:p>
    <w:p w14:paraId="3A0379F2" w14:textId="296BC1F7" w:rsidR="009C7422" w:rsidRPr="00BD17CA"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Tr</w:t>
      </w:r>
      <w:r w:rsidRPr="00BD17CA">
        <w:rPr>
          <w:rFonts w:ascii="Arial" w:eastAsia="Arial" w:hAnsi="Arial" w:cs="Arial"/>
          <w:sz w:val="22"/>
          <w:szCs w:val="22"/>
        </w:rPr>
        <w:t>a</w:t>
      </w:r>
      <w:r w:rsidRPr="0046695E">
        <w:rPr>
          <w:rFonts w:ascii="Arial" w:eastAsia="Arial" w:hAnsi="Arial" w:cs="Arial"/>
          <w:sz w:val="22"/>
          <w:szCs w:val="22"/>
        </w:rPr>
        <w:t>nsf</w:t>
      </w:r>
      <w:r w:rsidRPr="00BD17CA">
        <w:rPr>
          <w:rFonts w:ascii="Arial" w:eastAsia="Arial" w:hAnsi="Arial" w:cs="Arial"/>
          <w:sz w:val="22"/>
          <w:szCs w:val="22"/>
        </w:rPr>
        <w:t>ers</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a</w:t>
      </w:r>
      <w:r w:rsidRPr="00BD17CA">
        <w:rPr>
          <w:rFonts w:ascii="Arial" w:eastAsia="Arial" w:hAnsi="Arial" w:cs="Arial"/>
          <w:sz w:val="22"/>
          <w:szCs w:val="22"/>
        </w:rPr>
        <w:t>nd</w:t>
      </w:r>
      <w:r w:rsidRPr="0046695E">
        <w:rPr>
          <w:rFonts w:ascii="Arial" w:eastAsia="Arial" w:hAnsi="Arial" w:cs="Arial"/>
          <w:sz w:val="22"/>
          <w:szCs w:val="22"/>
        </w:rPr>
        <w:t xml:space="preserve"> </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t</w:t>
      </w:r>
      <w:r w:rsidRPr="0046695E">
        <w:rPr>
          <w:rFonts w:ascii="Arial" w:eastAsia="Arial" w:hAnsi="Arial" w:cs="Arial"/>
          <w:sz w:val="22"/>
          <w:szCs w:val="22"/>
        </w:rPr>
        <w:t xml:space="preserve"> </w:t>
      </w:r>
      <w:r w:rsidR="00AF1D79" w:rsidRPr="0046695E">
        <w:rPr>
          <w:rFonts w:ascii="Arial" w:eastAsia="Arial" w:hAnsi="Arial" w:cs="Arial"/>
          <w:sz w:val="22"/>
          <w:szCs w:val="22"/>
        </w:rPr>
        <w:t xml:space="preserve">relate </w:t>
      </w:r>
      <w:r w:rsidRPr="0046695E">
        <w:rPr>
          <w:rFonts w:ascii="Arial" w:eastAsia="Arial" w:hAnsi="Arial" w:cs="Arial"/>
          <w:sz w:val="22"/>
          <w:szCs w:val="22"/>
        </w:rPr>
        <w:t>t</w:t>
      </w:r>
      <w:r w:rsidRPr="00BD17CA">
        <w:rPr>
          <w:rFonts w:ascii="Arial" w:eastAsia="Arial" w:hAnsi="Arial" w:cs="Arial"/>
          <w:sz w:val="22"/>
          <w:szCs w:val="22"/>
        </w:rPr>
        <w:t>o</w:t>
      </w:r>
      <w:r w:rsidRPr="0046695E">
        <w:rPr>
          <w:rFonts w:ascii="Arial" w:eastAsia="Arial" w:hAnsi="Arial" w:cs="Arial"/>
          <w:sz w:val="22"/>
          <w:szCs w:val="22"/>
        </w:rPr>
        <w:t xml:space="preserve"> m</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b</w:t>
      </w:r>
      <w:r w:rsidRPr="0046695E">
        <w:rPr>
          <w:rFonts w:ascii="Arial" w:eastAsia="Arial" w:hAnsi="Arial" w:cs="Arial"/>
          <w:sz w:val="22"/>
          <w:szCs w:val="22"/>
        </w:rPr>
        <w:t>er</w:t>
      </w:r>
      <w:r w:rsidRPr="00BD17CA">
        <w:rPr>
          <w:rFonts w:ascii="Arial" w:eastAsia="Arial" w:hAnsi="Arial" w:cs="Arial"/>
          <w:sz w:val="22"/>
          <w:szCs w:val="22"/>
        </w:rPr>
        <w:t>s</w:t>
      </w:r>
      <w:r w:rsidRPr="0046695E">
        <w:rPr>
          <w:rFonts w:ascii="Arial" w:eastAsia="Arial" w:hAnsi="Arial" w:cs="Arial"/>
          <w:sz w:val="22"/>
          <w:szCs w:val="22"/>
        </w:rPr>
        <w:t xml:space="preserve"> w</w:t>
      </w:r>
      <w:r w:rsidRPr="00BD17CA">
        <w:rPr>
          <w:rFonts w:ascii="Arial" w:eastAsia="Arial" w:hAnsi="Arial" w:cs="Arial"/>
          <w:sz w:val="22"/>
          <w:szCs w:val="22"/>
        </w:rPr>
        <w:t>ho</w:t>
      </w:r>
      <w:r w:rsidRPr="0046695E">
        <w:rPr>
          <w:rFonts w:ascii="Arial" w:eastAsia="Arial" w:hAnsi="Arial" w:cs="Arial"/>
          <w:sz w:val="22"/>
          <w:szCs w:val="22"/>
        </w:rPr>
        <w:t xml:space="preserve"> </w:t>
      </w:r>
      <w:r w:rsidRPr="00BD17CA">
        <w:rPr>
          <w:rFonts w:ascii="Arial" w:eastAsia="Arial" w:hAnsi="Arial" w:cs="Arial"/>
          <w:sz w:val="22"/>
          <w:szCs w:val="22"/>
        </w:rPr>
        <w:t>h</w:t>
      </w:r>
      <w:r w:rsidRPr="0046695E">
        <w:rPr>
          <w:rFonts w:ascii="Arial" w:eastAsia="Arial" w:hAnsi="Arial" w:cs="Arial"/>
          <w:sz w:val="22"/>
          <w:szCs w:val="22"/>
        </w:rPr>
        <w:t>av</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e</w:t>
      </w:r>
      <w:r w:rsidRPr="0046695E">
        <w:rPr>
          <w:rFonts w:ascii="Arial" w:eastAsia="Arial" w:hAnsi="Arial" w:cs="Arial"/>
          <w:sz w:val="22"/>
          <w:szCs w:val="22"/>
        </w:rPr>
        <w:t>i</w:t>
      </w:r>
      <w:r w:rsidRPr="00BD17CA">
        <w:rPr>
          <w:rFonts w:ascii="Arial" w:eastAsia="Arial" w:hAnsi="Arial" w:cs="Arial"/>
          <w:sz w:val="22"/>
          <w:szCs w:val="22"/>
        </w:rPr>
        <w:t>th</w:t>
      </w:r>
      <w:r w:rsidRPr="0046695E">
        <w:rPr>
          <w:rFonts w:ascii="Arial" w:eastAsia="Arial" w:hAnsi="Arial" w:cs="Arial"/>
          <w:sz w:val="22"/>
          <w:szCs w:val="22"/>
        </w:rPr>
        <w:t>e</w:t>
      </w:r>
      <w:r w:rsidRPr="00BD17CA">
        <w:rPr>
          <w:rFonts w:ascii="Arial" w:eastAsia="Arial" w:hAnsi="Arial" w:cs="Arial"/>
          <w:sz w:val="22"/>
          <w:szCs w:val="22"/>
        </w:rPr>
        <w:t>r</w:t>
      </w:r>
      <w:r w:rsidRPr="0046695E">
        <w:rPr>
          <w:rFonts w:ascii="Arial" w:eastAsia="Arial" w:hAnsi="Arial" w:cs="Arial"/>
          <w:sz w:val="22"/>
          <w:szCs w:val="22"/>
        </w:rPr>
        <w:t xml:space="preserve"> join</w:t>
      </w:r>
      <w:r w:rsidRPr="00BD17CA">
        <w:rPr>
          <w:rFonts w:ascii="Arial" w:eastAsia="Arial" w:hAnsi="Arial" w:cs="Arial"/>
          <w:sz w:val="22"/>
          <w:szCs w:val="22"/>
        </w:rPr>
        <w:t>ed</w:t>
      </w:r>
      <w:r w:rsidRPr="0046695E">
        <w:rPr>
          <w:rFonts w:ascii="Arial" w:eastAsia="Arial" w:hAnsi="Arial" w:cs="Arial"/>
          <w:sz w:val="22"/>
          <w:szCs w:val="22"/>
        </w:rPr>
        <w:t xml:space="preserve"> o</w:t>
      </w:r>
      <w:r w:rsidRPr="00BD17CA">
        <w:rPr>
          <w:rFonts w:ascii="Arial" w:eastAsia="Arial" w:hAnsi="Arial" w:cs="Arial"/>
          <w:sz w:val="22"/>
          <w:szCs w:val="22"/>
        </w:rPr>
        <w:t>r</w:t>
      </w:r>
      <w:r w:rsidRPr="0046695E">
        <w:rPr>
          <w:rFonts w:ascii="Arial" w:eastAsia="Arial" w:hAnsi="Arial" w:cs="Arial"/>
          <w:sz w:val="22"/>
          <w:szCs w:val="22"/>
        </w:rPr>
        <w:t xml:space="preserve"> l</w:t>
      </w:r>
      <w:r w:rsidRPr="00BD17CA">
        <w:rPr>
          <w:rFonts w:ascii="Arial" w:eastAsia="Arial" w:hAnsi="Arial" w:cs="Arial"/>
          <w:sz w:val="22"/>
          <w:szCs w:val="22"/>
        </w:rPr>
        <w:t>e</w:t>
      </w:r>
      <w:r w:rsidRPr="0046695E">
        <w:rPr>
          <w:rFonts w:ascii="Arial" w:eastAsia="Arial" w:hAnsi="Arial" w:cs="Arial"/>
          <w:sz w:val="22"/>
          <w:szCs w:val="22"/>
        </w:rPr>
        <w:t>f</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p>
    <w:p w14:paraId="2BD1171B" w14:textId="77777777" w:rsidR="009C7422" w:rsidRPr="00BD17CA" w:rsidRDefault="001706EB" w:rsidP="0046695E">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In</w:t>
      </w:r>
      <w:r w:rsidRPr="0046695E">
        <w:rPr>
          <w:rFonts w:ascii="Arial" w:eastAsia="Arial" w:hAnsi="Arial" w:cs="Arial"/>
          <w:sz w:val="22"/>
          <w:szCs w:val="22"/>
        </w:rPr>
        <w:t>divi</w:t>
      </w:r>
      <w:r w:rsidRPr="00BD17CA">
        <w:rPr>
          <w:rFonts w:ascii="Arial" w:eastAsia="Arial" w:hAnsi="Arial" w:cs="Arial"/>
          <w:sz w:val="22"/>
          <w:szCs w:val="22"/>
        </w:rPr>
        <w:t>d</w:t>
      </w:r>
      <w:r w:rsidRPr="0046695E">
        <w:rPr>
          <w:rFonts w:ascii="Arial" w:eastAsia="Arial" w:hAnsi="Arial" w:cs="Arial"/>
          <w:sz w:val="22"/>
          <w:szCs w:val="22"/>
        </w:rPr>
        <w:t>u</w:t>
      </w:r>
      <w:r w:rsidRPr="00BD17CA">
        <w:rPr>
          <w:rFonts w:ascii="Arial" w:eastAsia="Arial" w:hAnsi="Arial" w:cs="Arial"/>
          <w:sz w:val="22"/>
          <w:szCs w:val="22"/>
        </w:rPr>
        <w:t>al t</w:t>
      </w:r>
      <w:r w:rsidRPr="0046695E">
        <w:rPr>
          <w:rFonts w:ascii="Arial" w:eastAsia="Arial" w:hAnsi="Arial" w:cs="Arial"/>
          <w:sz w:val="22"/>
          <w:szCs w:val="22"/>
        </w:rPr>
        <w:t>r</w:t>
      </w:r>
      <w:r w:rsidRPr="00BD17CA">
        <w:rPr>
          <w:rFonts w:ascii="Arial" w:eastAsia="Arial" w:hAnsi="Arial" w:cs="Arial"/>
          <w:sz w:val="22"/>
          <w:szCs w:val="22"/>
        </w:rPr>
        <w:t>a</w:t>
      </w:r>
      <w:r w:rsidRPr="0046695E">
        <w:rPr>
          <w:rFonts w:ascii="Arial" w:eastAsia="Arial" w:hAnsi="Arial" w:cs="Arial"/>
          <w:sz w:val="22"/>
          <w:szCs w:val="22"/>
        </w:rPr>
        <w:t>nsf</w:t>
      </w:r>
      <w:r w:rsidRPr="00BD17CA">
        <w:rPr>
          <w:rFonts w:ascii="Arial" w:eastAsia="Arial" w:hAnsi="Arial" w:cs="Arial"/>
          <w:sz w:val="22"/>
          <w:szCs w:val="22"/>
        </w:rPr>
        <w:t>ers</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or</w:t>
      </w:r>
      <w:r w:rsidRPr="0046695E">
        <w:rPr>
          <w:rFonts w:ascii="Arial" w:eastAsia="Arial" w:hAnsi="Arial" w:cs="Arial"/>
          <w:sz w:val="22"/>
          <w:szCs w:val="22"/>
        </w:rPr>
        <w:t xml:space="preserve"> ou</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f</w:t>
      </w:r>
      <w:r w:rsidRPr="00BD17CA">
        <w:rPr>
          <w:rFonts w:ascii="Arial" w:eastAsia="Arial" w:hAnsi="Arial" w:cs="Arial"/>
          <w:sz w:val="22"/>
          <w:szCs w:val="22"/>
        </w:rPr>
        <w:t>or</w:t>
      </w:r>
      <w:r w:rsidRPr="0046695E">
        <w:rPr>
          <w:rFonts w:ascii="Arial" w:eastAsia="Arial" w:hAnsi="Arial" w:cs="Arial"/>
          <w:sz w:val="22"/>
          <w:szCs w:val="22"/>
        </w:rPr>
        <w:t xml:space="preserve"> </w:t>
      </w:r>
      <w:r w:rsidRPr="00BD17CA">
        <w:rPr>
          <w:rFonts w:ascii="Arial" w:eastAsia="Arial" w:hAnsi="Arial" w:cs="Arial"/>
          <w:sz w:val="22"/>
          <w:szCs w:val="22"/>
        </w:rPr>
        <w:t>when</w:t>
      </w:r>
      <w:r w:rsidRPr="0046695E">
        <w:rPr>
          <w:rFonts w:ascii="Arial" w:eastAsia="Arial" w:hAnsi="Arial" w:cs="Arial"/>
          <w:sz w:val="22"/>
          <w:szCs w:val="22"/>
        </w:rPr>
        <w:t xml:space="preserve"> 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e</w:t>
      </w:r>
      <w:r w:rsidRPr="0046695E">
        <w:rPr>
          <w:rFonts w:ascii="Arial" w:eastAsia="Arial" w:hAnsi="Arial" w:cs="Arial"/>
          <w:sz w:val="22"/>
          <w:szCs w:val="22"/>
        </w:rPr>
        <w:t>iv</w:t>
      </w:r>
      <w:r w:rsidRPr="00BD17CA">
        <w:rPr>
          <w:rFonts w:ascii="Arial" w:eastAsia="Arial" w:hAnsi="Arial" w:cs="Arial"/>
          <w:sz w:val="22"/>
          <w:szCs w:val="22"/>
        </w:rPr>
        <w:t>ed</w:t>
      </w:r>
      <w:r w:rsidRPr="0046695E">
        <w:rPr>
          <w:rFonts w:ascii="Arial" w:eastAsia="Arial" w:hAnsi="Arial" w:cs="Arial"/>
          <w:sz w:val="22"/>
          <w:szCs w:val="22"/>
        </w:rPr>
        <w:t xml:space="preserve"> </w:t>
      </w:r>
      <w:r w:rsidRPr="00BD17CA">
        <w:rPr>
          <w:rFonts w:ascii="Arial" w:eastAsia="Arial" w:hAnsi="Arial" w:cs="Arial"/>
          <w:sz w:val="22"/>
          <w:szCs w:val="22"/>
        </w:rPr>
        <w:t>or</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ai</w:t>
      </w:r>
      <w:r w:rsidRPr="00BD17CA">
        <w:rPr>
          <w:rFonts w:ascii="Arial" w:eastAsia="Arial" w:hAnsi="Arial" w:cs="Arial"/>
          <w:sz w:val="22"/>
          <w:szCs w:val="22"/>
        </w:rPr>
        <w:t xml:space="preserve">d. </w:t>
      </w:r>
      <w:r w:rsidRPr="0046695E">
        <w:rPr>
          <w:rFonts w:ascii="Arial" w:eastAsia="Arial" w:hAnsi="Arial" w:cs="Arial"/>
          <w:sz w:val="22"/>
          <w:szCs w:val="22"/>
        </w:rPr>
        <w:t xml:space="preserve"> Tr</w:t>
      </w:r>
      <w:r w:rsidRPr="00BD17CA">
        <w:rPr>
          <w:rFonts w:ascii="Arial" w:eastAsia="Arial" w:hAnsi="Arial" w:cs="Arial"/>
          <w:sz w:val="22"/>
          <w:szCs w:val="22"/>
        </w:rPr>
        <w:t>a</w:t>
      </w:r>
      <w:r w:rsidRPr="0046695E">
        <w:rPr>
          <w:rFonts w:ascii="Arial" w:eastAsia="Arial" w:hAnsi="Arial" w:cs="Arial"/>
          <w:sz w:val="22"/>
          <w:szCs w:val="22"/>
        </w:rPr>
        <w:t>nsf</w:t>
      </w:r>
      <w:r w:rsidRPr="00BD17CA">
        <w:rPr>
          <w:rFonts w:ascii="Arial" w:eastAsia="Arial" w:hAnsi="Arial" w:cs="Arial"/>
          <w:sz w:val="22"/>
          <w:szCs w:val="22"/>
        </w:rPr>
        <w:t>ers</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fr</w:t>
      </w:r>
      <w:r w:rsidRPr="00BD17CA">
        <w:rPr>
          <w:rFonts w:ascii="Arial" w:eastAsia="Arial" w:hAnsi="Arial" w:cs="Arial"/>
          <w:sz w:val="22"/>
          <w:szCs w:val="22"/>
        </w:rPr>
        <w:t>om</w:t>
      </w:r>
      <w:r w:rsidRPr="0046695E">
        <w:rPr>
          <w:rFonts w:ascii="Arial" w:eastAsia="Arial" w:hAnsi="Arial" w:cs="Arial"/>
          <w:sz w:val="22"/>
          <w:szCs w:val="22"/>
        </w:rPr>
        <w:t xml:space="preserve"> mem</w:t>
      </w:r>
      <w:r w:rsidRPr="00BD17CA">
        <w:rPr>
          <w:rFonts w:ascii="Arial" w:eastAsia="Arial" w:hAnsi="Arial" w:cs="Arial"/>
          <w:sz w:val="22"/>
          <w:szCs w:val="22"/>
        </w:rPr>
        <w:t>b</w:t>
      </w:r>
      <w:r w:rsidRPr="0046695E">
        <w:rPr>
          <w:rFonts w:ascii="Arial" w:eastAsia="Arial" w:hAnsi="Arial" w:cs="Arial"/>
          <w:sz w:val="22"/>
          <w:szCs w:val="22"/>
        </w:rPr>
        <w:t>er</w:t>
      </w:r>
      <w:r w:rsidRPr="00BD17CA">
        <w:rPr>
          <w:rFonts w:ascii="Arial" w:eastAsia="Arial" w:hAnsi="Arial" w:cs="Arial"/>
          <w:sz w:val="22"/>
          <w:szCs w:val="22"/>
        </w:rPr>
        <w:t>s</w:t>
      </w:r>
      <w:r w:rsidRPr="0046695E">
        <w:rPr>
          <w:rFonts w:ascii="Arial" w:eastAsia="Arial" w:hAnsi="Arial" w:cs="Arial"/>
          <w:sz w:val="22"/>
          <w:szCs w:val="22"/>
        </w:rPr>
        <w:t xml:space="preserve"> wishi</w:t>
      </w:r>
      <w:r w:rsidRPr="00BD17CA">
        <w:rPr>
          <w:rFonts w:ascii="Arial" w:eastAsia="Arial" w:hAnsi="Arial" w:cs="Arial"/>
          <w:sz w:val="22"/>
          <w:szCs w:val="22"/>
        </w:rPr>
        <w:t>ng</w:t>
      </w:r>
      <w:r w:rsidRPr="0046695E">
        <w:rPr>
          <w:rFonts w:ascii="Arial" w:eastAsia="Arial" w:hAnsi="Arial" w:cs="Arial"/>
          <w:sz w:val="22"/>
          <w:szCs w:val="22"/>
        </w:rPr>
        <w:t xml:space="preserve"> t</w:t>
      </w:r>
      <w:r w:rsidRPr="00BD17CA">
        <w:rPr>
          <w:rFonts w:ascii="Arial" w:eastAsia="Arial" w:hAnsi="Arial" w:cs="Arial"/>
          <w:sz w:val="22"/>
          <w:szCs w:val="22"/>
        </w:rPr>
        <w:t>o u</w:t>
      </w:r>
      <w:r w:rsidRPr="0046695E">
        <w:rPr>
          <w:rFonts w:ascii="Arial" w:eastAsia="Arial" w:hAnsi="Arial" w:cs="Arial"/>
          <w:sz w:val="22"/>
          <w:szCs w:val="22"/>
        </w:rPr>
        <w:t>s</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pro</w:t>
      </w:r>
      <w:r w:rsidRPr="0046695E">
        <w:rPr>
          <w:rFonts w:ascii="Arial" w:eastAsia="Arial" w:hAnsi="Arial" w:cs="Arial"/>
          <w:sz w:val="22"/>
          <w:szCs w:val="22"/>
        </w:rPr>
        <w:t>c</w:t>
      </w:r>
      <w:r w:rsidRPr="00BD17CA">
        <w:rPr>
          <w:rFonts w:ascii="Arial" w:eastAsia="Arial" w:hAnsi="Arial" w:cs="Arial"/>
          <w:sz w:val="22"/>
          <w:szCs w:val="22"/>
        </w:rPr>
        <w:t>e</w:t>
      </w:r>
      <w:r w:rsidRPr="0046695E">
        <w:rPr>
          <w:rFonts w:ascii="Arial" w:eastAsia="Arial" w:hAnsi="Arial" w:cs="Arial"/>
          <w:sz w:val="22"/>
          <w:szCs w:val="22"/>
        </w:rPr>
        <w:t>e</w:t>
      </w:r>
      <w:r w:rsidRPr="00BD17CA">
        <w:rPr>
          <w:rFonts w:ascii="Arial" w:eastAsia="Arial" w:hAnsi="Arial" w:cs="Arial"/>
          <w:sz w:val="22"/>
          <w:szCs w:val="22"/>
        </w:rPr>
        <w:t>ds</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th</w:t>
      </w:r>
      <w:r w:rsidRPr="0046695E">
        <w:rPr>
          <w:rFonts w:ascii="Arial" w:eastAsia="Arial" w:hAnsi="Arial" w:cs="Arial"/>
          <w:sz w:val="22"/>
          <w:szCs w:val="22"/>
        </w:rPr>
        <w:t>ei</w:t>
      </w:r>
      <w:r w:rsidRPr="00BD17CA">
        <w:rPr>
          <w:rFonts w:ascii="Arial" w:eastAsia="Arial" w:hAnsi="Arial" w:cs="Arial"/>
          <w:sz w:val="22"/>
          <w:szCs w:val="22"/>
        </w:rPr>
        <w:t>r</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ddi</w:t>
      </w:r>
      <w:r w:rsidRPr="00BD17CA">
        <w:rPr>
          <w:rFonts w:ascii="Arial" w:eastAsia="Arial" w:hAnsi="Arial" w:cs="Arial"/>
          <w:sz w:val="22"/>
          <w:szCs w:val="22"/>
        </w:rPr>
        <w:t>t</w:t>
      </w:r>
      <w:r w:rsidRPr="0046695E">
        <w:rPr>
          <w:rFonts w:ascii="Arial" w:eastAsia="Arial" w:hAnsi="Arial" w:cs="Arial"/>
          <w:sz w:val="22"/>
          <w:szCs w:val="22"/>
        </w:rPr>
        <w:t>i</w:t>
      </w:r>
      <w:r w:rsidRPr="00BD17CA">
        <w:rPr>
          <w:rFonts w:ascii="Arial" w:eastAsia="Arial" w:hAnsi="Arial" w:cs="Arial"/>
          <w:sz w:val="22"/>
          <w:szCs w:val="22"/>
        </w:rPr>
        <w:t>o</w:t>
      </w:r>
      <w:r w:rsidRPr="0046695E">
        <w:rPr>
          <w:rFonts w:ascii="Arial" w:eastAsia="Arial" w:hAnsi="Arial" w:cs="Arial"/>
          <w:sz w:val="22"/>
          <w:szCs w:val="22"/>
        </w:rPr>
        <w:t>na</w:t>
      </w:r>
      <w:r w:rsidRPr="00BD17CA">
        <w:rPr>
          <w:rFonts w:ascii="Arial" w:eastAsia="Arial" w:hAnsi="Arial" w:cs="Arial"/>
          <w:sz w:val="22"/>
          <w:szCs w:val="22"/>
        </w:rPr>
        <w:t>l</w:t>
      </w:r>
      <w:r w:rsidRPr="0046695E">
        <w:rPr>
          <w:rFonts w:ascii="Arial" w:eastAsia="Arial" w:hAnsi="Arial" w:cs="Arial"/>
          <w:sz w:val="22"/>
          <w:szCs w:val="22"/>
        </w:rPr>
        <w:t xml:space="preserve"> volu</w:t>
      </w:r>
      <w:r w:rsidRPr="00BD17CA">
        <w:rPr>
          <w:rFonts w:ascii="Arial" w:eastAsia="Arial" w:hAnsi="Arial" w:cs="Arial"/>
          <w:sz w:val="22"/>
          <w:szCs w:val="22"/>
        </w:rPr>
        <w:t>nt</w:t>
      </w:r>
      <w:r w:rsidRPr="0046695E">
        <w:rPr>
          <w:rFonts w:ascii="Arial" w:eastAsia="Arial" w:hAnsi="Arial" w:cs="Arial"/>
          <w:sz w:val="22"/>
          <w:szCs w:val="22"/>
        </w:rPr>
        <w:t>ar</w:t>
      </w:r>
      <w:r w:rsidRPr="00BD17CA">
        <w:rPr>
          <w:rFonts w:ascii="Arial" w:eastAsia="Arial" w:hAnsi="Arial" w:cs="Arial"/>
          <w:sz w:val="22"/>
          <w:szCs w:val="22"/>
        </w:rPr>
        <w:t xml:space="preserve">y </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tr</w:t>
      </w:r>
      <w:r w:rsidRPr="0046695E">
        <w:rPr>
          <w:rFonts w:ascii="Arial" w:eastAsia="Arial" w:hAnsi="Arial" w:cs="Arial"/>
          <w:sz w:val="22"/>
          <w:szCs w:val="22"/>
        </w:rPr>
        <w:t>i</w:t>
      </w:r>
      <w:r w:rsidRPr="00BD17CA">
        <w:rPr>
          <w:rFonts w:ascii="Arial" w:eastAsia="Arial" w:hAnsi="Arial" w:cs="Arial"/>
          <w:sz w:val="22"/>
          <w:szCs w:val="22"/>
        </w:rPr>
        <w:t>b</w:t>
      </w:r>
      <w:r w:rsidRPr="0046695E">
        <w:rPr>
          <w:rFonts w:ascii="Arial" w:eastAsia="Arial" w:hAnsi="Arial" w:cs="Arial"/>
          <w:sz w:val="22"/>
          <w:szCs w:val="22"/>
        </w:rPr>
        <w:t>u</w:t>
      </w:r>
      <w:r w:rsidRPr="00BD17CA">
        <w:rPr>
          <w:rFonts w:ascii="Arial" w:eastAsia="Arial" w:hAnsi="Arial" w:cs="Arial"/>
          <w:sz w:val="22"/>
          <w:szCs w:val="22"/>
        </w:rPr>
        <w:t>t</w:t>
      </w:r>
      <w:r w:rsidRPr="0046695E">
        <w:rPr>
          <w:rFonts w:ascii="Arial" w:eastAsia="Arial" w:hAnsi="Arial" w:cs="Arial"/>
          <w:sz w:val="22"/>
          <w:szCs w:val="22"/>
        </w:rPr>
        <w:t>i</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 xml:space="preserve">s </w:t>
      </w:r>
      <w:r w:rsidRPr="0046695E">
        <w:rPr>
          <w:rFonts w:ascii="Arial" w:eastAsia="Arial" w:hAnsi="Arial" w:cs="Arial"/>
          <w:sz w:val="22"/>
          <w:szCs w:val="22"/>
        </w:rPr>
        <w:t>(s</w:t>
      </w:r>
      <w:r w:rsidRPr="00BD17CA">
        <w:rPr>
          <w:rFonts w:ascii="Arial" w:eastAsia="Arial" w:hAnsi="Arial" w:cs="Arial"/>
          <w:sz w:val="22"/>
          <w:szCs w:val="22"/>
        </w:rPr>
        <w:t>ee</w:t>
      </w:r>
      <w:r w:rsidRPr="0046695E">
        <w:rPr>
          <w:rFonts w:ascii="Arial" w:eastAsia="Arial" w:hAnsi="Arial" w:cs="Arial"/>
          <w:sz w:val="22"/>
          <w:szCs w:val="22"/>
        </w:rPr>
        <w:t xml:space="preserve"> b</w:t>
      </w:r>
      <w:r w:rsidRPr="00BD17CA">
        <w:rPr>
          <w:rFonts w:ascii="Arial" w:eastAsia="Arial" w:hAnsi="Arial" w:cs="Arial"/>
          <w:sz w:val="22"/>
          <w:szCs w:val="22"/>
        </w:rPr>
        <w:t>e</w:t>
      </w:r>
      <w:r w:rsidRPr="0046695E">
        <w:rPr>
          <w:rFonts w:ascii="Arial" w:eastAsia="Arial" w:hAnsi="Arial" w:cs="Arial"/>
          <w:sz w:val="22"/>
          <w:szCs w:val="22"/>
        </w:rPr>
        <w:t>low</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purc</w:t>
      </w:r>
      <w:r w:rsidRPr="00BD17CA">
        <w:rPr>
          <w:rFonts w:ascii="Arial" w:eastAsia="Arial" w:hAnsi="Arial" w:cs="Arial"/>
          <w:sz w:val="22"/>
          <w:szCs w:val="22"/>
        </w:rPr>
        <w:t>h</w:t>
      </w:r>
      <w:r w:rsidRPr="0046695E">
        <w:rPr>
          <w:rFonts w:ascii="Arial" w:eastAsia="Arial" w:hAnsi="Arial" w:cs="Arial"/>
          <w:sz w:val="22"/>
          <w:szCs w:val="22"/>
        </w:rPr>
        <w:t>as</w:t>
      </w:r>
      <w:r w:rsidRPr="00BD17CA">
        <w:rPr>
          <w:rFonts w:ascii="Arial" w:eastAsia="Arial" w:hAnsi="Arial" w:cs="Arial"/>
          <w:sz w:val="22"/>
          <w:szCs w:val="22"/>
        </w:rPr>
        <w:t>e</w:t>
      </w:r>
      <w:r w:rsidRPr="0046695E">
        <w:rPr>
          <w:rFonts w:ascii="Arial" w:eastAsia="Arial" w:hAnsi="Arial" w:cs="Arial"/>
          <w:sz w:val="22"/>
          <w:szCs w:val="22"/>
        </w:rPr>
        <w:t xml:space="preserve"> sc</w:t>
      </w:r>
      <w:r w:rsidRPr="00BD17CA">
        <w:rPr>
          <w:rFonts w:ascii="Arial" w:eastAsia="Arial" w:hAnsi="Arial" w:cs="Arial"/>
          <w:sz w:val="22"/>
          <w:szCs w:val="22"/>
        </w:rPr>
        <w:t>h</w:t>
      </w:r>
      <w:r w:rsidRPr="0046695E">
        <w:rPr>
          <w:rFonts w:ascii="Arial" w:eastAsia="Arial" w:hAnsi="Arial" w:cs="Arial"/>
          <w:sz w:val="22"/>
          <w:szCs w:val="22"/>
        </w:rPr>
        <w:t>em</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efi</w:t>
      </w:r>
      <w:r w:rsidRPr="00BD17CA">
        <w:rPr>
          <w:rFonts w:ascii="Arial" w:eastAsia="Arial" w:hAnsi="Arial" w:cs="Arial"/>
          <w:sz w:val="22"/>
          <w:szCs w:val="22"/>
        </w:rPr>
        <w:t>ts</w:t>
      </w:r>
      <w:r w:rsidRPr="0046695E">
        <w:rPr>
          <w:rFonts w:ascii="Arial" w:eastAsia="Arial" w:hAnsi="Arial" w:cs="Arial"/>
          <w:sz w:val="22"/>
          <w:szCs w:val="22"/>
        </w:rPr>
        <w:t xml:space="preserve"> ar</w:t>
      </w:r>
      <w:r w:rsidRPr="00BD17CA">
        <w:rPr>
          <w:rFonts w:ascii="Arial" w:eastAsia="Arial" w:hAnsi="Arial" w:cs="Arial"/>
          <w:sz w:val="22"/>
          <w:szCs w:val="22"/>
        </w:rPr>
        <w:t>e a</w:t>
      </w:r>
      <w:r w:rsidRPr="0046695E">
        <w:rPr>
          <w:rFonts w:ascii="Arial" w:eastAsia="Arial" w:hAnsi="Arial" w:cs="Arial"/>
          <w:sz w:val="22"/>
          <w:szCs w:val="22"/>
        </w:rPr>
        <w:t>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f</w:t>
      </w:r>
      <w:r w:rsidRPr="00BD17CA">
        <w:rPr>
          <w:rFonts w:ascii="Arial" w:eastAsia="Arial" w:hAnsi="Arial" w:cs="Arial"/>
          <w:sz w:val="22"/>
          <w:szCs w:val="22"/>
        </w:rPr>
        <w:t>or</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a re</w:t>
      </w:r>
      <w:r w:rsidRPr="0046695E">
        <w:rPr>
          <w:rFonts w:ascii="Arial" w:eastAsia="Arial" w:hAnsi="Arial" w:cs="Arial"/>
          <w:sz w:val="22"/>
          <w:szCs w:val="22"/>
        </w:rPr>
        <w:t>c</w:t>
      </w:r>
      <w:r w:rsidRPr="00BD17CA">
        <w:rPr>
          <w:rFonts w:ascii="Arial" w:eastAsia="Arial" w:hAnsi="Arial" w:cs="Arial"/>
          <w:sz w:val="22"/>
          <w:szCs w:val="22"/>
        </w:rPr>
        <w:t>e</w:t>
      </w:r>
      <w:r w:rsidRPr="0046695E">
        <w:rPr>
          <w:rFonts w:ascii="Arial" w:eastAsia="Arial" w:hAnsi="Arial" w:cs="Arial"/>
          <w:sz w:val="22"/>
          <w:szCs w:val="22"/>
        </w:rPr>
        <w:t>i</w:t>
      </w:r>
      <w:r w:rsidRPr="00BD17CA">
        <w:rPr>
          <w:rFonts w:ascii="Arial" w:eastAsia="Arial" w:hAnsi="Arial" w:cs="Arial"/>
          <w:sz w:val="22"/>
          <w:szCs w:val="22"/>
        </w:rPr>
        <w:t>pts</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asi</w:t>
      </w:r>
      <w:r w:rsidRPr="00BD17CA">
        <w:rPr>
          <w:rFonts w:ascii="Arial" w:eastAsia="Arial" w:hAnsi="Arial" w:cs="Arial"/>
          <w:sz w:val="22"/>
          <w:szCs w:val="22"/>
        </w:rPr>
        <w:t>s</w:t>
      </w:r>
      <w:r w:rsidRPr="0046695E">
        <w:rPr>
          <w:rFonts w:ascii="Arial" w:eastAsia="Arial" w:hAnsi="Arial" w:cs="Arial"/>
          <w:sz w:val="22"/>
          <w:szCs w:val="22"/>
        </w:rPr>
        <w:t xml:space="preserve"> a</w:t>
      </w:r>
      <w:r w:rsidRPr="00BD17CA">
        <w:rPr>
          <w:rFonts w:ascii="Arial" w:eastAsia="Arial" w:hAnsi="Arial" w:cs="Arial"/>
          <w:sz w:val="22"/>
          <w:szCs w:val="22"/>
        </w:rPr>
        <w:t>nd</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cl</w:t>
      </w:r>
      <w:r w:rsidRPr="00BD17CA">
        <w:rPr>
          <w:rFonts w:ascii="Arial" w:eastAsia="Arial" w:hAnsi="Arial" w:cs="Arial"/>
          <w:sz w:val="22"/>
          <w:szCs w:val="22"/>
        </w:rPr>
        <w:t>u</w:t>
      </w:r>
      <w:r w:rsidRPr="0046695E">
        <w:rPr>
          <w:rFonts w:ascii="Arial" w:eastAsia="Arial" w:hAnsi="Arial" w:cs="Arial"/>
          <w:sz w:val="22"/>
          <w:szCs w:val="22"/>
        </w:rPr>
        <w:t>d</w:t>
      </w:r>
      <w:r w:rsidRPr="00BD17CA">
        <w:rPr>
          <w:rFonts w:ascii="Arial" w:eastAsia="Arial" w:hAnsi="Arial" w:cs="Arial"/>
          <w:sz w:val="22"/>
          <w:szCs w:val="22"/>
        </w:rPr>
        <w:t>ed</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tr</w:t>
      </w:r>
      <w:r w:rsidRPr="00BD17CA">
        <w:rPr>
          <w:rFonts w:ascii="Arial" w:eastAsia="Arial" w:hAnsi="Arial" w:cs="Arial"/>
          <w:sz w:val="22"/>
          <w:szCs w:val="22"/>
        </w:rPr>
        <w:t>a</w:t>
      </w:r>
      <w:r w:rsidRPr="0046695E">
        <w:rPr>
          <w:rFonts w:ascii="Arial" w:eastAsia="Arial" w:hAnsi="Arial" w:cs="Arial"/>
          <w:sz w:val="22"/>
          <w:szCs w:val="22"/>
        </w:rPr>
        <w:t>nsf</w:t>
      </w:r>
      <w:r w:rsidRPr="00BD17CA">
        <w:rPr>
          <w:rFonts w:ascii="Arial" w:eastAsia="Arial" w:hAnsi="Arial" w:cs="Arial"/>
          <w:sz w:val="22"/>
          <w:szCs w:val="22"/>
        </w:rPr>
        <w:t>ers</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w:t>
      </w:r>
      <w:r w:rsidRPr="0046695E">
        <w:rPr>
          <w:rFonts w:ascii="Arial" w:eastAsia="Arial" w:hAnsi="Arial" w:cs="Arial"/>
          <w:sz w:val="22"/>
          <w:szCs w:val="22"/>
        </w:rPr>
        <w:t>s</w:t>
      </w:r>
      <w:r w:rsidRPr="00BD17CA">
        <w:rPr>
          <w:rFonts w:ascii="Arial" w:eastAsia="Arial" w:hAnsi="Arial" w:cs="Arial"/>
          <w:sz w:val="22"/>
          <w:szCs w:val="22"/>
        </w:rPr>
        <w:t>ee</w:t>
      </w:r>
      <w:r w:rsidRPr="0046695E">
        <w:rPr>
          <w:rFonts w:ascii="Arial" w:eastAsia="Arial" w:hAnsi="Arial" w:cs="Arial"/>
          <w:sz w:val="22"/>
          <w:szCs w:val="22"/>
        </w:rPr>
        <w:t xml:space="preserve"> Note 8).</w:t>
      </w:r>
    </w:p>
    <w:p w14:paraId="2B0AC49D" w14:textId="1448FFD7" w:rsidR="009C7422" w:rsidRP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c)</w:t>
      </w:r>
      <w:r w:rsidRPr="0046695E">
        <w:rPr>
          <w:rFonts w:ascii="Arial" w:eastAsia="Arial" w:hAnsi="Arial" w:cs="Arial"/>
          <w:b/>
          <w:sz w:val="22"/>
          <w:szCs w:val="22"/>
        </w:rPr>
        <w:t xml:space="preserve"> </w:t>
      </w:r>
      <w:r w:rsidRPr="00BD17CA">
        <w:rPr>
          <w:rFonts w:ascii="Arial" w:eastAsia="Arial" w:hAnsi="Arial" w:cs="Arial"/>
          <w:b/>
          <w:sz w:val="22"/>
          <w:szCs w:val="22"/>
        </w:rPr>
        <w:t>I</w:t>
      </w:r>
      <w:r w:rsidRPr="0046695E">
        <w:rPr>
          <w:rFonts w:ascii="Arial" w:eastAsia="Arial" w:hAnsi="Arial" w:cs="Arial"/>
          <w:b/>
          <w:sz w:val="22"/>
          <w:szCs w:val="22"/>
        </w:rPr>
        <w:t>nv</w:t>
      </w:r>
      <w:r w:rsidRPr="00BD17CA">
        <w:rPr>
          <w:rFonts w:ascii="Arial" w:eastAsia="Arial" w:hAnsi="Arial" w:cs="Arial"/>
          <w:b/>
          <w:sz w:val="22"/>
          <w:szCs w:val="22"/>
        </w:rPr>
        <w:t>e</w:t>
      </w:r>
      <w:r w:rsidRPr="0046695E">
        <w:rPr>
          <w:rFonts w:ascii="Arial" w:eastAsia="Arial" w:hAnsi="Arial" w:cs="Arial"/>
          <w:b/>
          <w:sz w:val="22"/>
          <w:szCs w:val="22"/>
        </w:rPr>
        <w:t>st</w:t>
      </w:r>
      <w:r w:rsidRPr="00BD17CA">
        <w:rPr>
          <w:rFonts w:ascii="Arial" w:eastAsia="Arial" w:hAnsi="Arial" w:cs="Arial"/>
          <w:b/>
          <w:sz w:val="22"/>
          <w:szCs w:val="22"/>
        </w:rPr>
        <w:t>me</w:t>
      </w:r>
      <w:r w:rsidRPr="0046695E">
        <w:rPr>
          <w:rFonts w:ascii="Arial" w:eastAsia="Arial" w:hAnsi="Arial" w:cs="Arial"/>
          <w:b/>
          <w:sz w:val="22"/>
          <w:szCs w:val="22"/>
        </w:rPr>
        <w:t>n</w:t>
      </w:r>
      <w:r w:rsidRPr="00BD17CA">
        <w:rPr>
          <w:rFonts w:ascii="Arial" w:eastAsia="Arial" w:hAnsi="Arial" w:cs="Arial"/>
          <w:b/>
          <w:sz w:val="22"/>
          <w:szCs w:val="22"/>
        </w:rPr>
        <w:t>t</w:t>
      </w:r>
      <w:r w:rsidRPr="0046695E">
        <w:rPr>
          <w:rFonts w:ascii="Arial" w:eastAsia="Arial" w:hAnsi="Arial" w:cs="Arial"/>
          <w:b/>
          <w:sz w:val="22"/>
          <w:szCs w:val="22"/>
        </w:rPr>
        <w:t xml:space="preserve"> </w:t>
      </w:r>
      <w:r w:rsidRPr="00BD17CA">
        <w:rPr>
          <w:rFonts w:ascii="Arial" w:eastAsia="Arial" w:hAnsi="Arial" w:cs="Arial"/>
          <w:b/>
          <w:sz w:val="22"/>
          <w:szCs w:val="22"/>
        </w:rPr>
        <w:t>income</w:t>
      </w:r>
    </w:p>
    <w:p w14:paraId="54D36951" w14:textId="77777777" w:rsidR="009C7422" w:rsidRPr="00BD17CA"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w:t>
      </w:r>
      <w:proofErr w:type="spellStart"/>
      <w:r w:rsidRPr="0046695E">
        <w:rPr>
          <w:rFonts w:ascii="Arial" w:eastAsia="Arial" w:hAnsi="Arial" w:cs="Arial"/>
          <w:sz w:val="22"/>
          <w:szCs w:val="22"/>
        </w:rPr>
        <w:t>i</w:t>
      </w:r>
      <w:proofErr w:type="spellEnd"/>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I</w:t>
      </w:r>
      <w:r w:rsidRPr="0046695E">
        <w:rPr>
          <w:rFonts w:ascii="Arial" w:eastAsia="Arial" w:hAnsi="Arial" w:cs="Arial"/>
          <w:sz w:val="22"/>
          <w:szCs w:val="22"/>
        </w:rPr>
        <w:t>n</w:t>
      </w:r>
      <w:r w:rsidRPr="00BD17CA">
        <w:rPr>
          <w:rFonts w:ascii="Arial" w:eastAsia="Arial" w:hAnsi="Arial" w:cs="Arial"/>
          <w:sz w:val="22"/>
          <w:szCs w:val="22"/>
        </w:rPr>
        <w:t>tere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m</w:t>
      </w:r>
      <w:r w:rsidRPr="00BD17CA">
        <w:rPr>
          <w:rFonts w:ascii="Arial" w:eastAsia="Arial" w:hAnsi="Arial" w:cs="Arial"/>
          <w:sz w:val="22"/>
          <w:szCs w:val="22"/>
        </w:rPr>
        <w:t>e</w:t>
      </w:r>
    </w:p>
    <w:p w14:paraId="30D91E3E" w14:textId="77777777" w:rsidR="009C7422" w:rsidRPr="00BD17CA" w:rsidRDefault="001706EB" w:rsidP="0046695E">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In</w:t>
      </w:r>
      <w:r w:rsidRPr="0046695E">
        <w:rPr>
          <w:rFonts w:ascii="Arial" w:eastAsia="Arial" w:hAnsi="Arial" w:cs="Arial"/>
          <w:sz w:val="22"/>
          <w:szCs w:val="22"/>
        </w:rPr>
        <w:t>t</w:t>
      </w:r>
      <w:r w:rsidRPr="00BD17CA">
        <w:rPr>
          <w:rFonts w:ascii="Arial" w:eastAsia="Arial" w:hAnsi="Arial" w:cs="Arial"/>
          <w:sz w:val="22"/>
          <w:szCs w:val="22"/>
        </w:rPr>
        <w:t>ere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 xml:space="preserve"> i</w:t>
      </w:r>
      <w:r w:rsidRPr="00BD17CA">
        <w:rPr>
          <w:rFonts w:ascii="Arial" w:eastAsia="Arial" w:hAnsi="Arial" w:cs="Arial"/>
          <w:sz w:val="22"/>
          <w:szCs w:val="22"/>
        </w:rPr>
        <w:t>s</w:t>
      </w:r>
      <w:r w:rsidRPr="0046695E">
        <w:rPr>
          <w:rFonts w:ascii="Arial" w:eastAsia="Arial" w:hAnsi="Arial" w:cs="Arial"/>
          <w:sz w:val="22"/>
          <w:szCs w:val="22"/>
        </w:rPr>
        <w:t xml:space="preserve"> </w:t>
      </w:r>
      <w:proofErr w:type="spellStart"/>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gnis</w:t>
      </w:r>
      <w:r w:rsidRPr="00BD17CA">
        <w:rPr>
          <w:rFonts w:ascii="Arial" w:eastAsia="Arial" w:hAnsi="Arial" w:cs="Arial"/>
          <w:sz w:val="22"/>
          <w:szCs w:val="22"/>
        </w:rPr>
        <w:t>ed</w:t>
      </w:r>
      <w:proofErr w:type="spellEnd"/>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 a</w:t>
      </w:r>
      <w:r w:rsidRPr="0046695E">
        <w:rPr>
          <w:rFonts w:ascii="Arial" w:eastAsia="Arial" w:hAnsi="Arial" w:cs="Arial"/>
          <w:sz w:val="22"/>
          <w:szCs w:val="22"/>
        </w:rPr>
        <w:t>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 xml:space="preserve"> i</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ccr</w:t>
      </w:r>
      <w:r w:rsidRPr="00BD17CA">
        <w:rPr>
          <w:rFonts w:ascii="Arial" w:eastAsia="Arial" w:hAnsi="Arial" w:cs="Arial"/>
          <w:sz w:val="22"/>
          <w:szCs w:val="22"/>
        </w:rPr>
        <w:t>u</w:t>
      </w:r>
      <w:r w:rsidRPr="0046695E">
        <w:rPr>
          <w:rFonts w:ascii="Arial" w:eastAsia="Arial" w:hAnsi="Arial" w:cs="Arial"/>
          <w:sz w:val="22"/>
          <w:szCs w:val="22"/>
        </w:rPr>
        <w:t>es</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u</w:t>
      </w:r>
      <w:r w:rsidRPr="0046695E">
        <w:rPr>
          <w:rFonts w:ascii="Arial" w:eastAsia="Arial" w:hAnsi="Arial" w:cs="Arial"/>
          <w:sz w:val="22"/>
          <w:szCs w:val="22"/>
        </w:rPr>
        <w:t>si</w:t>
      </w:r>
      <w:r w:rsidRPr="00BD17CA">
        <w:rPr>
          <w:rFonts w:ascii="Arial" w:eastAsia="Arial" w:hAnsi="Arial" w:cs="Arial"/>
          <w:sz w:val="22"/>
          <w:szCs w:val="22"/>
        </w:rPr>
        <w:t>ng</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e</w:t>
      </w:r>
      <w:r w:rsidRPr="0046695E">
        <w:rPr>
          <w:rFonts w:ascii="Arial" w:eastAsia="Arial" w:hAnsi="Arial" w:cs="Arial"/>
          <w:sz w:val="22"/>
          <w:szCs w:val="22"/>
        </w:rPr>
        <w:t>ff</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t</w:t>
      </w:r>
      <w:r w:rsidRPr="0046695E">
        <w:rPr>
          <w:rFonts w:ascii="Arial" w:eastAsia="Arial" w:hAnsi="Arial" w:cs="Arial"/>
          <w:sz w:val="22"/>
          <w:szCs w:val="22"/>
        </w:rPr>
        <w:t>iv</w:t>
      </w:r>
      <w:r w:rsidRPr="00BD17CA">
        <w:rPr>
          <w:rFonts w:ascii="Arial" w:eastAsia="Arial" w:hAnsi="Arial" w:cs="Arial"/>
          <w:sz w:val="22"/>
          <w:szCs w:val="22"/>
        </w:rPr>
        <w:t>e</w:t>
      </w:r>
      <w:r w:rsidRPr="0046695E">
        <w:rPr>
          <w:rFonts w:ascii="Arial" w:eastAsia="Arial" w:hAnsi="Arial" w:cs="Arial"/>
          <w:sz w:val="22"/>
          <w:szCs w:val="22"/>
        </w:rPr>
        <w:t xml:space="preserve"> i</w:t>
      </w:r>
      <w:r w:rsidRPr="00BD17CA">
        <w:rPr>
          <w:rFonts w:ascii="Arial" w:eastAsia="Arial" w:hAnsi="Arial" w:cs="Arial"/>
          <w:sz w:val="22"/>
          <w:szCs w:val="22"/>
        </w:rPr>
        <w:t>nt</w:t>
      </w:r>
      <w:r w:rsidRPr="0046695E">
        <w:rPr>
          <w:rFonts w:ascii="Arial" w:eastAsia="Arial" w:hAnsi="Arial" w:cs="Arial"/>
          <w:sz w:val="22"/>
          <w:szCs w:val="22"/>
        </w:rPr>
        <w:t>er</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 xml:space="preserve"> r</w:t>
      </w:r>
      <w:r w:rsidRPr="00BD17CA">
        <w:rPr>
          <w:rFonts w:ascii="Arial" w:eastAsia="Arial" w:hAnsi="Arial" w:cs="Arial"/>
          <w:sz w:val="22"/>
          <w:szCs w:val="22"/>
        </w:rPr>
        <w:t>ate of</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fin</w:t>
      </w:r>
      <w:r w:rsidRPr="00BD17CA">
        <w:rPr>
          <w:rFonts w:ascii="Arial" w:eastAsia="Arial" w:hAnsi="Arial" w:cs="Arial"/>
          <w:sz w:val="22"/>
          <w:szCs w:val="22"/>
        </w:rPr>
        <w:t>a</w:t>
      </w:r>
      <w:r w:rsidRPr="0046695E">
        <w:rPr>
          <w:rFonts w:ascii="Arial" w:eastAsia="Arial" w:hAnsi="Arial" w:cs="Arial"/>
          <w:sz w:val="22"/>
          <w:szCs w:val="22"/>
        </w:rPr>
        <w:t>nci</w:t>
      </w:r>
      <w:r w:rsidRPr="00BD17CA">
        <w:rPr>
          <w:rFonts w:ascii="Arial" w:eastAsia="Arial" w:hAnsi="Arial" w:cs="Arial"/>
          <w:sz w:val="22"/>
          <w:szCs w:val="22"/>
        </w:rPr>
        <w:t xml:space="preserve">al </w:t>
      </w:r>
      <w:r w:rsidRPr="0046695E">
        <w:rPr>
          <w:rFonts w:ascii="Arial" w:eastAsia="Arial" w:hAnsi="Arial" w:cs="Arial"/>
          <w:sz w:val="22"/>
          <w:szCs w:val="22"/>
        </w:rPr>
        <w:t>i</w:t>
      </w:r>
      <w:r w:rsidRPr="00BD17CA">
        <w:rPr>
          <w:rFonts w:ascii="Arial" w:eastAsia="Arial" w:hAnsi="Arial" w:cs="Arial"/>
          <w:sz w:val="22"/>
          <w:szCs w:val="22"/>
        </w:rPr>
        <w:t>n</w:t>
      </w:r>
      <w:r w:rsidRPr="0046695E">
        <w:rPr>
          <w:rFonts w:ascii="Arial" w:eastAsia="Arial" w:hAnsi="Arial" w:cs="Arial"/>
          <w:sz w:val="22"/>
          <w:szCs w:val="22"/>
        </w:rPr>
        <w:t>s</w:t>
      </w:r>
      <w:r w:rsidRPr="00BD17CA">
        <w:rPr>
          <w:rFonts w:ascii="Arial" w:eastAsia="Arial" w:hAnsi="Arial" w:cs="Arial"/>
          <w:sz w:val="22"/>
          <w:szCs w:val="22"/>
        </w:rPr>
        <w:t>tru</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a</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d</w:t>
      </w:r>
      <w:r w:rsidRPr="00BD17CA">
        <w:rPr>
          <w:rFonts w:ascii="Arial" w:eastAsia="Arial" w:hAnsi="Arial" w:cs="Arial"/>
          <w:sz w:val="22"/>
          <w:szCs w:val="22"/>
        </w:rPr>
        <w:t>ate</w:t>
      </w:r>
      <w:r w:rsidRPr="0046695E">
        <w:rPr>
          <w:rFonts w:ascii="Arial" w:eastAsia="Arial" w:hAnsi="Arial" w:cs="Arial"/>
          <w:sz w:val="22"/>
          <w:szCs w:val="22"/>
        </w:rPr>
        <w:t xml:space="preserve"> </w:t>
      </w:r>
      <w:r w:rsidRPr="00BD17CA">
        <w:rPr>
          <w:rFonts w:ascii="Arial" w:eastAsia="Arial" w:hAnsi="Arial" w:cs="Arial"/>
          <w:sz w:val="22"/>
          <w:szCs w:val="22"/>
        </w:rPr>
        <w:t xml:space="preserve">of </w:t>
      </w:r>
      <w:r w:rsidRPr="0046695E">
        <w:rPr>
          <w:rFonts w:ascii="Arial" w:eastAsia="Arial" w:hAnsi="Arial" w:cs="Arial"/>
          <w:sz w:val="22"/>
          <w:szCs w:val="22"/>
        </w:rPr>
        <w:t>ac</w:t>
      </w:r>
      <w:r w:rsidRPr="00BD17CA">
        <w:rPr>
          <w:rFonts w:ascii="Arial" w:eastAsia="Arial" w:hAnsi="Arial" w:cs="Arial"/>
          <w:sz w:val="22"/>
          <w:szCs w:val="22"/>
        </w:rPr>
        <w:t>q</w:t>
      </w:r>
      <w:r w:rsidRPr="0046695E">
        <w:rPr>
          <w:rFonts w:ascii="Arial" w:eastAsia="Arial" w:hAnsi="Arial" w:cs="Arial"/>
          <w:sz w:val="22"/>
          <w:szCs w:val="22"/>
        </w:rPr>
        <w:t>uisi</w:t>
      </w:r>
      <w:r w:rsidRPr="00BD17CA">
        <w:rPr>
          <w:rFonts w:ascii="Arial" w:eastAsia="Arial" w:hAnsi="Arial" w:cs="Arial"/>
          <w:sz w:val="22"/>
          <w:szCs w:val="22"/>
        </w:rPr>
        <w:t>t</w:t>
      </w:r>
      <w:r w:rsidRPr="0046695E">
        <w:rPr>
          <w:rFonts w:ascii="Arial" w:eastAsia="Arial" w:hAnsi="Arial" w:cs="Arial"/>
          <w:sz w:val="22"/>
          <w:szCs w:val="22"/>
        </w:rPr>
        <w:t>io</w:t>
      </w:r>
      <w:r w:rsidRPr="00BD17CA">
        <w:rPr>
          <w:rFonts w:ascii="Arial" w:eastAsia="Arial" w:hAnsi="Arial" w:cs="Arial"/>
          <w:sz w:val="22"/>
          <w:szCs w:val="22"/>
        </w:rPr>
        <w:t>n</w:t>
      </w:r>
      <w:r w:rsidRPr="0046695E">
        <w:rPr>
          <w:rFonts w:ascii="Arial" w:eastAsia="Arial" w:hAnsi="Arial" w:cs="Arial"/>
          <w:sz w:val="22"/>
          <w:szCs w:val="22"/>
        </w:rPr>
        <w:t xml:space="preserve"> o</w:t>
      </w:r>
      <w:r w:rsidRPr="00BD17CA">
        <w:rPr>
          <w:rFonts w:ascii="Arial" w:eastAsia="Arial" w:hAnsi="Arial" w:cs="Arial"/>
          <w:sz w:val="22"/>
          <w:szCs w:val="22"/>
        </w:rPr>
        <w:t>r</w:t>
      </w:r>
      <w:r w:rsidRPr="0046695E">
        <w:rPr>
          <w:rFonts w:ascii="Arial" w:eastAsia="Arial" w:hAnsi="Arial" w:cs="Arial"/>
          <w:sz w:val="22"/>
          <w:szCs w:val="22"/>
        </w:rPr>
        <w:t xml:space="preserve"> </w:t>
      </w:r>
      <w:r w:rsidRPr="00BD17CA">
        <w:rPr>
          <w:rFonts w:ascii="Arial" w:eastAsia="Arial" w:hAnsi="Arial" w:cs="Arial"/>
          <w:sz w:val="22"/>
          <w:szCs w:val="22"/>
        </w:rPr>
        <w:t>ori</w:t>
      </w:r>
      <w:r w:rsidRPr="0046695E">
        <w:rPr>
          <w:rFonts w:ascii="Arial" w:eastAsia="Arial" w:hAnsi="Arial" w:cs="Arial"/>
          <w:sz w:val="22"/>
          <w:szCs w:val="22"/>
        </w:rPr>
        <w:t>gi</w:t>
      </w:r>
      <w:r w:rsidRPr="00BD17CA">
        <w:rPr>
          <w:rFonts w:ascii="Arial" w:eastAsia="Arial" w:hAnsi="Arial" w:cs="Arial"/>
          <w:sz w:val="22"/>
          <w:szCs w:val="22"/>
        </w:rPr>
        <w:t>n</w:t>
      </w:r>
      <w:r w:rsidRPr="0046695E">
        <w:rPr>
          <w:rFonts w:ascii="Arial" w:eastAsia="Arial" w:hAnsi="Arial" w:cs="Arial"/>
          <w:sz w:val="22"/>
          <w:szCs w:val="22"/>
        </w:rPr>
        <w:t>a</w:t>
      </w:r>
      <w:r w:rsidRPr="00BD17CA">
        <w:rPr>
          <w:rFonts w:ascii="Arial" w:eastAsia="Arial" w:hAnsi="Arial" w:cs="Arial"/>
          <w:sz w:val="22"/>
          <w:szCs w:val="22"/>
        </w:rPr>
        <w:t>t</w:t>
      </w:r>
      <w:r w:rsidRPr="0046695E">
        <w:rPr>
          <w:rFonts w:ascii="Arial" w:eastAsia="Arial" w:hAnsi="Arial" w:cs="Arial"/>
          <w:sz w:val="22"/>
          <w:szCs w:val="22"/>
        </w:rPr>
        <w:t>ion</w:t>
      </w:r>
      <w:r w:rsidRPr="00BD17CA">
        <w:rPr>
          <w:rFonts w:ascii="Arial" w:eastAsia="Arial" w:hAnsi="Arial" w:cs="Arial"/>
          <w:sz w:val="22"/>
          <w:szCs w:val="22"/>
        </w:rPr>
        <w:t>.</w:t>
      </w:r>
    </w:p>
    <w:p w14:paraId="42E0062C" w14:textId="77777777" w:rsidR="009C7422" w:rsidRPr="00BD17CA"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(ii</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ivi</w:t>
      </w:r>
      <w:r w:rsidRPr="00BD17CA">
        <w:rPr>
          <w:rFonts w:ascii="Arial" w:eastAsia="Arial" w:hAnsi="Arial" w:cs="Arial"/>
          <w:sz w:val="22"/>
          <w:szCs w:val="22"/>
        </w:rPr>
        <w:t>d</w:t>
      </w:r>
      <w:r w:rsidRPr="0046695E">
        <w:rPr>
          <w:rFonts w:ascii="Arial" w:eastAsia="Arial" w:hAnsi="Arial" w:cs="Arial"/>
          <w:sz w:val="22"/>
          <w:szCs w:val="22"/>
        </w:rPr>
        <w:t>e</w:t>
      </w:r>
      <w:r w:rsidRPr="00BD17CA">
        <w:rPr>
          <w:rFonts w:ascii="Arial" w:eastAsia="Arial" w:hAnsi="Arial" w:cs="Arial"/>
          <w:sz w:val="22"/>
          <w:szCs w:val="22"/>
        </w:rPr>
        <w:t>nd</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m</w:t>
      </w:r>
      <w:r w:rsidRPr="00BD17CA">
        <w:rPr>
          <w:rFonts w:ascii="Arial" w:eastAsia="Arial" w:hAnsi="Arial" w:cs="Arial"/>
          <w:sz w:val="22"/>
          <w:szCs w:val="22"/>
        </w:rPr>
        <w:t>e</w:t>
      </w:r>
    </w:p>
    <w:p w14:paraId="35BC8329" w14:textId="77777777" w:rsidR="009C7422" w:rsidRPr="00BD17CA" w:rsidRDefault="001706EB" w:rsidP="0046695E">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D</w:t>
      </w:r>
      <w:r w:rsidRPr="0046695E">
        <w:rPr>
          <w:rFonts w:ascii="Arial" w:eastAsia="Arial" w:hAnsi="Arial" w:cs="Arial"/>
          <w:sz w:val="22"/>
          <w:szCs w:val="22"/>
        </w:rPr>
        <w:t>ivid</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 xml:space="preserve"> i</w:t>
      </w:r>
      <w:r w:rsidRPr="00BD17CA">
        <w:rPr>
          <w:rFonts w:ascii="Arial" w:eastAsia="Arial" w:hAnsi="Arial" w:cs="Arial"/>
          <w:sz w:val="22"/>
          <w:szCs w:val="22"/>
        </w:rPr>
        <w:t xml:space="preserve">s </w:t>
      </w:r>
      <w:proofErr w:type="spellStart"/>
      <w:r w:rsidRPr="00BD17CA">
        <w:rPr>
          <w:rFonts w:ascii="Arial" w:eastAsia="Arial" w:hAnsi="Arial" w:cs="Arial"/>
          <w:sz w:val="22"/>
          <w:szCs w:val="22"/>
        </w:rPr>
        <w:t>re</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g</w:t>
      </w:r>
      <w:r w:rsidRPr="00BD17CA">
        <w:rPr>
          <w:rFonts w:ascii="Arial" w:eastAsia="Arial" w:hAnsi="Arial" w:cs="Arial"/>
          <w:sz w:val="22"/>
          <w:szCs w:val="22"/>
        </w:rPr>
        <w:t>n</w:t>
      </w:r>
      <w:r w:rsidRPr="0046695E">
        <w:rPr>
          <w:rFonts w:ascii="Arial" w:eastAsia="Arial" w:hAnsi="Arial" w:cs="Arial"/>
          <w:sz w:val="22"/>
          <w:szCs w:val="22"/>
        </w:rPr>
        <w:t>is</w:t>
      </w:r>
      <w:r w:rsidRPr="00BD17CA">
        <w:rPr>
          <w:rFonts w:ascii="Arial" w:eastAsia="Arial" w:hAnsi="Arial" w:cs="Arial"/>
          <w:sz w:val="22"/>
          <w:szCs w:val="22"/>
        </w:rPr>
        <w:t>ed</w:t>
      </w:r>
      <w:proofErr w:type="spellEnd"/>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a</w:t>
      </w:r>
      <w:r w:rsidRPr="00BD17CA">
        <w:rPr>
          <w:rFonts w:ascii="Arial" w:eastAsia="Arial" w:hAnsi="Arial" w:cs="Arial"/>
          <w:sz w:val="22"/>
          <w:szCs w:val="22"/>
        </w:rPr>
        <w:t>te</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s</w:t>
      </w:r>
      <w:r w:rsidRPr="00BD17CA">
        <w:rPr>
          <w:rFonts w:ascii="Arial" w:eastAsia="Arial" w:hAnsi="Arial" w:cs="Arial"/>
          <w:sz w:val="22"/>
          <w:szCs w:val="22"/>
        </w:rPr>
        <w:t>h</w:t>
      </w:r>
      <w:r w:rsidRPr="0046695E">
        <w:rPr>
          <w:rFonts w:ascii="Arial" w:eastAsia="Arial" w:hAnsi="Arial" w:cs="Arial"/>
          <w:sz w:val="22"/>
          <w:szCs w:val="22"/>
        </w:rPr>
        <w:t>ar</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w:t>
      </w:r>
      <w:r w:rsidRPr="00BD17CA">
        <w:rPr>
          <w:rFonts w:ascii="Arial" w:eastAsia="Arial" w:hAnsi="Arial" w:cs="Arial"/>
          <w:sz w:val="22"/>
          <w:szCs w:val="22"/>
        </w:rPr>
        <w:t>q</w:t>
      </w:r>
      <w:r w:rsidRPr="0046695E">
        <w:rPr>
          <w:rFonts w:ascii="Arial" w:eastAsia="Arial" w:hAnsi="Arial" w:cs="Arial"/>
          <w:sz w:val="22"/>
          <w:szCs w:val="22"/>
        </w:rPr>
        <w:t>u</w:t>
      </w:r>
      <w:r w:rsidRPr="00BD17CA">
        <w:rPr>
          <w:rFonts w:ascii="Arial" w:eastAsia="Arial" w:hAnsi="Arial" w:cs="Arial"/>
          <w:sz w:val="22"/>
          <w:szCs w:val="22"/>
        </w:rPr>
        <w:t>o</w:t>
      </w:r>
      <w:r w:rsidRPr="0046695E">
        <w:rPr>
          <w:rFonts w:ascii="Arial" w:eastAsia="Arial" w:hAnsi="Arial" w:cs="Arial"/>
          <w:sz w:val="22"/>
          <w:szCs w:val="22"/>
        </w:rPr>
        <w:t>t</w:t>
      </w:r>
      <w:r w:rsidRPr="00BD17CA">
        <w:rPr>
          <w:rFonts w:ascii="Arial" w:eastAsia="Arial" w:hAnsi="Arial" w:cs="Arial"/>
          <w:sz w:val="22"/>
          <w:szCs w:val="22"/>
        </w:rPr>
        <w:t>ed</w:t>
      </w:r>
      <w:r w:rsidRPr="0046695E">
        <w:rPr>
          <w:rFonts w:ascii="Arial" w:eastAsia="Arial" w:hAnsi="Arial" w:cs="Arial"/>
          <w:sz w:val="22"/>
          <w:szCs w:val="22"/>
        </w:rPr>
        <w:t xml:space="preserve"> </w:t>
      </w:r>
      <w:r w:rsidRPr="00BD17CA">
        <w:rPr>
          <w:rFonts w:ascii="Arial" w:eastAsia="Arial" w:hAnsi="Arial" w:cs="Arial"/>
          <w:sz w:val="22"/>
          <w:szCs w:val="22"/>
        </w:rPr>
        <w:t>e</w:t>
      </w:r>
      <w:r w:rsidRPr="0046695E">
        <w:rPr>
          <w:rFonts w:ascii="Arial" w:eastAsia="Arial" w:hAnsi="Arial" w:cs="Arial"/>
          <w:sz w:val="22"/>
          <w:szCs w:val="22"/>
        </w:rPr>
        <w:t>x-</w:t>
      </w:r>
      <w:r w:rsidRPr="00BD17CA">
        <w:rPr>
          <w:rFonts w:ascii="Arial" w:eastAsia="Arial" w:hAnsi="Arial" w:cs="Arial"/>
          <w:sz w:val="22"/>
          <w:szCs w:val="22"/>
        </w:rPr>
        <w:t>d</w:t>
      </w:r>
      <w:r w:rsidRPr="0046695E">
        <w:rPr>
          <w:rFonts w:ascii="Arial" w:eastAsia="Arial" w:hAnsi="Arial" w:cs="Arial"/>
          <w:sz w:val="22"/>
          <w:szCs w:val="22"/>
        </w:rPr>
        <w:t>ivi</w:t>
      </w:r>
      <w:r w:rsidRPr="00BD17CA">
        <w:rPr>
          <w:rFonts w:ascii="Arial" w:eastAsia="Arial" w:hAnsi="Arial" w:cs="Arial"/>
          <w:sz w:val="22"/>
          <w:szCs w:val="22"/>
        </w:rPr>
        <w:t>d</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d</w:t>
      </w:r>
      <w:r w:rsidRPr="00BD17CA">
        <w:rPr>
          <w:rFonts w:ascii="Arial" w:eastAsia="Arial" w:hAnsi="Arial" w:cs="Arial"/>
          <w:sz w:val="22"/>
          <w:szCs w:val="22"/>
        </w:rPr>
        <w:t>.</w:t>
      </w:r>
      <w:r w:rsidRPr="0046695E">
        <w:rPr>
          <w:rFonts w:ascii="Arial" w:eastAsia="Arial" w:hAnsi="Arial" w:cs="Arial"/>
          <w:sz w:val="22"/>
          <w:szCs w:val="22"/>
        </w:rPr>
        <w:t xml:space="preserve"> An</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m</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w:t>
      </w:r>
      <w:r w:rsidRPr="0046695E">
        <w:rPr>
          <w:rFonts w:ascii="Arial" w:eastAsia="Arial" w:hAnsi="Arial" w:cs="Arial"/>
          <w:sz w:val="22"/>
          <w:szCs w:val="22"/>
        </w:rPr>
        <w:t xml:space="preserve"> n</w:t>
      </w:r>
      <w:r w:rsidRPr="00BD17CA">
        <w:rPr>
          <w:rFonts w:ascii="Arial" w:eastAsia="Arial" w:hAnsi="Arial" w:cs="Arial"/>
          <w:sz w:val="22"/>
          <w:szCs w:val="22"/>
        </w:rPr>
        <w:t>ot</w:t>
      </w:r>
      <w:r w:rsidRPr="0046695E">
        <w:rPr>
          <w:rFonts w:ascii="Arial" w:eastAsia="Arial" w:hAnsi="Arial" w:cs="Arial"/>
          <w:sz w:val="22"/>
          <w:szCs w:val="22"/>
        </w:rPr>
        <w:t xml:space="preserve"> 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e</w:t>
      </w:r>
      <w:r w:rsidRPr="0046695E">
        <w:rPr>
          <w:rFonts w:ascii="Arial" w:eastAsia="Arial" w:hAnsi="Arial" w:cs="Arial"/>
          <w:sz w:val="22"/>
          <w:szCs w:val="22"/>
        </w:rPr>
        <w:t>ive</w:t>
      </w:r>
      <w:r w:rsidRPr="00BD17CA">
        <w:rPr>
          <w:rFonts w:ascii="Arial" w:eastAsia="Arial" w:hAnsi="Arial" w:cs="Arial"/>
          <w:sz w:val="22"/>
          <w:szCs w:val="22"/>
        </w:rPr>
        <w:t>d</w:t>
      </w:r>
      <w:r w:rsidRPr="0046695E">
        <w:rPr>
          <w:rFonts w:ascii="Arial" w:eastAsia="Arial" w:hAnsi="Arial" w:cs="Arial"/>
          <w:sz w:val="22"/>
          <w:szCs w:val="22"/>
        </w:rPr>
        <w:t xml:space="preserve"> a</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 e</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of 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re</w:t>
      </w:r>
      <w:r w:rsidRPr="0046695E">
        <w:rPr>
          <w:rFonts w:ascii="Arial" w:eastAsia="Arial" w:hAnsi="Arial" w:cs="Arial"/>
          <w:sz w:val="22"/>
          <w:szCs w:val="22"/>
        </w:rPr>
        <w:t>p</w:t>
      </w:r>
      <w:r w:rsidRPr="00BD17CA">
        <w:rPr>
          <w:rFonts w:ascii="Arial" w:eastAsia="Arial" w:hAnsi="Arial" w:cs="Arial"/>
          <w:sz w:val="22"/>
          <w:szCs w:val="22"/>
        </w:rPr>
        <w:t>ort</w:t>
      </w:r>
      <w:r w:rsidRPr="0046695E">
        <w:rPr>
          <w:rFonts w:ascii="Arial" w:eastAsia="Arial" w:hAnsi="Arial" w:cs="Arial"/>
          <w:sz w:val="22"/>
          <w:szCs w:val="22"/>
        </w:rPr>
        <w:t>in</w:t>
      </w:r>
      <w:r w:rsidRPr="00BD17CA">
        <w:rPr>
          <w:rFonts w:ascii="Arial" w:eastAsia="Arial" w:hAnsi="Arial" w:cs="Arial"/>
          <w:sz w:val="22"/>
          <w:szCs w:val="22"/>
        </w:rPr>
        <w:t>g</w:t>
      </w:r>
      <w:r w:rsidRPr="0046695E">
        <w:rPr>
          <w:rFonts w:ascii="Arial" w:eastAsia="Arial" w:hAnsi="Arial" w:cs="Arial"/>
          <w:sz w:val="22"/>
          <w:szCs w:val="22"/>
        </w:rPr>
        <w:t xml:space="preserve"> p</w:t>
      </w:r>
      <w:r w:rsidRPr="00BD17CA">
        <w:rPr>
          <w:rFonts w:ascii="Arial" w:eastAsia="Arial" w:hAnsi="Arial" w:cs="Arial"/>
          <w:sz w:val="22"/>
          <w:szCs w:val="22"/>
        </w:rPr>
        <w:t>eri</w:t>
      </w:r>
      <w:r w:rsidRPr="0046695E">
        <w:rPr>
          <w:rFonts w:ascii="Arial" w:eastAsia="Arial" w:hAnsi="Arial" w:cs="Arial"/>
          <w:sz w:val="22"/>
          <w:szCs w:val="22"/>
        </w:rPr>
        <w:t>o</w:t>
      </w:r>
      <w:r w:rsidRPr="00BD17CA">
        <w:rPr>
          <w:rFonts w:ascii="Arial" w:eastAsia="Arial" w:hAnsi="Arial" w:cs="Arial"/>
          <w:sz w:val="22"/>
          <w:szCs w:val="22"/>
        </w:rPr>
        <w:t>d</w:t>
      </w:r>
      <w:r w:rsidRPr="0046695E">
        <w:rPr>
          <w:rFonts w:ascii="Arial" w:eastAsia="Arial" w:hAnsi="Arial" w:cs="Arial"/>
          <w:sz w:val="22"/>
          <w:szCs w:val="22"/>
        </w:rPr>
        <w:t xml:space="preserve"> i</w:t>
      </w:r>
      <w:r w:rsidRPr="00BD17CA">
        <w:rPr>
          <w:rFonts w:ascii="Arial" w:eastAsia="Arial" w:hAnsi="Arial" w:cs="Arial"/>
          <w:sz w:val="22"/>
          <w:szCs w:val="22"/>
        </w:rPr>
        <w:t>s d</w:t>
      </w:r>
      <w:r w:rsidRPr="0046695E">
        <w:rPr>
          <w:rFonts w:ascii="Arial" w:eastAsia="Arial" w:hAnsi="Arial" w:cs="Arial"/>
          <w:sz w:val="22"/>
          <w:szCs w:val="22"/>
        </w:rPr>
        <w:t>iscl</w:t>
      </w:r>
      <w:r w:rsidRPr="00BD17CA">
        <w:rPr>
          <w:rFonts w:ascii="Arial" w:eastAsia="Arial" w:hAnsi="Arial" w:cs="Arial"/>
          <w:sz w:val="22"/>
          <w:szCs w:val="22"/>
        </w:rPr>
        <w:t>o</w:t>
      </w:r>
      <w:r w:rsidRPr="0046695E">
        <w:rPr>
          <w:rFonts w:ascii="Arial" w:eastAsia="Arial" w:hAnsi="Arial" w:cs="Arial"/>
          <w:sz w:val="22"/>
          <w:szCs w:val="22"/>
        </w:rPr>
        <w:t>s</w:t>
      </w:r>
      <w:r w:rsidRPr="00BD17CA">
        <w:rPr>
          <w:rFonts w:ascii="Arial" w:eastAsia="Arial" w:hAnsi="Arial" w:cs="Arial"/>
          <w:sz w:val="22"/>
          <w:szCs w:val="22"/>
        </w:rPr>
        <w:t>ed</w:t>
      </w:r>
      <w:r w:rsidRPr="0046695E">
        <w:rPr>
          <w:rFonts w:ascii="Arial" w:eastAsia="Arial" w:hAnsi="Arial" w:cs="Arial"/>
          <w:sz w:val="22"/>
          <w:szCs w:val="22"/>
        </w:rPr>
        <w:t xml:space="preserve"> i</w:t>
      </w:r>
      <w:r w:rsidRPr="00BD17CA">
        <w:rPr>
          <w:rFonts w:ascii="Arial" w:eastAsia="Arial" w:hAnsi="Arial" w:cs="Arial"/>
          <w:sz w:val="22"/>
          <w:szCs w:val="22"/>
        </w:rPr>
        <w:t>n the</w:t>
      </w:r>
      <w:r w:rsidRPr="0046695E">
        <w:rPr>
          <w:rFonts w:ascii="Arial" w:eastAsia="Arial" w:hAnsi="Arial" w:cs="Arial"/>
          <w:sz w:val="22"/>
          <w:szCs w:val="22"/>
        </w:rPr>
        <w:t xml:space="preserve"> </w:t>
      </w:r>
      <w:r w:rsidRPr="00BD17CA">
        <w:rPr>
          <w:rFonts w:ascii="Arial" w:eastAsia="Arial" w:hAnsi="Arial" w:cs="Arial"/>
          <w:sz w:val="22"/>
          <w:szCs w:val="22"/>
        </w:rPr>
        <w:t>n</w:t>
      </w:r>
      <w:r w:rsidRPr="0046695E">
        <w:rPr>
          <w:rFonts w:ascii="Arial" w:eastAsia="Arial" w:hAnsi="Arial" w:cs="Arial"/>
          <w:sz w:val="22"/>
          <w:szCs w:val="22"/>
        </w:rPr>
        <w:t>e</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ss</w:t>
      </w:r>
      <w:r w:rsidRPr="00BD17CA">
        <w:rPr>
          <w:rFonts w:ascii="Arial" w:eastAsia="Arial" w:hAnsi="Arial" w:cs="Arial"/>
          <w:sz w:val="22"/>
          <w:szCs w:val="22"/>
        </w:rPr>
        <w:t>e</w:t>
      </w:r>
      <w:r w:rsidRPr="0046695E">
        <w:rPr>
          <w:rFonts w:ascii="Arial" w:eastAsia="Arial" w:hAnsi="Arial" w:cs="Arial"/>
          <w:sz w:val="22"/>
          <w:szCs w:val="22"/>
        </w:rPr>
        <w:t>t</w:t>
      </w:r>
      <w:r w:rsidRPr="00BD17CA">
        <w:rPr>
          <w:rFonts w:ascii="Arial" w:eastAsia="Arial" w:hAnsi="Arial" w:cs="Arial"/>
          <w:sz w:val="22"/>
          <w:szCs w:val="22"/>
        </w:rPr>
        <w:t>s</w:t>
      </w:r>
      <w:r w:rsidRPr="0046695E">
        <w:rPr>
          <w:rFonts w:ascii="Arial" w:eastAsia="Arial" w:hAnsi="Arial" w:cs="Arial"/>
          <w:sz w:val="22"/>
          <w:szCs w:val="22"/>
        </w:rPr>
        <w:t xml:space="preserve"> s</w:t>
      </w:r>
      <w:r w:rsidRPr="00BD17CA">
        <w:rPr>
          <w:rFonts w:ascii="Arial" w:eastAsia="Arial" w:hAnsi="Arial" w:cs="Arial"/>
          <w:sz w:val="22"/>
          <w:szCs w:val="22"/>
        </w:rPr>
        <w:t>ta</w:t>
      </w:r>
      <w:r w:rsidRPr="0046695E">
        <w:rPr>
          <w:rFonts w:ascii="Arial" w:eastAsia="Arial" w:hAnsi="Arial" w:cs="Arial"/>
          <w:sz w:val="22"/>
          <w:szCs w:val="22"/>
        </w:rPr>
        <w:t>t</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a</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 xml:space="preserve"> c</w:t>
      </w:r>
      <w:r w:rsidRPr="00BD17CA">
        <w:rPr>
          <w:rFonts w:ascii="Arial" w:eastAsia="Arial" w:hAnsi="Arial" w:cs="Arial"/>
          <w:sz w:val="22"/>
          <w:szCs w:val="22"/>
        </w:rPr>
        <w:t>ur</w:t>
      </w:r>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fin</w:t>
      </w:r>
      <w:r w:rsidRPr="00BD17CA">
        <w:rPr>
          <w:rFonts w:ascii="Arial" w:eastAsia="Arial" w:hAnsi="Arial" w:cs="Arial"/>
          <w:sz w:val="22"/>
          <w:szCs w:val="22"/>
        </w:rPr>
        <w:t>a</w:t>
      </w:r>
      <w:r w:rsidRPr="0046695E">
        <w:rPr>
          <w:rFonts w:ascii="Arial" w:eastAsia="Arial" w:hAnsi="Arial" w:cs="Arial"/>
          <w:sz w:val="22"/>
          <w:szCs w:val="22"/>
        </w:rPr>
        <w:t>ncia</w:t>
      </w:r>
      <w:r w:rsidRPr="00BD17CA">
        <w:rPr>
          <w:rFonts w:ascii="Arial" w:eastAsia="Arial" w:hAnsi="Arial" w:cs="Arial"/>
          <w:sz w:val="22"/>
          <w:szCs w:val="22"/>
        </w:rPr>
        <w:t>l</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s</w:t>
      </w:r>
      <w:r w:rsidRPr="00BD17CA">
        <w:rPr>
          <w:rFonts w:ascii="Arial" w:eastAsia="Arial" w:hAnsi="Arial" w:cs="Arial"/>
          <w:sz w:val="22"/>
          <w:szCs w:val="22"/>
        </w:rPr>
        <w:t>et.</w:t>
      </w:r>
    </w:p>
    <w:p w14:paraId="3836D816" w14:textId="77777777" w:rsidR="009C7422" w:rsidRPr="00BD17CA"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(iii</w:t>
      </w:r>
      <w:r w:rsidRPr="00BD17CA">
        <w:rPr>
          <w:rFonts w:ascii="Arial" w:eastAsia="Arial" w:hAnsi="Arial" w:cs="Arial"/>
          <w:sz w:val="22"/>
          <w:szCs w:val="22"/>
        </w:rPr>
        <w:t>)</w:t>
      </w:r>
      <w:r w:rsidRPr="0046695E">
        <w:rPr>
          <w:rFonts w:ascii="Arial" w:eastAsia="Arial" w:hAnsi="Arial" w:cs="Arial"/>
          <w:sz w:val="22"/>
          <w:szCs w:val="22"/>
        </w:rPr>
        <w:t xml:space="preserve"> Dis</w:t>
      </w:r>
      <w:r w:rsidRPr="00BD17CA">
        <w:rPr>
          <w:rFonts w:ascii="Arial" w:eastAsia="Arial" w:hAnsi="Arial" w:cs="Arial"/>
          <w:sz w:val="22"/>
          <w:szCs w:val="22"/>
        </w:rPr>
        <w:t>tr</w:t>
      </w:r>
      <w:r w:rsidRPr="0046695E">
        <w:rPr>
          <w:rFonts w:ascii="Arial" w:eastAsia="Arial" w:hAnsi="Arial" w:cs="Arial"/>
          <w:sz w:val="22"/>
          <w:szCs w:val="22"/>
        </w:rPr>
        <w:t>ib</w:t>
      </w:r>
      <w:r w:rsidRPr="00BD17CA">
        <w:rPr>
          <w:rFonts w:ascii="Arial" w:eastAsia="Arial" w:hAnsi="Arial" w:cs="Arial"/>
          <w:sz w:val="22"/>
          <w:szCs w:val="22"/>
        </w:rPr>
        <w:t>ut</w:t>
      </w:r>
      <w:r w:rsidRPr="0046695E">
        <w:rPr>
          <w:rFonts w:ascii="Arial" w:eastAsia="Arial" w:hAnsi="Arial" w:cs="Arial"/>
          <w:sz w:val="22"/>
          <w:szCs w:val="22"/>
        </w:rPr>
        <w:t>i</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s</w:t>
      </w:r>
      <w:r w:rsidRPr="0046695E">
        <w:rPr>
          <w:rFonts w:ascii="Arial" w:eastAsia="Arial" w:hAnsi="Arial" w:cs="Arial"/>
          <w:sz w:val="22"/>
          <w:szCs w:val="22"/>
        </w:rPr>
        <w:t xml:space="preserve"> fr</w:t>
      </w:r>
      <w:r w:rsidRPr="00BD17CA">
        <w:rPr>
          <w:rFonts w:ascii="Arial" w:eastAsia="Arial" w:hAnsi="Arial" w:cs="Arial"/>
          <w:sz w:val="22"/>
          <w:szCs w:val="22"/>
        </w:rPr>
        <w:t>om p</w:t>
      </w:r>
      <w:r w:rsidRPr="0046695E">
        <w:rPr>
          <w:rFonts w:ascii="Arial" w:eastAsia="Arial" w:hAnsi="Arial" w:cs="Arial"/>
          <w:sz w:val="22"/>
          <w:szCs w:val="22"/>
        </w:rPr>
        <w:t>o</w:t>
      </w:r>
      <w:r w:rsidRPr="00BD17CA">
        <w:rPr>
          <w:rFonts w:ascii="Arial" w:eastAsia="Arial" w:hAnsi="Arial" w:cs="Arial"/>
          <w:sz w:val="22"/>
          <w:szCs w:val="22"/>
        </w:rPr>
        <w:t>o</w:t>
      </w:r>
      <w:r w:rsidRPr="0046695E">
        <w:rPr>
          <w:rFonts w:ascii="Arial" w:eastAsia="Arial" w:hAnsi="Arial" w:cs="Arial"/>
          <w:sz w:val="22"/>
          <w:szCs w:val="22"/>
        </w:rPr>
        <w:t>le</w:t>
      </w:r>
      <w:r w:rsidRPr="00BD17CA">
        <w:rPr>
          <w:rFonts w:ascii="Arial" w:eastAsia="Arial" w:hAnsi="Arial" w:cs="Arial"/>
          <w:sz w:val="22"/>
          <w:szCs w:val="22"/>
        </w:rPr>
        <w:t>d</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ds</w:t>
      </w:r>
    </w:p>
    <w:p w14:paraId="1B2FE729" w14:textId="77777777" w:rsidR="009C7422" w:rsidRPr="00BD17CA" w:rsidRDefault="001706EB" w:rsidP="0046695E">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D</w:t>
      </w:r>
      <w:r w:rsidRPr="0046695E">
        <w:rPr>
          <w:rFonts w:ascii="Arial" w:eastAsia="Arial" w:hAnsi="Arial" w:cs="Arial"/>
          <w:sz w:val="22"/>
          <w:szCs w:val="22"/>
        </w:rPr>
        <w:t>is</w:t>
      </w:r>
      <w:r w:rsidRPr="00BD17CA">
        <w:rPr>
          <w:rFonts w:ascii="Arial" w:eastAsia="Arial" w:hAnsi="Arial" w:cs="Arial"/>
          <w:sz w:val="22"/>
          <w:szCs w:val="22"/>
        </w:rPr>
        <w:t>tr</w:t>
      </w:r>
      <w:r w:rsidRPr="0046695E">
        <w:rPr>
          <w:rFonts w:ascii="Arial" w:eastAsia="Arial" w:hAnsi="Arial" w:cs="Arial"/>
          <w:sz w:val="22"/>
          <w:szCs w:val="22"/>
        </w:rPr>
        <w:t>i</w:t>
      </w:r>
      <w:r w:rsidRPr="00BD17CA">
        <w:rPr>
          <w:rFonts w:ascii="Arial" w:eastAsia="Arial" w:hAnsi="Arial" w:cs="Arial"/>
          <w:sz w:val="22"/>
          <w:szCs w:val="22"/>
        </w:rPr>
        <w:t>b</w:t>
      </w:r>
      <w:r w:rsidRPr="0046695E">
        <w:rPr>
          <w:rFonts w:ascii="Arial" w:eastAsia="Arial" w:hAnsi="Arial" w:cs="Arial"/>
          <w:sz w:val="22"/>
          <w:szCs w:val="22"/>
        </w:rPr>
        <w:t>u</w:t>
      </w:r>
      <w:r w:rsidRPr="00BD17CA">
        <w:rPr>
          <w:rFonts w:ascii="Arial" w:eastAsia="Arial" w:hAnsi="Arial" w:cs="Arial"/>
          <w:sz w:val="22"/>
          <w:szCs w:val="22"/>
        </w:rPr>
        <w:t>t</w:t>
      </w:r>
      <w:r w:rsidRPr="0046695E">
        <w:rPr>
          <w:rFonts w:ascii="Arial" w:eastAsia="Arial" w:hAnsi="Arial" w:cs="Arial"/>
          <w:sz w:val="22"/>
          <w:szCs w:val="22"/>
        </w:rPr>
        <w:t>i</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s</w:t>
      </w:r>
      <w:r w:rsidRPr="0046695E">
        <w:rPr>
          <w:rFonts w:ascii="Arial" w:eastAsia="Arial" w:hAnsi="Arial" w:cs="Arial"/>
          <w:sz w:val="22"/>
          <w:szCs w:val="22"/>
        </w:rPr>
        <w:t xml:space="preserve"> fr</w:t>
      </w:r>
      <w:r w:rsidRPr="00BD17CA">
        <w:rPr>
          <w:rFonts w:ascii="Arial" w:eastAsia="Arial" w:hAnsi="Arial" w:cs="Arial"/>
          <w:sz w:val="22"/>
          <w:szCs w:val="22"/>
        </w:rPr>
        <w:t>om</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o</w:t>
      </w:r>
      <w:r w:rsidRPr="00BD17CA">
        <w:rPr>
          <w:rFonts w:ascii="Arial" w:eastAsia="Arial" w:hAnsi="Arial" w:cs="Arial"/>
          <w:sz w:val="22"/>
          <w:szCs w:val="22"/>
        </w:rPr>
        <w:t>o</w:t>
      </w:r>
      <w:r w:rsidRPr="0046695E">
        <w:rPr>
          <w:rFonts w:ascii="Arial" w:eastAsia="Arial" w:hAnsi="Arial" w:cs="Arial"/>
          <w:sz w:val="22"/>
          <w:szCs w:val="22"/>
        </w:rPr>
        <w:t>l</w:t>
      </w:r>
      <w:r w:rsidRPr="00BD17CA">
        <w:rPr>
          <w:rFonts w:ascii="Arial" w:eastAsia="Arial" w:hAnsi="Arial" w:cs="Arial"/>
          <w:sz w:val="22"/>
          <w:szCs w:val="22"/>
        </w:rPr>
        <w:t>ed</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ds</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 xml:space="preserve"> </w:t>
      </w:r>
      <w:proofErr w:type="spellStart"/>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g</w:t>
      </w:r>
      <w:r w:rsidRPr="00BD17CA">
        <w:rPr>
          <w:rFonts w:ascii="Arial" w:eastAsia="Arial" w:hAnsi="Arial" w:cs="Arial"/>
          <w:sz w:val="22"/>
          <w:szCs w:val="22"/>
        </w:rPr>
        <w:t>n</w:t>
      </w:r>
      <w:r w:rsidRPr="0046695E">
        <w:rPr>
          <w:rFonts w:ascii="Arial" w:eastAsia="Arial" w:hAnsi="Arial" w:cs="Arial"/>
          <w:sz w:val="22"/>
          <w:szCs w:val="22"/>
        </w:rPr>
        <w:t>ise</w:t>
      </w:r>
      <w:r w:rsidRPr="00BD17CA">
        <w:rPr>
          <w:rFonts w:ascii="Arial" w:eastAsia="Arial" w:hAnsi="Arial" w:cs="Arial"/>
          <w:sz w:val="22"/>
          <w:szCs w:val="22"/>
        </w:rPr>
        <w:t>d</w:t>
      </w:r>
      <w:proofErr w:type="spellEnd"/>
      <w:r w:rsidRPr="0046695E">
        <w:rPr>
          <w:rFonts w:ascii="Arial" w:eastAsia="Arial" w:hAnsi="Arial" w:cs="Arial"/>
          <w:sz w:val="22"/>
          <w:szCs w:val="22"/>
        </w:rPr>
        <w:t xml:space="preserve"> a</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at</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iss</w:t>
      </w:r>
      <w:r w:rsidRPr="00BD17CA">
        <w:rPr>
          <w:rFonts w:ascii="Arial" w:eastAsia="Arial" w:hAnsi="Arial" w:cs="Arial"/>
          <w:sz w:val="22"/>
          <w:szCs w:val="22"/>
        </w:rPr>
        <w:t>u</w:t>
      </w:r>
      <w:r w:rsidRPr="0046695E">
        <w:rPr>
          <w:rFonts w:ascii="Arial" w:eastAsia="Arial" w:hAnsi="Arial" w:cs="Arial"/>
          <w:sz w:val="22"/>
          <w:szCs w:val="22"/>
        </w:rPr>
        <w:t>e</w:t>
      </w:r>
      <w:r w:rsidRPr="00BD17CA">
        <w:rPr>
          <w:rFonts w:ascii="Arial" w:eastAsia="Arial" w:hAnsi="Arial" w:cs="Arial"/>
          <w:sz w:val="22"/>
          <w:szCs w:val="22"/>
        </w:rPr>
        <w:t xml:space="preserve">. </w:t>
      </w:r>
      <w:r w:rsidRPr="0046695E">
        <w:rPr>
          <w:rFonts w:ascii="Arial" w:eastAsia="Arial" w:hAnsi="Arial" w:cs="Arial"/>
          <w:sz w:val="22"/>
          <w:szCs w:val="22"/>
        </w:rPr>
        <w:t xml:space="preserve"> An</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m</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nts</w:t>
      </w:r>
      <w:r w:rsidRPr="0046695E">
        <w:rPr>
          <w:rFonts w:ascii="Arial" w:eastAsia="Arial" w:hAnsi="Arial" w:cs="Arial"/>
          <w:sz w:val="22"/>
          <w:szCs w:val="22"/>
        </w:rPr>
        <w:t xml:space="preserve"> </w:t>
      </w:r>
      <w:r w:rsidRPr="00BD17CA">
        <w:rPr>
          <w:rFonts w:ascii="Arial" w:eastAsia="Arial" w:hAnsi="Arial" w:cs="Arial"/>
          <w:sz w:val="22"/>
          <w:szCs w:val="22"/>
        </w:rPr>
        <w:t>n</w:t>
      </w:r>
      <w:r w:rsidRPr="0046695E">
        <w:rPr>
          <w:rFonts w:ascii="Arial" w:eastAsia="Arial" w:hAnsi="Arial" w:cs="Arial"/>
          <w:sz w:val="22"/>
          <w:szCs w:val="22"/>
        </w:rPr>
        <w:t>o</w:t>
      </w:r>
      <w:r w:rsidRPr="00BD17CA">
        <w:rPr>
          <w:rFonts w:ascii="Arial" w:eastAsia="Arial" w:hAnsi="Arial" w:cs="Arial"/>
          <w:sz w:val="22"/>
          <w:szCs w:val="22"/>
        </w:rPr>
        <w:t>t</w:t>
      </w:r>
      <w:r w:rsidRPr="0046695E">
        <w:rPr>
          <w:rFonts w:ascii="Arial" w:eastAsia="Arial" w:hAnsi="Arial" w:cs="Arial"/>
          <w:sz w:val="22"/>
          <w:szCs w:val="22"/>
        </w:rPr>
        <w:t xml:space="preserve"> 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e</w:t>
      </w:r>
      <w:r w:rsidRPr="0046695E">
        <w:rPr>
          <w:rFonts w:ascii="Arial" w:eastAsia="Arial" w:hAnsi="Arial" w:cs="Arial"/>
          <w:sz w:val="22"/>
          <w:szCs w:val="22"/>
        </w:rPr>
        <w:t>iv</w:t>
      </w:r>
      <w:r w:rsidRPr="00BD17CA">
        <w:rPr>
          <w:rFonts w:ascii="Arial" w:eastAsia="Arial" w:hAnsi="Arial" w:cs="Arial"/>
          <w:sz w:val="22"/>
          <w:szCs w:val="22"/>
        </w:rPr>
        <w:t>ed</w:t>
      </w:r>
      <w:r w:rsidRPr="0046695E">
        <w:rPr>
          <w:rFonts w:ascii="Arial" w:eastAsia="Arial" w:hAnsi="Arial" w:cs="Arial"/>
          <w:sz w:val="22"/>
          <w:szCs w:val="22"/>
        </w:rPr>
        <w:t xml:space="preserve"> b</w:t>
      </w:r>
      <w:r w:rsidRPr="00BD17CA">
        <w:rPr>
          <w:rFonts w:ascii="Arial" w:eastAsia="Arial" w:hAnsi="Arial" w:cs="Arial"/>
          <w:sz w:val="22"/>
          <w:szCs w:val="22"/>
        </w:rPr>
        <w:t>y</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of the</w:t>
      </w:r>
      <w:r w:rsidRPr="0046695E">
        <w:rPr>
          <w:rFonts w:ascii="Arial" w:eastAsia="Arial" w:hAnsi="Arial" w:cs="Arial"/>
          <w:sz w:val="22"/>
          <w:szCs w:val="22"/>
        </w:rPr>
        <w:t xml:space="preserve"> </w:t>
      </w:r>
      <w:r w:rsidRPr="00BD17CA">
        <w:rPr>
          <w:rFonts w:ascii="Arial" w:eastAsia="Arial" w:hAnsi="Arial" w:cs="Arial"/>
          <w:sz w:val="22"/>
          <w:szCs w:val="22"/>
        </w:rPr>
        <w:t>re</w:t>
      </w:r>
      <w:r w:rsidRPr="0046695E">
        <w:rPr>
          <w:rFonts w:ascii="Arial" w:eastAsia="Arial" w:hAnsi="Arial" w:cs="Arial"/>
          <w:sz w:val="22"/>
          <w:szCs w:val="22"/>
        </w:rPr>
        <w:t>p</w:t>
      </w:r>
      <w:r w:rsidRPr="00BD17CA">
        <w:rPr>
          <w:rFonts w:ascii="Arial" w:eastAsia="Arial" w:hAnsi="Arial" w:cs="Arial"/>
          <w:sz w:val="22"/>
          <w:szCs w:val="22"/>
        </w:rPr>
        <w:t>ort</w:t>
      </w:r>
      <w:r w:rsidRPr="0046695E">
        <w:rPr>
          <w:rFonts w:ascii="Arial" w:eastAsia="Arial" w:hAnsi="Arial" w:cs="Arial"/>
          <w:sz w:val="22"/>
          <w:szCs w:val="22"/>
        </w:rPr>
        <w:t>i</w:t>
      </w:r>
      <w:r w:rsidRPr="00BD17CA">
        <w:rPr>
          <w:rFonts w:ascii="Arial" w:eastAsia="Arial" w:hAnsi="Arial" w:cs="Arial"/>
          <w:sz w:val="22"/>
          <w:szCs w:val="22"/>
        </w:rPr>
        <w:t>ng</w:t>
      </w:r>
      <w:r w:rsidRPr="0046695E">
        <w:rPr>
          <w:rFonts w:ascii="Arial" w:eastAsia="Arial" w:hAnsi="Arial" w:cs="Arial"/>
          <w:sz w:val="22"/>
          <w:szCs w:val="22"/>
        </w:rPr>
        <w:t xml:space="preserve"> p</w:t>
      </w:r>
      <w:r w:rsidRPr="00BD17CA">
        <w:rPr>
          <w:rFonts w:ascii="Arial" w:eastAsia="Arial" w:hAnsi="Arial" w:cs="Arial"/>
          <w:sz w:val="22"/>
          <w:szCs w:val="22"/>
        </w:rPr>
        <w:t>eri</w:t>
      </w:r>
      <w:r w:rsidRPr="0046695E">
        <w:rPr>
          <w:rFonts w:ascii="Arial" w:eastAsia="Arial" w:hAnsi="Arial" w:cs="Arial"/>
          <w:sz w:val="22"/>
          <w:szCs w:val="22"/>
        </w:rPr>
        <w:t>o</w:t>
      </w:r>
      <w:r w:rsidRPr="00BD17CA">
        <w:rPr>
          <w:rFonts w:ascii="Arial" w:eastAsia="Arial" w:hAnsi="Arial" w:cs="Arial"/>
          <w:sz w:val="22"/>
          <w:szCs w:val="22"/>
        </w:rPr>
        <w:t>d</w:t>
      </w:r>
      <w:r w:rsidRPr="0046695E">
        <w:rPr>
          <w:rFonts w:ascii="Arial" w:eastAsia="Arial" w:hAnsi="Arial" w:cs="Arial"/>
          <w:sz w:val="22"/>
          <w:szCs w:val="22"/>
        </w:rPr>
        <w:t xml:space="preserve"> ar</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iscl</w:t>
      </w:r>
      <w:r w:rsidRPr="00BD17CA">
        <w:rPr>
          <w:rFonts w:ascii="Arial" w:eastAsia="Arial" w:hAnsi="Arial" w:cs="Arial"/>
          <w:sz w:val="22"/>
          <w:szCs w:val="22"/>
        </w:rPr>
        <w:t>o</w:t>
      </w:r>
      <w:r w:rsidRPr="0046695E">
        <w:rPr>
          <w:rFonts w:ascii="Arial" w:eastAsia="Arial" w:hAnsi="Arial" w:cs="Arial"/>
          <w:sz w:val="22"/>
          <w:szCs w:val="22"/>
        </w:rPr>
        <w:t>s</w:t>
      </w:r>
      <w:r w:rsidRPr="00BD17CA">
        <w:rPr>
          <w:rFonts w:ascii="Arial" w:eastAsia="Arial" w:hAnsi="Arial" w:cs="Arial"/>
          <w:sz w:val="22"/>
          <w:szCs w:val="22"/>
        </w:rPr>
        <w:t>ed</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n</w:t>
      </w:r>
      <w:r w:rsidRPr="00BD17CA">
        <w:rPr>
          <w:rFonts w:ascii="Arial" w:eastAsia="Arial" w:hAnsi="Arial" w:cs="Arial"/>
          <w:sz w:val="22"/>
          <w:szCs w:val="22"/>
        </w:rPr>
        <w:t>et</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ss</w:t>
      </w:r>
      <w:r w:rsidRPr="00BD17CA">
        <w:rPr>
          <w:rFonts w:ascii="Arial" w:eastAsia="Arial" w:hAnsi="Arial" w:cs="Arial"/>
          <w:sz w:val="22"/>
          <w:szCs w:val="22"/>
        </w:rPr>
        <w:t>ets</w:t>
      </w:r>
      <w:r w:rsidRPr="0046695E">
        <w:rPr>
          <w:rFonts w:ascii="Arial" w:eastAsia="Arial" w:hAnsi="Arial" w:cs="Arial"/>
          <w:sz w:val="22"/>
          <w:szCs w:val="22"/>
        </w:rPr>
        <w:t xml:space="preserve"> s</w:t>
      </w:r>
      <w:r w:rsidRPr="00BD17CA">
        <w:rPr>
          <w:rFonts w:ascii="Arial" w:eastAsia="Arial" w:hAnsi="Arial" w:cs="Arial"/>
          <w:sz w:val="22"/>
          <w:szCs w:val="22"/>
        </w:rPr>
        <w:t>t</w:t>
      </w:r>
      <w:r w:rsidRPr="0046695E">
        <w:rPr>
          <w:rFonts w:ascii="Arial" w:eastAsia="Arial" w:hAnsi="Arial" w:cs="Arial"/>
          <w:sz w:val="22"/>
          <w:szCs w:val="22"/>
        </w:rPr>
        <w:t>a</w:t>
      </w:r>
      <w:r w:rsidRPr="00BD17CA">
        <w:rPr>
          <w:rFonts w:ascii="Arial" w:eastAsia="Arial" w:hAnsi="Arial" w:cs="Arial"/>
          <w:sz w:val="22"/>
          <w:szCs w:val="22"/>
        </w:rPr>
        <w:t>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a</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 xml:space="preserve"> c</w:t>
      </w:r>
      <w:r w:rsidRPr="00BD17CA">
        <w:rPr>
          <w:rFonts w:ascii="Arial" w:eastAsia="Arial" w:hAnsi="Arial" w:cs="Arial"/>
          <w:sz w:val="22"/>
          <w:szCs w:val="22"/>
        </w:rPr>
        <w:t>ur</w:t>
      </w:r>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fin</w:t>
      </w:r>
      <w:r w:rsidRPr="00BD17CA">
        <w:rPr>
          <w:rFonts w:ascii="Arial" w:eastAsia="Arial" w:hAnsi="Arial" w:cs="Arial"/>
          <w:sz w:val="22"/>
          <w:szCs w:val="22"/>
        </w:rPr>
        <w:t>a</w:t>
      </w:r>
      <w:r w:rsidRPr="0046695E">
        <w:rPr>
          <w:rFonts w:ascii="Arial" w:eastAsia="Arial" w:hAnsi="Arial" w:cs="Arial"/>
          <w:sz w:val="22"/>
          <w:szCs w:val="22"/>
        </w:rPr>
        <w:t>nci</w:t>
      </w:r>
      <w:r w:rsidRPr="00BD17CA">
        <w:rPr>
          <w:rFonts w:ascii="Arial" w:eastAsia="Arial" w:hAnsi="Arial" w:cs="Arial"/>
          <w:sz w:val="22"/>
          <w:szCs w:val="22"/>
        </w:rPr>
        <w:t>al</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s</w:t>
      </w:r>
      <w:r w:rsidRPr="00BD17CA">
        <w:rPr>
          <w:rFonts w:ascii="Arial" w:eastAsia="Arial" w:hAnsi="Arial" w:cs="Arial"/>
          <w:sz w:val="22"/>
          <w:szCs w:val="22"/>
        </w:rPr>
        <w:t>et.</w:t>
      </w:r>
    </w:p>
    <w:p w14:paraId="4EF984DA" w14:textId="77777777" w:rsidR="009C7422" w:rsidRPr="00BD17CA"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(iv</w:t>
      </w:r>
      <w:r w:rsidRPr="00BD17CA">
        <w:rPr>
          <w:rFonts w:ascii="Arial" w:eastAsia="Arial" w:hAnsi="Arial" w:cs="Arial"/>
          <w:sz w:val="22"/>
          <w:szCs w:val="22"/>
        </w:rPr>
        <w:t>)</w:t>
      </w:r>
      <w:r w:rsidRPr="0046695E">
        <w:rPr>
          <w:rFonts w:ascii="Arial" w:eastAsia="Arial" w:hAnsi="Arial" w:cs="Arial"/>
          <w:sz w:val="22"/>
          <w:szCs w:val="22"/>
        </w:rPr>
        <w:t xml:space="preserve"> M</w:t>
      </w:r>
      <w:r w:rsidRPr="00BD17CA">
        <w:rPr>
          <w:rFonts w:ascii="Arial" w:eastAsia="Arial" w:hAnsi="Arial" w:cs="Arial"/>
          <w:sz w:val="22"/>
          <w:szCs w:val="22"/>
        </w:rPr>
        <w:t>o</w:t>
      </w:r>
      <w:r w:rsidRPr="0046695E">
        <w:rPr>
          <w:rFonts w:ascii="Arial" w:eastAsia="Arial" w:hAnsi="Arial" w:cs="Arial"/>
          <w:sz w:val="22"/>
          <w:szCs w:val="22"/>
        </w:rPr>
        <w:t>v</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n</w:t>
      </w:r>
      <w:r w:rsidRPr="00BD17CA">
        <w:rPr>
          <w:rFonts w:ascii="Arial" w:eastAsia="Arial" w:hAnsi="Arial" w:cs="Arial"/>
          <w:sz w:val="22"/>
          <w:szCs w:val="22"/>
        </w:rPr>
        <w:t>et</w:t>
      </w:r>
      <w:r w:rsidRPr="0046695E">
        <w:rPr>
          <w:rFonts w:ascii="Arial" w:eastAsia="Arial" w:hAnsi="Arial" w:cs="Arial"/>
          <w:sz w:val="22"/>
          <w:szCs w:val="22"/>
        </w:rPr>
        <w:t xml:space="preserve"> m</w:t>
      </w:r>
      <w:r w:rsidRPr="00BD17CA">
        <w:rPr>
          <w:rFonts w:ascii="Arial" w:eastAsia="Arial" w:hAnsi="Arial" w:cs="Arial"/>
          <w:sz w:val="22"/>
          <w:szCs w:val="22"/>
        </w:rPr>
        <w:t>ar</w:t>
      </w:r>
      <w:r w:rsidRPr="0046695E">
        <w:rPr>
          <w:rFonts w:ascii="Arial" w:eastAsia="Arial" w:hAnsi="Arial" w:cs="Arial"/>
          <w:sz w:val="22"/>
          <w:szCs w:val="22"/>
        </w:rPr>
        <w:t>k</w:t>
      </w:r>
      <w:r w:rsidRPr="00BD17CA">
        <w:rPr>
          <w:rFonts w:ascii="Arial" w:eastAsia="Arial" w:hAnsi="Arial" w:cs="Arial"/>
          <w:sz w:val="22"/>
          <w:szCs w:val="22"/>
        </w:rPr>
        <w:t>et</w:t>
      </w:r>
      <w:r w:rsidRPr="0046695E">
        <w:rPr>
          <w:rFonts w:ascii="Arial" w:eastAsia="Arial" w:hAnsi="Arial" w:cs="Arial"/>
          <w:sz w:val="22"/>
          <w:szCs w:val="22"/>
        </w:rPr>
        <w:t xml:space="preserve"> v</w:t>
      </w:r>
      <w:r w:rsidRPr="00BD17CA">
        <w:rPr>
          <w:rFonts w:ascii="Arial" w:eastAsia="Arial" w:hAnsi="Arial" w:cs="Arial"/>
          <w:sz w:val="22"/>
          <w:szCs w:val="22"/>
        </w:rPr>
        <w:t>a</w:t>
      </w:r>
      <w:r w:rsidRPr="0046695E">
        <w:rPr>
          <w:rFonts w:ascii="Arial" w:eastAsia="Arial" w:hAnsi="Arial" w:cs="Arial"/>
          <w:sz w:val="22"/>
          <w:szCs w:val="22"/>
        </w:rPr>
        <w:t>lu</w:t>
      </w:r>
      <w:r w:rsidRPr="00BD17CA">
        <w:rPr>
          <w:rFonts w:ascii="Arial" w:eastAsia="Arial" w:hAnsi="Arial" w:cs="Arial"/>
          <w:sz w:val="22"/>
          <w:szCs w:val="22"/>
        </w:rPr>
        <w:t>e</w:t>
      </w:r>
      <w:r w:rsidRPr="0046695E">
        <w:rPr>
          <w:rFonts w:ascii="Arial" w:eastAsia="Arial" w:hAnsi="Arial" w:cs="Arial"/>
          <w:sz w:val="22"/>
          <w:szCs w:val="22"/>
        </w:rPr>
        <w:t xml:space="preserve"> o</w:t>
      </w:r>
      <w:r w:rsidRPr="00BD17CA">
        <w:rPr>
          <w:rFonts w:ascii="Arial" w:eastAsia="Arial" w:hAnsi="Arial" w:cs="Arial"/>
          <w:sz w:val="22"/>
          <w:szCs w:val="22"/>
        </w:rPr>
        <w:t xml:space="preserve">f </w:t>
      </w:r>
      <w:r w:rsidRPr="0046695E">
        <w:rPr>
          <w:rFonts w:ascii="Arial" w:eastAsia="Arial" w:hAnsi="Arial" w:cs="Arial"/>
          <w:sz w:val="22"/>
          <w:szCs w:val="22"/>
        </w:rPr>
        <w:t>inv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ts</w:t>
      </w:r>
    </w:p>
    <w:p w14:paraId="3EF959EF" w14:textId="1D82E369" w:rsidR="0046695E" w:rsidRDefault="001706EB" w:rsidP="00933FA8">
      <w:pPr>
        <w:spacing w:after="200" w:line="276" w:lineRule="auto"/>
        <w:ind w:right="74"/>
        <w:jc w:val="both"/>
        <w:rPr>
          <w:rFonts w:ascii="Arial" w:eastAsia="Arial" w:hAnsi="Arial" w:cs="Arial"/>
          <w:b/>
          <w:sz w:val="22"/>
          <w:szCs w:val="22"/>
        </w:rPr>
      </w:pPr>
      <w:r w:rsidRPr="00BD17CA">
        <w:rPr>
          <w:rFonts w:ascii="Arial" w:eastAsia="Arial" w:hAnsi="Arial" w:cs="Arial"/>
          <w:sz w:val="22"/>
          <w:szCs w:val="22"/>
        </w:rPr>
        <w:t>Cha</w:t>
      </w:r>
      <w:r w:rsidRPr="0046695E">
        <w:rPr>
          <w:rFonts w:ascii="Arial" w:eastAsia="Arial" w:hAnsi="Arial" w:cs="Arial"/>
          <w:sz w:val="22"/>
          <w:szCs w:val="22"/>
        </w:rPr>
        <w:t>n</w:t>
      </w:r>
      <w:r w:rsidRPr="00BD17CA">
        <w:rPr>
          <w:rFonts w:ascii="Arial" w:eastAsia="Arial" w:hAnsi="Arial" w:cs="Arial"/>
          <w:sz w:val="22"/>
          <w:szCs w:val="22"/>
        </w:rPr>
        <w:t>g</w:t>
      </w:r>
      <w:r w:rsidRPr="0046695E">
        <w:rPr>
          <w:rFonts w:ascii="Arial" w:eastAsia="Arial" w:hAnsi="Arial" w:cs="Arial"/>
          <w:sz w:val="22"/>
          <w:szCs w:val="22"/>
        </w:rPr>
        <w:t>e</w:t>
      </w:r>
      <w:r w:rsidRPr="00BD17CA">
        <w:rPr>
          <w:rFonts w:ascii="Arial" w:eastAsia="Arial" w:hAnsi="Arial" w:cs="Arial"/>
          <w:sz w:val="22"/>
          <w:szCs w:val="22"/>
        </w:rPr>
        <w:t>s</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n</w:t>
      </w:r>
      <w:r w:rsidRPr="00BD17CA">
        <w:rPr>
          <w:rFonts w:ascii="Arial" w:eastAsia="Arial" w:hAnsi="Arial" w:cs="Arial"/>
          <w:sz w:val="22"/>
          <w:szCs w:val="22"/>
        </w:rPr>
        <w:t>et</w:t>
      </w:r>
      <w:r w:rsidRPr="0046695E">
        <w:rPr>
          <w:rFonts w:ascii="Arial" w:eastAsia="Arial" w:hAnsi="Arial" w:cs="Arial"/>
          <w:sz w:val="22"/>
          <w:szCs w:val="22"/>
        </w:rPr>
        <w:t xml:space="preserve"> m</w:t>
      </w:r>
      <w:r w:rsidRPr="00BD17CA">
        <w:rPr>
          <w:rFonts w:ascii="Arial" w:eastAsia="Arial" w:hAnsi="Arial" w:cs="Arial"/>
          <w:sz w:val="22"/>
          <w:szCs w:val="22"/>
        </w:rPr>
        <w:t>a</w:t>
      </w:r>
      <w:r w:rsidRPr="0046695E">
        <w:rPr>
          <w:rFonts w:ascii="Arial" w:eastAsia="Arial" w:hAnsi="Arial" w:cs="Arial"/>
          <w:sz w:val="22"/>
          <w:szCs w:val="22"/>
        </w:rPr>
        <w:t>rk</w:t>
      </w:r>
      <w:r w:rsidRPr="00BD17CA">
        <w:rPr>
          <w:rFonts w:ascii="Arial" w:eastAsia="Arial" w:hAnsi="Arial" w:cs="Arial"/>
          <w:sz w:val="22"/>
          <w:szCs w:val="22"/>
        </w:rPr>
        <w:t>et</w:t>
      </w:r>
      <w:r w:rsidRPr="0046695E">
        <w:rPr>
          <w:rFonts w:ascii="Arial" w:eastAsia="Arial" w:hAnsi="Arial" w:cs="Arial"/>
          <w:sz w:val="22"/>
          <w:szCs w:val="22"/>
        </w:rPr>
        <w:t xml:space="preserve"> v</w:t>
      </w:r>
      <w:r w:rsidRPr="00BD17CA">
        <w:rPr>
          <w:rFonts w:ascii="Arial" w:eastAsia="Arial" w:hAnsi="Arial" w:cs="Arial"/>
          <w:sz w:val="22"/>
          <w:szCs w:val="22"/>
        </w:rPr>
        <w:t>a</w:t>
      </w:r>
      <w:r w:rsidRPr="0046695E">
        <w:rPr>
          <w:rFonts w:ascii="Arial" w:eastAsia="Arial" w:hAnsi="Arial" w:cs="Arial"/>
          <w:sz w:val="22"/>
          <w:szCs w:val="22"/>
        </w:rPr>
        <w:t>lu</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inv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ts</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cl</w:t>
      </w:r>
      <w:r w:rsidRPr="00BD17CA">
        <w:rPr>
          <w:rFonts w:ascii="Arial" w:eastAsia="Arial" w:hAnsi="Arial" w:cs="Arial"/>
          <w:sz w:val="22"/>
          <w:szCs w:val="22"/>
        </w:rPr>
        <w:t>u</w:t>
      </w:r>
      <w:r w:rsidRPr="0046695E">
        <w:rPr>
          <w:rFonts w:ascii="Arial" w:eastAsia="Arial" w:hAnsi="Arial" w:cs="Arial"/>
          <w:sz w:val="22"/>
          <w:szCs w:val="22"/>
        </w:rPr>
        <w:t>di</w:t>
      </w:r>
      <w:r w:rsidRPr="00BD17CA">
        <w:rPr>
          <w:rFonts w:ascii="Arial" w:eastAsia="Arial" w:hAnsi="Arial" w:cs="Arial"/>
          <w:sz w:val="22"/>
          <w:szCs w:val="22"/>
        </w:rPr>
        <w:t>ng</w:t>
      </w:r>
      <w:r w:rsidRPr="0046695E">
        <w:rPr>
          <w:rFonts w:ascii="Arial" w:eastAsia="Arial" w:hAnsi="Arial" w:cs="Arial"/>
          <w:sz w:val="22"/>
          <w:szCs w:val="22"/>
        </w:rPr>
        <w:t xml:space="preserve"> inv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r</w:t>
      </w:r>
      <w:r w:rsidRPr="00BD17CA">
        <w:rPr>
          <w:rFonts w:ascii="Arial" w:eastAsia="Arial" w:hAnsi="Arial" w:cs="Arial"/>
          <w:sz w:val="22"/>
          <w:szCs w:val="22"/>
        </w:rPr>
        <w:t>o</w:t>
      </w:r>
      <w:r w:rsidRPr="0046695E">
        <w:rPr>
          <w:rFonts w:ascii="Arial" w:eastAsia="Arial" w:hAnsi="Arial" w:cs="Arial"/>
          <w:sz w:val="22"/>
          <w:szCs w:val="22"/>
        </w:rPr>
        <w:t>p</w:t>
      </w:r>
      <w:r w:rsidRPr="00BD17CA">
        <w:rPr>
          <w:rFonts w:ascii="Arial" w:eastAsia="Arial" w:hAnsi="Arial" w:cs="Arial"/>
          <w:sz w:val="22"/>
          <w:szCs w:val="22"/>
        </w:rPr>
        <w:t>er</w:t>
      </w:r>
      <w:r w:rsidRPr="0046695E">
        <w:rPr>
          <w:rFonts w:ascii="Arial" w:eastAsia="Arial" w:hAnsi="Arial" w:cs="Arial"/>
          <w:sz w:val="22"/>
          <w:szCs w:val="22"/>
        </w:rPr>
        <w:t>ties</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w:t>
      </w:r>
      <w:proofErr w:type="spellStart"/>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co</w:t>
      </w:r>
      <w:r w:rsidRPr="00BD17CA">
        <w:rPr>
          <w:rFonts w:ascii="Arial" w:eastAsia="Arial" w:hAnsi="Arial" w:cs="Arial"/>
          <w:sz w:val="22"/>
          <w:szCs w:val="22"/>
        </w:rPr>
        <w:t>g</w:t>
      </w:r>
      <w:r w:rsidRPr="0046695E">
        <w:rPr>
          <w:rFonts w:ascii="Arial" w:eastAsia="Arial" w:hAnsi="Arial" w:cs="Arial"/>
          <w:sz w:val="22"/>
          <w:szCs w:val="22"/>
        </w:rPr>
        <w:t>nise</w:t>
      </w:r>
      <w:r w:rsidRPr="00BD17CA">
        <w:rPr>
          <w:rFonts w:ascii="Arial" w:eastAsia="Arial" w:hAnsi="Arial" w:cs="Arial"/>
          <w:sz w:val="22"/>
          <w:szCs w:val="22"/>
        </w:rPr>
        <w:t>d</w:t>
      </w:r>
      <w:proofErr w:type="spellEnd"/>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com</w:t>
      </w:r>
      <w:r w:rsidRPr="00BD17CA">
        <w:rPr>
          <w:rFonts w:ascii="Arial" w:eastAsia="Arial" w:hAnsi="Arial" w:cs="Arial"/>
          <w:sz w:val="22"/>
          <w:szCs w:val="22"/>
        </w:rPr>
        <w:t>e 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co</w:t>
      </w:r>
      <w:r w:rsidRPr="0046695E">
        <w:rPr>
          <w:rFonts w:ascii="Arial" w:eastAsia="Arial" w:hAnsi="Arial" w:cs="Arial"/>
          <w:sz w:val="22"/>
          <w:szCs w:val="22"/>
        </w:rPr>
        <w:t>m</w:t>
      </w:r>
      <w:r w:rsidRPr="00BD17CA">
        <w:rPr>
          <w:rFonts w:ascii="Arial" w:eastAsia="Arial" w:hAnsi="Arial" w:cs="Arial"/>
          <w:sz w:val="22"/>
          <w:szCs w:val="22"/>
        </w:rPr>
        <w:t>prise</w:t>
      </w:r>
      <w:r w:rsidRPr="0046695E">
        <w:rPr>
          <w:rFonts w:ascii="Arial" w:eastAsia="Arial" w:hAnsi="Arial" w:cs="Arial"/>
          <w:sz w:val="22"/>
          <w:szCs w:val="22"/>
        </w:rPr>
        <w:t xml:space="preserve"> al</w:t>
      </w:r>
      <w:r w:rsidRPr="00BD17CA">
        <w:rPr>
          <w:rFonts w:ascii="Arial" w:eastAsia="Arial" w:hAnsi="Arial" w:cs="Arial"/>
          <w:sz w:val="22"/>
          <w:szCs w:val="22"/>
        </w:rPr>
        <w:t>l</w:t>
      </w:r>
      <w:r w:rsidRPr="0046695E">
        <w:rPr>
          <w:rFonts w:ascii="Arial" w:eastAsia="Arial" w:hAnsi="Arial" w:cs="Arial"/>
          <w:sz w:val="22"/>
          <w:szCs w:val="22"/>
        </w:rPr>
        <w:t xml:space="preserve"> </w:t>
      </w:r>
      <w:proofErr w:type="spellStart"/>
      <w:r w:rsidRPr="00BD17CA">
        <w:rPr>
          <w:rFonts w:ascii="Arial" w:eastAsia="Arial" w:hAnsi="Arial" w:cs="Arial"/>
          <w:sz w:val="22"/>
          <w:szCs w:val="22"/>
        </w:rPr>
        <w:t>re</w:t>
      </w:r>
      <w:r w:rsidRPr="0046695E">
        <w:rPr>
          <w:rFonts w:ascii="Arial" w:eastAsia="Arial" w:hAnsi="Arial" w:cs="Arial"/>
          <w:sz w:val="22"/>
          <w:szCs w:val="22"/>
        </w:rPr>
        <w:t>alise</w:t>
      </w:r>
      <w:r w:rsidRPr="00BD17CA">
        <w:rPr>
          <w:rFonts w:ascii="Arial" w:eastAsia="Arial" w:hAnsi="Arial" w:cs="Arial"/>
          <w:sz w:val="22"/>
          <w:szCs w:val="22"/>
        </w:rPr>
        <w:t>d</w:t>
      </w:r>
      <w:proofErr w:type="spellEnd"/>
      <w:r w:rsidRPr="0046695E">
        <w:rPr>
          <w:rFonts w:ascii="Arial" w:eastAsia="Arial" w:hAnsi="Arial" w:cs="Arial"/>
          <w:sz w:val="22"/>
          <w:szCs w:val="22"/>
        </w:rPr>
        <w:t xml:space="preserve"> a</w:t>
      </w:r>
      <w:r w:rsidRPr="00BD17CA">
        <w:rPr>
          <w:rFonts w:ascii="Arial" w:eastAsia="Arial" w:hAnsi="Arial" w:cs="Arial"/>
          <w:sz w:val="22"/>
          <w:szCs w:val="22"/>
        </w:rPr>
        <w:t>nd</w:t>
      </w:r>
      <w:r w:rsidRPr="0046695E">
        <w:rPr>
          <w:rFonts w:ascii="Arial" w:eastAsia="Arial" w:hAnsi="Arial" w:cs="Arial"/>
          <w:sz w:val="22"/>
          <w:szCs w:val="22"/>
        </w:rPr>
        <w:t xml:space="preserve"> </w:t>
      </w:r>
      <w:proofErr w:type="spellStart"/>
      <w:r w:rsidRPr="0046695E">
        <w:rPr>
          <w:rFonts w:ascii="Arial" w:eastAsia="Arial" w:hAnsi="Arial" w:cs="Arial"/>
          <w:sz w:val="22"/>
          <w:szCs w:val="22"/>
        </w:rPr>
        <w:t>u</w:t>
      </w:r>
      <w:r w:rsidRPr="00BD17CA">
        <w:rPr>
          <w:rFonts w:ascii="Arial" w:eastAsia="Arial" w:hAnsi="Arial" w:cs="Arial"/>
          <w:sz w:val="22"/>
          <w:szCs w:val="22"/>
        </w:rPr>
        <w:t>nre</w:t>
      </w:r>
      <w:r w:rsidRPr="0046695E">
        <w:rPr>
          <w:rFonts w:ascii="Arial" w:eastAsia="Arial" w:hAnsi="Arial" w:cs="Arial"/>
          <w:sz w:val="22"/>
          <w:szCs w:val="22"/>
        </w:rPr>
        <w:t>alis</w:t>
      </w:r>
      <w:r w:rsidRPr="00BD17CA">
        <w:rPr>
          <w:rFonts w:ascii="Arial" w:eastAsia="Arial" w:hAnsi="Arial" w:cs="Arial"/>
          <w:sz w:val="22"/>
          <w:szCs w:val="22"/>
        </w:rPr>
        <w:t>ed</w:t>
      </w:r>
      <w:proofErr w:type="spellEnd"/>
      <w:r w:rsidRPr="0046695E">
        <w:rPr>
          <w:rFonts w:ascii="Arial" w:eastAsia="Arial" w:hAnsi="Arial" w:cs="Arial"/>
          <w:sz w:val="22"/>
          <w:szCs w:val="22"/>
        </w:rPr>
        <w:t xml:space="preserve"> </w:t>
      </w:r>
      <w:r w:rsidRPr="00BD17CA">
        <w:rPr>
          <w:rFonts w:ascii="Arial" w:eastAsia="Arial" w:hAnsi="Arial" w:cs="Arial"/>
          <w:sz w:val="22"/>
          <w:szCs w:val="22"/>
        </w:rPr>
        <w:t>pro</w:t>
      </w:r>
      <w:r w:rsidRPr="0046695E">
        <w:rPr>
          <w:rFonts w:ascii="Arial" w:eastAsia="Arial" w:hAnsi="Arial" w:cs="Arial"/>
          <w:sz w:val="22"/>
          <w:szCs w:val="22"/>
        </w:rPr>
        <w:t>fi</w:t>
      </w:r>
      <w:r w:rsidRPr="00BD17CA">
        <w:rPr>
          <w:rFonts w:ascii="Arial" w:eastAsia="Arial" w:hAnsi="Arial" w:cs="Arial"/>
          <w:sz w:val="22"/>
          <w:szCs w:val="22"/>
        </w:rPr>
        <w:t>t</w:t>
      </w:r>
      <w:r w:rsidRPr="0046695E">
        <w:rPr>
          <w:rFonts w:ascii="Arial" w:eastAsia="Arial" w:hAnsi="Arial" w:cs="Arial"/>
          <w:sz w:val="22"/>
          <w:szCs w:val="22"/>
        </w:rPr>
        <w:t>s</w:t>
      </w:r>
      <w:r w:rsidRPr="00BD17CA">
        <w:rPr>
          <w:rFonts w:ascii="Arial" w:eastAsia="Arial" w:hAnsi="Arial" w:cs="Arial"/>
          <w:sz w:val="22"/>
          <w:szCs w:val="22"/>
        </w:rPr>
        <w:t>/</w:t>
      </w:r>
      <w:r w:rsidRPr="0046695E">
        <w:rPr>
          <w:rFonts w:ascii="Arial" w:eastAsia="Arial" w:hAnsi="Arial" w:cs="Arial"/>
          <w:sz w:val="22"/>
          <w:szCs w:val="22"/>
        </w:rPr>
        <w:t>l</w:t>
      </w:r>
      <w:r w:rsidRPr="00BD17CA">
        <w:rPr>
          <w:rFonts w:ascii="Arial" w:eastAsia="Arial" w:hAnsi="Arial" w:cs="Arial"/>
          <w:sz w:val="22"/>
          <w:szCs w:val="22"/>
        </w:rPr>
        <w:t>o</w:t>
      </w:r>
      <w:r w:rsidRPr="0046695E">
        <w:rPr>
          <w:rFonts w:ascii="Arial" w:eastAsia="Arial" w:hAnsi="Arial" w:cs="Arial"/>
          <w:sz w:val="22"/>
          <w:szCs w:val="22"/>
        </w:rPr>
        <w:t>ss</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urin</w:t>
      </w:r>
      <w:r w:rsidRPr="00BD17CA">
        <w:rPr>
          <w:rFonts w:ascii="Arial" w:eastAsia="Arial" w:hAnsi="Arial" w:cs="Arial"/>
          <w:sz w:val="22"/>
          <w:szCs w:val="22"/>
        </w:rPr>
        <w:t>g</w:t>
      </w:r>
      <w:r w:rsidRPr="0046695E">
        <w:rPr>
          <w:rFonts w:ascii="Arial" w:eastAsia="Arial" w:hAnsi="Arial" w:cs="Arial"/>
          <w:sz w:val="22"/>
          <w:szCs w:val="22"/>
        </w:rPr>
        <w:t xml:space="preserve"> th</w:t>
      </w:r>
      <w:r w:rsidRPr="00BD17CA">
        <w:rPr>
          <w:rFonts w:ascii="Arial" w:eastAsia="Arial" w:hAnsi="Arial" w:cs="Arial"/>
          <w:sz w:val="22"/>
          <w:szCs w:val="22"/>
        </w:rPr>
        <w:t>e</w:t>
      </w:r>
      <w:r w:rsidRPr="0046695E">
        <w:rPr>
          <w:rFonts w:ascii="Arial" w:eastAsia="Arial" w:hAnsi="Arial" w:cs="Arial"/>
          <w:sz w:val="22"/>
          <w:szCs w:val="22"/>
        </w:rPr>
        <w:t xml:space="preserve"> y</w:t>
      </w:r>
      <w:r w:rsidRPr="00BD17CA">
        <w:rPr>
          <w:rFonts w:ascii="Arial" w:eastAsia="Arial" w:hAnsi="Arial" w:cs="Arial"/>
          <w:sz w:val="22"/>
          <w:szCs w:val="22"/>
        </w:rPr>
        <w:t>e</w:t>
      </w:r>
      <w:r w:rsidRPr="0046695E">
        <w:rPr>
          <w:rFonts w:ascii="Arial" w:eastAsia="Arial" w:hAnsi="Arial" w:cs="Arial"/>
          <w:sz w:val="22"/>
          <w:szCs w:val="22"/>
        </w:rPr>
        <w:t>ar</w:t>
      </w:r>
      <w:r w:rsidRPr="00BD17CA">
        <w:rPr>
          <w:rFonts w:ascii="Arial" w:eastAsia="Arial" w:hAnsi="Arial" w:cs="Arial"/>
          <w:sz w:val="22"/>
          <w:szCs w:val="22"/>
        </w:rPr>
        <w:t>.</w:t>
      </w:r>
    </w:p>
    <w:p w14:paraId="3E67D295" w14:textId="74501317" w:rsid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Fund</w:t>
      </w:r>
      <w:r w:rsidRPr="0046695E">
        <w:rPr>
          <w:rFonts w:ascii="Arial" w:eastAsia="Arial" w:hAnsi="Arial" w:cs="Arial"/>
          <w:b/>
          <w:sz w:val="22"/>
          <w:szCs w:val="22"/>
        </w:rPr>
        <w:t xml:space="preserve"> </w:t>
      </w:r>
      <w:r w:rsidRPr="00BD17CA">
        <w:rPr>
          <w:rFonts w:ascii="Arial" w:eastAsia="Arial" w:hAnsi="Arial" w:cs="Arial"/>
          <w:b/>
          <w:sz w:val="22"/>
          <w:szCs w:val="22"/>
        </w:rPr>
        <w:t>a</w:t>
      </w:r>
      <w:r w:rsidRPr="0046695E">
        <w:rPr>
          <w:rFonts w:ascii="Arial" w:eastAsia="Arial" w:hAnsi="Arial" w:cs="Arial"/>
          <w:b/>
          <w:sz w:val="22"/>
          <w:szCs w:val="22"/>
        </w:rPr>
        <w:t>c</w:t>
      </w:r>
      <w:r w:rsidRPr="00BD17CA">
        <w:rPr>
          <w:rFonts w:ascii="Arial" w:eastAsia="Arial" w:hAnsi="Arial" w:cs="Arial"/>
          <w:b/>
          <w:sz w:val="22"/>
          <w:szCs w:val="22"/>
        </w:rPr>
        <w:t>co</w:t>
      </w:r>
      <w:r w:rsidRPr="0046695E">
        <w:rPr>
          <w:rFonts w:ascii="Arial" w:eastAsia="Arial" w:hAnsi="Arial" w:cs="Arial"/>
          <w:b/>
          <w:sz w:val="22"/>
          <w:szCs w:val="22"/>
        </w:rPr>
        <w:t>u</w:t>
      </w:r>
      <w:r w:rsidRPr="00BD17CA">
        <w:rPr>
          <w:rFonts w:ascii="Arial" w:eastAsia="Arial" w:hAnsi="Arial" w:cs="Arial"/>
          <w:b/>
          <w:sz w:val="22"/>
          <w:szCs w:val="22"/>
        </w:rPr>
        <w:t>nt</w:t>
      </w:r>
      <w:r w:rsidRPr="0046695E">
        <w:rPr>
          <w:rFonts w:ascii="Arial" w:eastAsia="Arial" w:hAnsi="Arial" w:cs="Arial"/>
          <w:b/>
          <w:sz w:val="22"/>
          <w:szCs w:val="22"/>
        </w:rPr>
        <w:t xml:space="preserve"> </w:t>
      </w:r>
      <w:r w:rsidRPr="00BD17CA">
        <w:rPr>
          <w:rFonts w:ascii="Arial" w:eastAsia="Arial" w:hAnsi="Arial" w:cs="Arial"/>
          <w:b/>
          <w:sz w:val="22"/>
          <w:szCs w:val="22"/>
        </w:rPr>
        <w:t>- e</w:t>
      </w:r>
      <w:r w:rsidRPr="0046695E">
        <w:rPr>
          <w:rFonts w:ascii="Arial" w:eastAsia="Arial" w:hAnsi="Arial" w:cs="Arial"/>
          <w:b/>
          <w:sz w:val="22"/>
          <w:szCs w:val="22"/>
        </w:rPr>
        <w:t>x</w:t>
      </w:r>
      <w:r w:rsidRPr="00BD17CA">
        <w:rPr>
          <w:rFonts w:ascii="Arial" w:eastAsia="Arial" w:hAnsi="Arial" w:cs="Arial"/>
          <w:b/>
          <w:sz w:val="22"/>
          <w:szCs w:val="22"/>
        </w:rPr>
        <w:t>pe</w:t>
      </w:r>
      <w:r w:rsidRPr="0046695E">
        <w:rPr>
          <w:rFonts w:ascii="Arial" w:eastAsia="Arial" w:hAnsi="Arial" w:cs="Arial"/>
          <w:b/>
          <w:sz w:val="22"/>
          <w:szCs w:val="22"/>
        </w:rPr>
        <w:t>n</w:t>
      </w:r>
      <w:r w:rsidRPr="00BD17CA">
        <w:rPr>
          <w:rFonts w:ascii="Arial" w:eastAsia="Arial" w:hAnsi="Arial" w:cs="Arial"/>
          <w:b/>
          <w:sz w:val="22"/>
          <w:szCs w:val="22"/>
        </w:rPr>
        <w:t>se</w:t>
      </w:r>
      <w:r w:rsidRPr="0046695E">
        <w:rPr>
          <w:rFonts w:ascii="Arial" w:eastAsia="Arial" w:hAnsi="Arial" w:cs="Arial"/>
          <w:b/>
          <w:sz w:val="22"/>
          <w:szCs w:val="22"/>
        </w:rPr>
        <w:t xml:space="preserve"> it</w:t>
      </w:r>
      <w:r w:rsidRPr="00BD17CA">
        <w:rPr>
          <w:rFonts w:ascii="Arial" w:eastAsia="Arial" w:hAnsi="Arial" w:cs="Arial"/>
          <w:b/>
          <w:sz w:val="22"/>
          <w:szCs w:val="22"/>
        </w:rPr>
        <w:t xml:space="preserve">ems </w:t>
      </w:r>
    </w:p>
    <w:p w14:paraId="47345A81" w14:textId="75E3C775" w:rsidR="009C7422" w:rsidRP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d)</w:t>
      </w:r>
      <w:r w:rsidRPr="0046695E">
        <w:rPr>
          <w:rFonts w:ascii="Arial" w:eastAsia="Arial" w:hAnsi="Arial" w:cs="Arial"/>
          <w:b/>
          <w:sz w:val="22"/>
          <w:szCs w:val="22"/>
        </w:rPr>
        <w:t xml:space="preserve"> </w:t>
      </w:r>
      <w:r w:rsidRPr="00BD17CA">
        <w:rPr>
          <w:rFonts w:ascii="Arial" w:eastAsia="Arial" w:hAnsi="Arial" w:cs="Arial"/>
          <w:b/>
          <w:sz w:val="22"/>
          <w:szCs w:val="22"/>
        </w:rPr>
        <w:t>Bene</w:t>
      </w:r>
      <w:r w:rsidRPr="0046695E">
        <w:rPr>
          <w:rFonts w:ascii="Arial" w:eastAsia="Arial" w:hAnsi="Arial" w:cs="Arial"/>
          <w:b/>
          <w:sz w:val="22"/>
          <w:szCs w:val="22"/>
        </w:rPr>
        <w:t>f</w:t>
      </w:r>
      <w:r w:rsidRPr="00BD17CA">
        <w:rPr>
          <w:rFonts w:ascii="Arial" w:eastAsia="Arial" w:hAnsi="Arial" w:cs="Arial"/>
          <w:b/>
          <w:sz w:val="22"/>
          <w:szCs w:val="22"/>
        </w:rPr>
        <w:t>its</w:t>
      </w:r>
      <w:r w:rsidRPr="0046695E">
        <w:rPr>
          <w:rFonts w:ascii="Arial" w:eastAsia="Arial" w:hAnsi="Arial" w:cs="Arial"/>
          <w:b/>
          <w:sz w:val="22"/>
          <w:szCs w:val="22"/>
        </w:rPr>
        <w:t xml:space="preserve"> </w:t>
      </w:r>
      <w:r w:rsidRPr="00BD17CA">
        <w:rPr>
          <w:rFonts w:ascii="Arial" w:eastAsia="Arial" w:hAnsi="Arial" w:cs="Arial"/>
          <w:b/>
          <w:sz w:val="22"/>
          <w:szCs w:val="22"/>
        </w:rPr>
        <w:t>p</w:t>
      </w:r>
      <w:r w:rsidRPr="0046695E">
        <w:rPr>
          <w:rFonts w:ascii="Arial" w:eastAsia="Arial" w:hAnsi="Arial" w:cs="Arial"/>
          <w:b/>
          <w:sz w:val="22"/>
          <w:szCs w:val="22"/>
        </w:rPr>
        <w:t>a</w:t>
      </w:r>
      <w:r w:rsidRPr="00BD17CA">
        <w:rPr>
          <w:rFonts w:ascii="Arial" w:eastAsia="Arial" w:hAnsi="Arial" w:cs="Arial"/>
          <w:b/>
          <w:sz w:val="22"/>
          <w:szCs w:val="22"/>
        </w:rPr>
        <w:t>y</w:t>
      </w:r>
      <w:r w:rsidRPr="0046695E">
        <w:rPr>
          <w:rFonts w:ascii="Arial" w:eastAsia="Arial" w:hAnsi="Arial" w:cs="Arial"/>
          <w:b/>
          <w:sz w:val="22"/>
          <w:szCs w:val="22"/>
        </w:rPr>
        <w:t>a</w:t>
      </w:r>
      <w:r w:rsidRPr="00BD17CA">
        <w:rPr>
          <w:rFonts w:ascii="Arial" w:eastAsia="Arial" w:hAnsi="Arial" w:cs="Arial"/>
          <w:b/>
          <w:sz w:val="22"/>
          <w:szCs w:val="22"/>
        </w:rPr>
        <w:t>ble</w:t>
      </w:r>
    </w:p>
    <w:p w14:paraId="22CB829B" w14:textId="77777777" w:rsidR="009C7422"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P</w:t>
      </w:r>
      <w:r w:rsidRPr="00BD17CA">
        <w:rPr>
          <w:rFonts w:ascii="Arial" w:eastAsia="Arial" w:hAnsi="Arial" w:cs="Arial"/>
          <w:sz w:val="22"/>
          <w:szCs w:val="22"/>
        </w:rPr>
        <w:t>e</w:t>
      </w:r>
      <w:r w:rsidRPr="0046695E">
        <w:rPr>
          <w:rFonts w:ascii="Arial" w:eastAsia="Arial" w:hAnsi="Arial" w:cs="Arial"/>
          <w:sz w:val="22"/>
          <w:szCs w:val="22"/>
        </w:rPr>
        <w:t>nsi</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s</w:t>
      </w:r>
      <w:r w:rsidRPr="0046695E">
        <w:rPr>
          <w:rFonts w:ascii="Arial" w:eastAsia="Arial" w:hAnsi="Arial" w:cs="Arial"/>
          <w:sz w:val="22"/>
          <w:szCs w:val="22"/>
        </w:rPr>
        <w:t xml:space="preserve"> a</w:t>
      </w:r>
      <w:r w:rsidRPr="00BD17CA">
        <w:rPr>
          <w:rFonts w:ascii="Arial" w:eastAsia="Arial" w:hAnsi="Arial" w:cs="Arial"/>
          <w:sz w:val="22"/>
          <w:szCs w:val="22"/>
        </w:rPr>
        <w:t>nd</w:t>
      </w:r>
      <w:r w:rsidRPr="0046695E">
        <w:rPr>
          <w:rFonts w:ascii="Arial" w:eastAsia="Arial" w:hAnsi="Arial" w:cs="Arial"/>
          <w:sz w:val="22"/>
          <w:szCs w:val="22"/>
        </w:rPr>
        <w:t xml:space="preserve"> l</w:t>
      </w:r>
      <w:r w:rsidRPr="00BD17CA">
        <w:rPr>
          <w:rFonts w:ascii="Arial" w:eastAsia="Arial" w:hAnsi="Arial" w:cs="Arial"/>
          <w:sz w:val="22"/>
          <w:szCs w:val="22"/>
        </w:rPr>
        <w:t>u</w:t>
      </w:r>
      <w:r w:rsidRPr="0046695E">
        <w:rPr>
          <w:rFonts w:ascii="Arial" w:eastAsia="Arial" w:hAnsi="Arial" w:cs="Arial"/>
          <w:sz w:val="22"/>
          <w:szCs w:val="22"/>
        </w:rPr>
        <w:t>m</w:t>
      </w:r>
      <w:r w:rsidRPr="00BD17CA">
        <w:rPr>
          <w:rFonts w:ascii="Arial" w:eastAsia="Arial" w:hAnsi="Arial" w:cs="Arial"/>
          <w:sz w:val="22"/>
          <w:szCs w:val="22"/>
        </w:rPr>
        <w:t>p</w:t>
      </w:r>
      <w:r w:rsidRPr="0046695E">
        <w:rPr>
          <w:rFonts w:ascii="Arial" w:eastAsia="Arial" w:hAnsi="Arial" w:cs="Arial"/>
          <w:sz w:val="22"/>
          <w:szCs w:val="22"/>
        </w:rPr>
        <w:t xml:space="preserve"> su</w:t>
      </w:r>
      <w:r w:rsidRPr="00BD17CA">
        <w:rPr>
          <w:rFonts w:ascii="Arial" w:eastAsia="Arial" w:hAnsi="Arial" w:cs="Arial"/>
          <w:sz w:val="22"/>
          <w:szCs w:val="22"/>
        </w:rPr>
        <w:t>m</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efi</w:t>
      </w:r>
      <w:r w:rsidRPr="00BD17CA">
        <w:rPr>
          <w:rFonts w:ascii="Arial" w:eastAsia="Arial" w:hAnsi="Arial" w:cs="Arial"/>
          <w:sz w:val="22"/>
          <w:szCs w:val="22"/>
        </w:rPr>
        <w:t>ts</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ay</w:t>
      </w:r>
      <w:r w:rsidRPr="00BD17CA">
        <w:rPr>
          <w:rFonts w:ascii="Arial" w:eastAsia="Arial" w:hAnsi="Arial" w:cs="Arial"/>
          <w:sz w:val="22"/>
          <w:szCs w:val="22"/>
        </w:rPr>
        <w:t>a</w:t>
      </w:r>
      <w:r w:rsidRPr="0046695E">
        <w:rPr>
          <w:rFonts w:ascii="Arial" w:eastAsia="Arial" w:hAnsi="Arial" w:cs="Arial"/>
          <w:sz w:val="22"/>
          <w:szCs w:val="22"/>
        </w:rPr>
        <w:t>bl</w:t>
      </w:r>
      <w:r w:rsidRPr="00BD17CA">
        <w:rPr>
          <w:rFonts w:ascii="Arial" w:eastAsia="Arial" w:hAnsi="Arial" w:cs="Arial"/>
          <w:sz w:val="22"/>
          <w:szCs w:val="22"/>
        </w:rPr>
        <w:t>e</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clu</w:t>
      </w:r>
      <w:r w:rsidRPr="00BD17CA">
        <w:rPr>
          <w:rFonts w:ascii="Arial" w:eastAsia="Arial" w:hAnsi="Arial" w:cs="Arial"/>
          <w:sz w:val="22"/>
          <w:szCs w:val="22"/>
        </w:rPr>
        <w:t>de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l</w:t>
      </w:r>
      <w:r w:rsidRPr="00BD17CA">
        <w:rPr>
          <w:rFonts w:ascii="Arial" w:eastAsia="Arial" w:hAnsi="Arial" w:cs="Arial"/>
          <w:sz w:val="22"/>
          <w:szCs w:val="22"/>
        </w:rPr>
        <w:t>l</w:t>
      </w:r>
      <w:r w:rsidRPr="0046695E">
        <w:rPr>
          <w:rFonts w:ascii="Arial" w:eastAsia="Arial" w:hAnsi="Arial" w:cs="Arial"/>
          <w:sz w:val="22"/>
          <w:szCs w:val="22"/>
        </w:rPr>
        <w:t xml:space="preserve"> am</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nts</w:t>
      </w:r>
      <w:r w:rsidRPr="0046695E">
        <w:rPr>
          <w:rFonts w:ascii="Arial" w:eastAsia="Arial" w:hAnsi="Arial" w:cs="Arial"/>
          <w:sz w:val="22"/>
          <w:szCs w:val="22"/>
        </w:rPr>
        <w:t xml:space="preserve"> k</w:t>
      </w:r>
      <w:r w:rsidRPr="00BD17CA">
        <w:rPr>
          <w:rFonts w:ascii="Arial" w:eastAsia="Arial" w:hAnsi="Arial" w:cs="Arial"/>
          <w:sz w:val="22"/>
          <w:szCs w:val="22"/>
        </w:rPr>
        <w:t>n</w:t>
      </w:r>
      <w:r w:rsidRPr="0046695E">
        <w:rPr>
          <w:rFonts w:ascii="Arial" w:eastAsia="Arial" w:hAnsi="Arial" w:cs="Arial"/>
          <w:sz w:val="22"/>
          <w:szCs w:val="22"/>
        </w:rPr>
        <w:t>ow</w:t>
      </w:r>
      <w:r w:rsidRPr="00BD17CA">
        <w:rPr>
          <w:rFonts w:ascii="Arial" w:eastAsia="Arial" w:hAnsi="Arial" w:cs="Arial"/>
          <w:sz w:val="22"/>
          <w:szCs w:val="22"/>
        </w:rPr>
        <w:t>n</w:t>
      </w:r>
      <w:r w:rsidRPr="0046695E">
        <w:rPr>
          <w:rFonts w:ascii="Arial" w:eastAsia="Arial" w:hAnsi="Arial" w:cs="Arial"/>
          <w:sz w:val="22"/>
          <w:szCs w:val="22"/>
        </w:rPr>
        <w:t xml:space="preserve"> t</w:t>
      </w:r>
      <w:r w:rsidRPr="00BD17CA">
        <w:rPr>
          <w:rFonts w:ascii="Arial" w:eastAsia="Arial" w:hAnsi="Arial" w:cs="Arial"/>
          <w:sz w:val="22"/>
          <w:szCs w:val="22"/>
        </w:rPr>
        <w:t>o be</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u</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at</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e</w:t>
      </w:r>
      <w:r w:rsidRPr="00BD17CA">
        <w:rPr>
          <w:rFonts w:ascii="Arial" w:eastAsia="Arial" w:hAnsi="Arial" w:cs="Arial"/>
          <w:sz w:val="22"/>
          <w:szCs w:val="22"/>
        </w:rPr>
        <w:t>nd</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fin</w:t>
      </w:r>
      <w:r w:rsidRPr="00BD17CA">
        <w:rPr>
          <w:rFonts w:ascii="Arial" w:eastAsia="Arial" w:hAnsi="Arial" w:cs="Arial"/>
          <w:sz w:val="22"/>
          <w:szCs w:val="22"/>
        </w:rPr>
        <w:t>a</w:t>
      </w:r>
      <w:r w:rsidRPr="0046695E">
        <w:rPr>
          <w:rFonts w:ascii="Arial" w:eastAsia="Arial" w:hAnsi="Arial" w:cs="Arial"/>
          <w:sz w:val="22"/>
          <w:szCs w:val="22"/>
        </w:rPr>
        <w:t>ncia</w:t>
      </w:r>
      <w:r w:rsidRPr="00BD17CA">
        <w:rPr>
          <w:rFonts w:ascii="Arial" w:eastAsia="Arial" w:hAnsi="Arial" w:cs="Arial"/>
          <w:sz w:val="22"/>
          <w:szCs w:val="22"/>
        </w:rPr>
        <w:t>l</w:t>
      </w:r>
      <w:r w:rsidRPr="0046695E">
        <w:rPr>
          <w:rFonts w:ascii="Arial" w:eastAsia="Arial" w:hAnsi="Arial" w:cs="Arial"/>
          <w:sz w:val="22"/>
          <w:szCs w:val="22"/>
        </w:rPr>
        <w:t xml:space="preserve"> ye</w:t>
      </w:r>
      <w:r w:rsidRPr="00BD17CA">
        <w:rPr>
          <w:rFonts w:ascii="Arial" w:eastAsia="Arial" w:hAnsi="Arial" w:cs="Arial"/>
          <w:sz w:val="22"/>
          <w:szCs w:val="22"/>
        </w:rPr>
        <w:t xml:space="preserve">ar. </w:t>
      </w:r>
      <w:r w:rsidRPr="0046695E">
        <w:rPr>
          <w:rFonts w:ascii="Arial" w:eastAsia="Arial" w:hAnsi="Arial" w:cs="Arial"/>
          <w:sz w:val="22"/>
          <w:szCs w:val="22"/>
        </w:rPr>
        <w:t>An</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m</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nts</w:t>
      </w:r>
      <w:r w:rsidRPr="0046695E">
        <w:rPr>
          <w:rFonts w:ascii="Arial" w:eastAsia="Arial" w:hAnsi="Arial" w:cs="Arial"/>
          <w:sz w:val="22"/>
          <w:szCs w:val="22"/>
        </w:rPr>
        <w:t xml:space="preserve"> d</w:t>
      </w:r>
      <w:r w:rsidRPr="00BD17CA">
        <w:rPr>
          <w:rFonts w:ascii="Arial" w:eastAsia="Arial" w:hAnsi="Arial" w:cs="Arial"/>
          <w:sz w:val="22"/>
          <w:szCs w:val="22"/>
        </w:rPr>
        <w:t>ue</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u</w:t>
      </w:r>
      <w:r w:rsidRPr="00BD17CA">
        <w:rPr>
          <w:rFonts w:ascii="Arial" w:eastAsia="Arial" w:hAnsi="Arial" w:cs="Arial"/>
          <w:sz w:val="22"/>
          <w:szCs w:val="22"/>
        </w:rPr>
        <w:t>t</w:t>
      </w:r>
      <w:r w:rsidRPr="0046695E">
        <w:rPr>
          <w:rFonts w:ascii="Arial" w:eastAsia="Arial" w:hAnsi="Arial" w:cs="Arial"/>
          <w:sz w:val="22"/>
          <w:szCs w:val="22"/>
        </w:rPr>
        <w:t xml:space="preserve"> u</w:t>
      </w:r>
      <w:r w:rsidRPr="00BD17CA">
        <w:rPr>
          <w:rFonts w:ascii="Arial" w:eastAsia="Arial" w:hAnsi="Arial" w:cs="Arial"/>
          <w:sz w:val="22"/>
          <w:szCs w:val="22"/>
        </w:rPr>
        <w:t>n</w:t>
      </w:r>
      <w:r w:rsidRPr="0046695E">
        <w:rPr>
          <w:rFonts w:ascii="Arial" w:eastAsia="Arial" w:hAnsi="Arial" w:cs="Arial"/>
          <w:sz w:val="22"/>
          <w:szCs w:val="22"/>
        </w:rPr>
        <w:t>p</w:t>
      </w:r>
      <w:r w:rsidRPr="00BD17CA">
        <w:rPr>
          <w:rFonts w:ascii="Arial" w:eastAsia="Arial" w:hAnsi="Arial" w:cs="Arial"/>
          <w:sz w:val="22"/>
          <w:szCs w:val="22"/>
        </w:rPr>
        <w:t>a</w:t>
      </w:r>
      <w:r w:rsidRPr="0046695E">
        <w:rPr>
          <w:rFonts w:ascii="Arial" w:eastAsia="Arial" w:hAnsi="Arial" w:cs="Arial"/>
          <w:sz w:val="22"/>
          <w:szCs w:val="22"/>
        </w:rPr>
        <w:t>i</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iscl</w:t>
      </w:r>
      <w:r w:rsidRPr="00BD17CA">
        <w:rPr>
          <w:rFonts w:ascii="Arial" w:eastAsia="Arial" w:hAnsi="Arial" w:cs="Arial"/>
          <w:sz w:val="22"/>
          <w:szCs w:val="22"/>
        </w:rPr>
        <w:t>o</w:t>
      </w:r>
      <w:r w:rsidRPr="0046695E">
        <w:rPr>
          <w:rFonts w:ascii="Arial" w:eastAsia="Arial" w:hAnsi="Arial" w:cs="Arial"/>
          <w:sz w:val="22"/>
          <w:szCs w:val="22"/>
        </w:rPr>
        <w:t>s</w:t>
      </w:r>
      <w:r w:rsidRPr="00BD17CA">
        <w:rPr>
          <w:rFonts w:ascii="Arial" w:eastAsia="Arial" w:hAnsi="Arial" w:cs="Arial"/>
          <w:sz w:val="22"/>
          <w:szCs w:val="22"/>
        </w:rPr>
        <w:t>ed</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n</w:t>
      </w:r>
      <w:r w:rsidRPr="00BD17CA">
        <w:rPr>
          <w:rFonts w:ascii="Arial" w:eastAsia="Arial" w:hAnsi="Arial" w:cs="Arial"/>
          <w:sz w:val="22"/>
          <w:szCs w:val="22"/>
        </w:rPr>
        <w:t>et</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ss</w:t>
      </w:r>
      <w:r w:rsidRPr="00BD17CA">
        <w:rPr>
          <w:rFonts w:ascii="Arial" w:eastAsia="Arial" w:hAnsi="Arial" w:cs="Arial"/>
          <w:sz w:val="22"/>
          <w:szCs w:val="22"/>
        </w:rPr>
        <w:t>ets</w:t>
      </w:r>
      <w:r w:rsidRPr="0046695E">
        <w:rPr>
          <w:rFonts w:ascii="Arial" w:eastAsia="Arial" w:hAnsi="Arial" w:cs="Arial"/>
          <w:sz w:val="22"/>
          <w:szCs w:val="22"/>
        </w:rPr>
        <w:t xml:space="preserve"> s</w:t>
      </w:r>
      <w:r w:rsidRPr="00BD17CA">
        <w:rPr>
          <w:rFonts w:ascii="Arial" w:eastAsia="Arial" w:hAnsi="Arial" w:cs="Arial"/>
          <w:sz w:val="22"/>
          <w:szCs w:val="22"/>
        </w:rPr>
        <w:t>t</w:t>
      </w:r>
      <w:r w:rsidRPr="0046695E">
        <w:rPr>
          <w:rFonts w:ascii="Arial" w:eastAsia="Arial" w:hAnsi="Arial" w:cs="Arial"/>
          <w:sz w:val="22"/>
          <w:szCs w:val="22"/>
        </w:rPr>
        <w:t>a</w:t>
      </w:r>
      <w:r w:rsidRPr="00BD17CA">
        <w:rPr>
          <w:rFonts w:ascii="Arial" w:eastAsia="Arial" w:hAnsi="Arial" w:cs="Arial"/>
          <w:sz w:val="22"/>
          <w:szCs w:val="22"/>
        </w:rPr>
        <w:t>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 as</w:t>
      </w:r>
      <w:r w:rsidRPr="0046695E">
        <w:rPr>
          <w:rFonts w:ascii="Arial" w:eastAsia="Arial" w:hAnsi="Arial" w:cs="Arial"/>
          <w:sz w:val="22"/>
          <w:szCs w:val="22"/>
        </w:rPr>
        <w:t xml:space="preserve"> c</w:t>
      </w:r>
      <w:r w:rsidRPr="00BD17CA">
        <w:rPr>
          <w:rFonts w:ascii="Arial" w:eastAsia="Arial" w:hAnsi="Arial" w:cs="Arial"/>
          <w:sz w:val="22"/>
          <w:szCs w:val="22"/>
        </w:rPr>
        <w:t>u</w:t>
      </w:r>
      <w:r w:rsidRPr="0046695E">
        <w:rPr>
          <w:rFonts w:ascii="Arial" w:eastAsia="Arial" w:hAnsi="Arial" w:cs="Arial"/>
          <w:sz w:val="22"/>
          <w:szCs w:val="22"/>
        </w:rPr>
        <w:t>rr</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lia</w:t>
      </w:r>
      <w:r w:rsidRPr="00BD17CA">
        <w:rPr>
          <w:rFonts w:ascii="Arial" w:eastAsia="Arial" w:hAnsi="Arial" w:cs="Arial"/>
          <w:sz w:val="22"/>
          <w:szCs w:val="22"/>
        </w:rPr>
        <w:t>b</w:t>
      </w:r>
      <w:r w:rsidRPr="0046695E">
        <w:rPr>
          <w:rFonts w:ascii="Arial" w:eastAsia="Arial" w:hAnsi="Arial" w:cs="Arial"/>
          <w:sz w:val="22"/>
          <w:szCs w:val="22"/>
        </w:rPr>
        <w:t>iliti</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pr</w:t>
      </w:r>
      <w:r w:rsidRPr="0046695E">
        <w:rPr>
          <w:rFonts w:ascii="Arial" w:eastAsia="Arial" w:hAnsi="Arial" w:cs="Arial"/>
          <w:sz w:val="22"/>
          <w:szCs w:val="22"/>
        </w:rPr>
        <w:t>ovi</w:t>
      </w:r>
      <w:r w:rsidRPr="00BD17CA">
        <w:rPr>
          <w:rFonts w:ascii="Arial" w:eastAsia="Arial" w:hAnsi="Arial" w:cs="Arial"/>
          <w:sz w:val="22"/>
          <w:szCs w:val="22"/>
        </w:rPr>
        <w:t>d</w:t>
      </w:r>
      <w:r w:rsidRPr="0046695E">
        <w:rPr>
          <w:rFonts w:ascii="Arial" w:eastAsia="Arial" w:hAnsi="Arial" w:cs="Arial"/>
          <w:sz w:val="22"/>
          <w:szCs w:val="22"/>
        </w:rPr>
        <w:t>in</w:t>
      </w:r>
      <w:r w:rsidRPr="00BD17CA">
        <w:rPr>
          <w:rFonts w:ascii="Arial" w:eastAsia="Arial" w:hAnsi="Arial" w:cs="Arial"/>
          <w:sz w:val="22"/>
          <w:szCs w:val="22"/>
        </w:rPr>
        <w:t>g</w:t>
      </w:r>
      <w:r w:rsidRPr="0046695E">
        <w:rPr>
          <w:rFonts w:ascii="Arial" w:eastAsia="Arial" w:hAnsi="Arial" w:cs="Arial"/>
          <w:sz w:val="22"/>
          <w:szCs w:val="22"/>
        </w:rPr>
        <w:t xml:space="preserve"> th</w:t>
      </w:r>
      <w:r w:rsidRPr="00BD17CA">
        <w:rPr>
          <w:rFonts w:ascii="Arial" w:eastAsia="Arial" w:hAnsi="Arial" w:cs="Arial"/>
          <w:sz w:val="22"/>
          <w:szCs w:val="22"/>
        </w:rPr>
        <w:t>at p</w:t>
      </w:r>
      <w:r w:rsidRPr="0046695E">
        <w:rPr>
          <w:rFonts w:ascii="Arial" w:eastAsia="Arial" w:hAnsi="Arial" w:cs="Arial"/>
          <w:sz w:val="22"/>
          <w:szCs w:val="22"/>
        </w:rPr>
        <w:t>aym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h</w:t>
      </w:r>
      <w:r w:rsidRPr="00BD17CA">
        <w:rPr>
          <w:rFonts w:ascii="Arial" w:eastAsia="Arial" w:hAnsi="Arial" w:cs="Arial"/>
          <w:sz w:val="22"/>
          <w:szCs w:val="22"/>
        </w:rPr>
        <w:t>as b</w:t>
      </w:r>
      <w:r w:rsidRPr="0046695E">
        <w:rPr>
          <w:rFonts w:ascii="Arial" w:eastAsia="Arial" w:hAnsi="Arial" w:cs="Arial"/>
          <w:sz w:val="22"/>
          <w:szCs w:val="22"/>
        </w:rPr>
        <w:t>ee</w:t>
      </w:r>
      <w:r w:rsidRPr="00BD17CA">
        <w:rPr>
          <w:rFonts w:ascii="Arial" w:eastAsia="Arial" w:hAnsi="Arial" w:cs="Arial"/>
          <w:sz w:val="22"/>
          <w:szCs w:val="22"/>
        </w:rPr>
        <w:t>n</w:t>
      </w:r>
      <w:r w:rsidRPr="0046695E">
        <w:rPr>
          <w:rFonts w:ascii="Arial" w:eastAsia="Arial" w:hAnsi="Arial" w:cs="Arial"/>
          <w:sz w:val="22"/>
          <w:szCs w:val="22"/>
        </w:rPr>
        <w:t xml:space="preserve"> a</w:t>
      </w:r>
      <w:r w:rsidRPr="00BD17CA">
        <w:rPr>
          <w:rFonts w:ascii="Arial" w:eastAsia="Arial" w:hAnsi="Arial" w:cs="Arial"/>
          <w:sz w:val="22"/>
          <w:szCs w:val="22"/>
        </w:rPr>
        <w:t>p</w:t>
      </w:r>
      <w:r w:rsidRPr="0046695E">
        <w:rPr>
          <w:rFonts w:ascii="Arial" w:eastAsia="Arial" w:hAnsi="Arial" w:cs="Arial"/>
          <w:sz w:val="22"/>
          <w:szCs w:val="22"/>
        </w:rPr>
        <w:t>prove</w:t>
      </w:r>
      <w:r w:rsidRPr="00BD17CA">
        <w:rPr>
          <w:rFonts w:ascii="Arial" w:eastAsia="Arial" w:hAnsi="Arial" w:cs="Arial"/>
          <w:sz w:val="22"/>
          <w:szCs w:val="22"/>
        </w:rPr>
        <w:t>d.</w:t>
      </w:r>
    </w:p>
    <w:p w14:paraId="734FD301" w14:textId="77777777" w:rsidR="009C7422" w:rsidRP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e)</w:t>
      </w:r>
      <w:r w:rsidRPr="0046695E">
        <w:rPr>
          <w:rFonts w:ascii="Arial" w:eastAsia="Arial" w:hAnsi="Arial" w:cs="Arial"/>
          <w:b/>
          <w:sz w:val="22"/>
          <w:szCs w:val="22"/>
        </w:rPr>
        <w:t xml:space="preserve"> T</w:t>
      </w:r>
      <w:r w:rsidRPr="00BD17CA">
        <w:rPr>
          <w:rFonts w:ascii="Arial" w:eastAsia="Arial" w:hAnsi="Arial" w:cs="Arial"/>
          <w:b/>
          <w:sz w:val="22"/>
          <w:szCs w:val="22"/>
        </w:rPr>
        <w:t>a</w:t>
      </w:r>
      <w:r w:rsidRPr="0046695E">
        <w:rPr>
          <w:rFonts w:ascii="Arial" w:eastAsia="Arial" w:hAnsi="Arial" w:cs="Arial"/>
          <w:b/>
          <w:sz w:val="22"/>
          <w:szCs w:val="22"/>
        </w:rPr>
        <w:t>x</w:t>
      </w:r>
      <w:r w:rsidRPr="00BD17CA">
        <w:rPr>
          <w:rFonts w:ascii="Arial" w:eastAsia="Arial" w:hAnsi="Arial" w:cs="Arial"/>
          <w:b/>
          <w:sz w:val="22"/>
          <w:szCs w:val="22"/>
        </w:rPr>
        <w:t>ati</w:t>
      </w:r>
      <w:r w:rsidRPr="0046695E">
        <w:rPr>
          <w:rFonts w:ascii="Arial" w:eastAsia="Arial" w:hAnsi="Arial" w:cs="Arial"/>
          <w:b/>
          <w:sz w:val="22"/>
          <w:szCs w:val="22"/>
        </w:rPr>
        <w:t>o</w:t>
      </w:r>
      <w:r w:rsidRPr="00BD17CA">
        <w:rPr>
          <w:rFonts w:ascii="Arial" w:eastAsia="Arial" w:hAnsi="Arial" w:cs="Arial"/>
          <w:b/>
          <w:sz w:val="22"/>
          <w:szCs w:val="22"/>
        </w:rPr>
        <w:t>n</w:t>
      </w:r>
    </w:p>
    <w:p w14:paraId="585ECDDD" w14:textId="77777777" w:rsidR="009C7422" w:rsidRPr="00BD17CA"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T</w:t>
      </w:r>
      <w:r w:rsidRPr="00BD17CA">
        <w:rPr>
          <w:rFonts w:ascii="Arial" w:eastAsia="Arial" w:hAnsi="Arial" w:cs="Arial"/>
          <w:sz w:val="22"/>
          <w:szCs w:val="22"/>
        </w:rPr>
        <w:t>he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i</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 xml:space="preserve"> r</w:t>
      </w:r>
      <w:r w:rsidRPr="00BD17CA">
        <w:rPr>
          <w:rFonts w:ascii="Arial" w:eastAsia="Arial" w:hAnsi="Arial" w:cs="Arial"/>
          <w:sz w:val="22"/>
          <w:szCs w:val="22"/>
        </w:rPr>
        <w:t>e</w:t>
      </w:r>
      <w:r w:rsidRPr="0046695E">
        <w:rPr>
          <w:rFonts w:ascii="Arial" w:eastAsia="Arial" w:hAnsi="Arial" w:cs="Arial"/>
          <w:sz w:val="22"/>
          <w:szCs w:val="22"/>
        </w:rPr>
        <w:t>gist</w:t>
      </w:r>
      <w:r w:rsidRPr="00BD17CA">
        <w:rPr>
          <w:rFonts w:ascii="Arial" w:eastAsia="Arial" w:hAnsi="Arial" w:cs="Arial"/>
          <w:sz w:val="22"/>
          <w:szCs w:val="22"/>
        </w:rPr>
        <w:t>ered</w:t>
      </w:r>
      <w:r w:rsidRPr="0046695E">
        <w:rPr>
          <w:rFonts w:ascii="Arial" w:eastAsia="Arial" w:hAnsi="Arial" w:cs="Arial"/>
          <w:sz w:val="22"/>
          <w:szCs w:val="22"/>
        </w:rPr>
        <w:t xml:space="preserve"> pu</w:t>
      </w:r>
      <w:r w:rsidRPr="00BD17CA">
        <w:rPr>
          <w:rFonts w:ascii="Arial" w:eastAsia="Arial" w:hAnsi="Arial" w:cs="Arial"/>
          <w:sz w:val="22"/>
          <w:szCs w:val="22"/>
        </w:rPr>
        <w:t>b</w:t>
      </w:r>
      <w:r w:rsidRPr="0046695E">
        <w:rPr>
          <w:rFonts w:ascii="Arial" w:eastAsia="Arial" w:hAnsi="Arial" w:cs="Arial"/>
          <w:sz w:val="22"/>
          <w:szCs w:val="22"/>
        </w:rPr>
        <w:t>li</w:t>
      </w:r>
      <w:r w:rsidRPr="00BD17CA">
        <w:rPr>
          <w:rFonts w:ascii="Arial" w:eastAsia="Arial" w:hAnsi="Arial" w:cs="Arial"/>
          <w:sz w:val="22"/>
          <w:szCs w:val="22"/>
        </w:rPr>
        <w:t>c</w:t>
      </w:r>
      <w:r w:rsidRPr="0046695E">
        <w:rPr>
          <w:rFonts w:ascii="Arial" w:eastAsia="Arial" w:hAnsi="Arial" w:cs="Arial"/>
          <w:sz w:val="22"/>
          <w:szCs w:val="22"/>
        </w:rPr>
        <w:t xml:space="preserve"> s</w:t>
      </w:r>
      <w:r w:rsidRPr="00BD17CA">
        <w:rPr>
          <w:rFonts w:ascii="Arial" w:eastAsia="Arial" w:hAnsi="Arial" w:cs="Arial"/>
          <w:sz w:val="22"/>
          <w:szCs w:val="22"/>
        </w:rPr>
        <w:t>e</w:t>
      </w:r>
      <w:r w:rsidRPr="0046695E">
        <w:rPr>
          <w:rFonts w:ascii="Arial" w:eastAsia="Arial" w:hAnsi="Arial" w:cs="Arial"/>
          <w:sz w:val="22"/>
          <w:szCs w:val="22"/>
        </w:rPr>
        <w:t>rvic</w:t>
      </w:r>
      <w:r w:rsidRPr="00BD17CA">
        <w:rPr>
          <w:rFonts w:ascii="Arial" w:eastAsia="Arial" w:hAnsi="Arial" w:cs="Arial"/>
          <w:sz w:val="22"/>
          <w:szCs w:val="22"/>
        </w:rPr>
        <w:t>es</w:t>
      </w:r>
      <w:r w:rsidRPr="0046695E">
        <w:rPr>
          <w:rFonts w:ascii="Arial" w:eastAsia="Arial" w:hAnsi="Arial" w:cs="Arial"/>
          <w:sz w:val="22"/>
          <w:szCs w:val="22"/>
        </w:rPr>
        <w:t xml:space="preserve"> sc</w:t>
      </w:r>
      <w:r w:rsidRPr="00BD17CA">
        <w:rPr>
          <w:rFonts w:ascii="Arial" w:eastAsia="Arial" w:hAnsi="Arial" w:cs="Arial"/>
          <w:sz w:val="22"/>
          <w:szCs w:val="22"/>
        </w:rPr>
        <w:t>h</w:t>
      </w:r>
      <w:r w:rsidRPr="0046695E">
        <w:rPr>
          <w:rFonts w:ascii="Arial" w:eastAsia="Arial" w:hAnsi="Arial" w:cs="Arial"/>
          <w:sz w:val="22"/>
          <w:szCs w:val="22"/>
        </w:rPr>
        <w:t>em</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u</w:t>
      </w:r>
      <w:r w:rsidRPr="0046695E">
        <w:rPr>
          <w:rFonts w:ascii="Arial" w:eastAsia="Arial" w:hAnsi="Arial" w:cs="Arial"/>
          <w:sz w:val="22"/>
          <w:szCs w:val="22"/>
        </w:rPr>
        <w:t>nd</w:t>
      </w:r>
      <w:r w:rsidRPr="00BD17CA">
        <w:rPr>
          <w:rFonts w:ascii="Arial" w:eastAsia="Arial" w:hAnsi="Arial" w:cs="Arial"/>
          <w:sz w:val="22"/>
          <w:szCs w:val="22"/>
        </w:rPr>
        <w:t>er</w:t>
      </w:r>
      <w:r w:rsidRPr="0046695E">
        <w:rPr>
          <w:rFonts w:ascii="Arial" w:eastAsia="Arial" w:hAnsi="Arial" w:cs="Arial"/>
          <w:sz w:val="22"/>
          <w:szCs w:val="22"/>
        </w:rPr>
        <w:t xml:space="preserve"> s</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t</w:t>
      </w:r>
      <w:r w:rsidRPr="0046695E">
        <w:rPr>
          <w:rFonts w:ascii="Arial" w:eastAsia="Arial" w:hAnsi="Arial" w:cs="Arial"/>
          <w:sz w:val="22"/>
          <w:szCs w:val="22"/>
        </w:rPr>
        <w:t>i</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1(1)</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sc</w:t>
      </w:r>
      <w:r w:rsidRPr="00BD17CA">
        <w:rPr>
          <w:rFonts w:ascii="Arial" w:eastAsia="Arial" w:hAnsi="Arial" w:cs="Arial"/>
          <w:sz w:val="22"/>
          <w:szCs w:val="22"/>
        </w:rPr>
        <w:t>h</w:t>
      </w:r>
      <w:r w:rsidRPr="0046695E">
        <w:rPr>
          <w:rFonts w:ascii="Arial" w:eastAsia="Arial" w:hAnsi="Arial" w:cs="Arial"/>
          <w:sz w:val="22"/>
          <w:szCs w:val="22"/>
        </w:rPr>
        <w:t>ed</w:t>
      </w:r>
      <w:r w:rsidRPr="00BD17CA">
        <w:rPr>
          <w:rFonts w:ascii="Arial" w:eastAsia="Arial" w:hAnsi="Arial" w:cs="Arial"/>
          <w:sz w:val="22"/>
          <w:szCs w:val="22"/>
        </w:rPr>
        <w:t>u</w:t>
      </w:r>
      <w:r w:rsidRPr="0046695E">
        <w:rPr>
          <w:rFonts w:ascii="Arial" w:eastAsia="Arial" w:hAnsi="Arial" w:cs="Arial"/>
          <w:sz w:val="22"/>
          <w:szCs w:val="22"/>
        </w:rPr>
        <w:t>l</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36</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Fi</w:t>
      </w:r>
      <w:r w:rsidRPr="00BD17CA">
        <w:rPr>
          <w:rFonts w:ascii="Arial" w:eastAsia="Arial" w:hAnsi="Arial" w:cs="Arial"/>
          <w:sz w:val="22"/>
          <w:szCs w:val="22"/>
        </w:rPr>
        <w:t>n</w:t>
      </w:r>
      <w:r w:rsidRPr="0046695E">
        <w:rPr>
          <w:rFonts w:ascii="Arial" w:eastAsia="Arial" w:hAnsi="Arial" w:cs="Arial"/>
          <w:sz w:val="22"/>
          <w:szCs w:val="22"/>
        </w:rPr>
        <w:t>a</w:t>
      </w:r>
      <w:r w:rsidRPr="00BD17CA">
        <w:rPr>
          <w:rFonts w:ascii="Arial" w:eastAsia="Arial" w:hAnsi="Arial" w:cs="Arial"/>
          <w:sz w:val="22"/>
          <w:szCs w:val="22"/>
        </w:rPr>
        <w:t>n</w:t>
      </w:r>
      <w:r w:rsidRPr="0046695E">
        <w:rPr>
          <w:rFonts w:ascii="Arial" w:eastAsia="Arial" w:hAnsi="Arial" w:cs="Arial"/>
          <w:sz w:val="22"/>
          <w:szCs w:val="22"/>
        </w:rPr>
        <w:t>c</w:t>
      </w:r>
      <w:r w:rsidRPr="00BD17CA">
        <w:rPr>
          <w:rFonts w:ascii="Arial" w:eastAsia="Arial" w:hAnsi="Arial" w:cs="Arial"/>
          <w:sz w:val="22"/>
          <w:szCs w:val="22"/>
        </w:rPr>
        <w:t>e</w:t>
      </w:r>
      <w:r w:rsidRPr="0046695E">
        <w:rPr>
          <w:rFonts w:ascii="Arial" w:eastAsia="Arial" w:hAnsi="Arial" w:cs="Arial"/>
          <w:sz w:val="22"/>
          <w:szCs w:val="22"/>
        </w:rPr>
        <w:t xml:space="preserve"> Ac</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2</w:t>
      </w:r>
      <w:r w:rsidRPr="0046695E">
        <w:rPr>
          <w:rFonts w:ascii="Arial" w:eastAsia="Arial" w:hAnsi="Arial" w:cs="Arial"/>
          <w:sz w:val="22"/>
          <w:szCs w:val="22"/>
        </w:rPr>
        <w:t>0</w:t>
      </w:r>
      <w:r w:rsidRPr="00BD17CA">
        <w:rPr>
          <w:rFonts w:ascii="Arial" w:eastAsia="Arial" w:hAnsi="Arial" w:cs="Arial"/>
          <w:sz w:val="22"/>
          <w:szCs w:val="22"/>
        </w:rPr>
        <w:t>04</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d as</w:t>
      </w:r>
      <w:r w:rsidRPr="0046695E">
        <w:rPr>
          <w:rFonts w:ascii="Arial" w:eastAsia="Arial" w:hAnsi="Arial" w:cs="Arial"/>
          <w:sz w:val="22"/>
          <w:szCs w:val="22"/>
        </w:rPr>
        <w:t xml:space="preserve"> s</w:t>
      </w:r>
      <w:r w:rsidRPr="00BD17CA">
        <w:rPr>
          <w:rFonts w:ascii="Arial" w:eastAsia="Arial" w:hAnsi="Arial" w:cs="Arial"/>
          <w:sz w:val="22"/>
          <w:szCs w:val="22"/>
        </w:rPr>
        <w:t>u</w:t>
      </w:r>
      <w:r w:rsidRPr="0046695E">
        <w:rPr>
          <w:rFonts w:ascii="Arial" w:eastAsia="Arial" w:hAnsi="Arial" w:cs="Arial"/>
          <w:sz w:val="22"/>
          <w:szCs w:val="22"/>
        </w:rPr>
        <w:t>c</w:t>
      </w:r>
      <w:r w:rsidRPr="00BD17CA">
        <w:rPr>
          <w:rFonts w:ascii="Arial" w:eastAsia="Arial" w:hAnsi="Arial" w:cs="Arial"/>
          <w:sz w:val="22"/>
          <w:szCs w:val="22"/>
        </w:rPr>
        <w:t>h</w:t>
      </w:r>
      <w:r w:rsidRPr="0046695E">
        <w:rPr>
          <w:rFonts w:ascii="Arial" w:eastAsia="Arial" w:hAnsi="Arial" w:cs="Arial"/>
          <w:sz w:val="22"/>
          <w:szCs w:val="22"/>
        </w:rPr>
        <w:t xml:space="preserve"> i</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e</w:t>
      </w:r>
      <w:r w:rsidRPr="0046695E">
        <w:rPr>
          <w:rFonts w:ascii="Arial" w:eastAsia="Arial" w:hAnsi="Arial" w:cs="Arial"/>
          <w:sz w:val="22"/>
          <w:szCs w:val="22"/>
        </w:rPr>
        <w:t>x</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 xml:space="preserve">pt </w:t>
      </w:r>
      <w:r w:rsidRPr="0046695E">
        <w:rPr>
          <w:rFonts w:ascii="Arial" w:eastAsia="Arial" w:hAnsi="Arial" w:cs="Arial"/>
          <w:sz w:val="22"/>
          <w:szCs w:val="22"/>
        </w:rPr>
        <w:t>fro</w:t>
      </w:r>
      <w:r w:rsidRPr="00BD17CA">
        <w:rPr>
          <w:rFonts w:ascii="Arial" w:eastAsia="Arial" w:hAnsi="Arial" w:cs="Arial"/>
          <w:sz w:val="22"/>
          <w:szCs w:val="22"/>
        </w:rPr>
        <w:t>m</w:t>
      </w:r>
      <w:r w:rsidRPr="0046695E">
        <w:rPr>
          <w:rFonts w:ascii="Arial" w:eastAsia="Arial" w:hAnsi="Arial" w:cs="Arial"/>
          <w:sz w:val="22"/>
          <w:szCs w:val="22"/>
        </w:rPr>
        <w:t xml:space="preserve"> </w:t>
      </w:r>
      <w:r w:rsidRPr="00BD17CA">
        <w:rPr>
          <w:rFonts w:ascii="Arial" w:eastAsia="Arial" w:hAnsi="Arial" w:cs="Arial"/>
          <w:sz w:val="22"/>
          <w:szCs w:val="22"/>
        </w:rPr>
        <w:t>UK</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tax</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i</w:t>
      </w:r>
      <w:r w:rsidRPr="00BD17CA">
        <w:rPr>
          <w:rFonts w:ascii="Arial" w:eastAsia="Arial" w:hAnsi="Arial" w:cs="Arial"/>
          <w:sz w:val="22"/>
          <w:szCs w:val="22"/>
        </w:rPr>
        <w:t>nt</w:t>
      </w:r>
      <w:r w:rsidRPr="0046695E">
        <w:rPr>
          <w:rFonts w:ascii="Arial" w:eastAsia="Arial" w:hAnsi="Arial" w:cs="Arial"/>
          <w:sz w:val="22"/>
          <w:szCs w:val="22"/>
        </w:rPr>
        <w:t>er</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 xml:space="preserve"> 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e</w:t>
      </w:r>
      <w:r w:rsidRPr="0046695E">
        <w:rPr>
          <w:rFonts w:ascii="Arial" w:eastAsia="Arial" w:hAnsi="Arial" w:cs="Arial"/>
          <w:sz w:val="22"/>
          <w:szCs w:val="22"/>
        </w:rPr>
        <w:t>iv</w:t>
      </w:r>
      <w:r w:rsidRPr="00BD17CA">
        <w:rPr>
          <w:rFonts w:ascii="Arial" w:eastAsia="Arial" w:hAnsi="Arial" w:cs="Arial"/>
          <w:sz w:val="22"/>
          <w:szCs w:val="22"/>
        </w:rPr>
        <w:t>ed</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fro</w:t>
      </w:r>
      <w:r w:rsidRPr="00BD17CA">
        <w:rPr>
          <w:rFonts w:ascii="Arial" w:eastAsia="Arial" w:hAnsi="Arial" w:cs="Arial"/>
          <w:sz w:val="22"/>
          <w:szCs w:val="22"/>
        </w:rPr>
        <w:t>m</w:t>
      </w:r>
      <w:r w:rsidRPr="0046695E">
        <w:rPr>
          <w:rFonts w:ascii="Arial" w:eastAsia="Arial" w:hAnsi="Arial" w:cs="Arial"/>
          <w:sz w:val="22"/>
          <w:szCs w:val="22"/>
        </w:rPr>
        <w:t xml:space="preserve"> c</w:t>
      </w:r>
      <w:r w:rsidRPr="00BD17CA">
        <w:rPr>
          <w:rFonts w:ascii="Arial" w:eastAsia="Arial" w:hAnsi="Arial" w:cs="Arial"/>
          <w:sz w:val="22"/>
          <w:szCs w:val="22"/>
        </w:rPr>
        <w:t>a</w:t>
      </w:r>
      <w:r w:rsidRPr="0046695E">
        <w:rPr>
          <w:rFonts w:ascii="Arial" w:eastAsia="Arial" w:hAnsi="Arial" w:cs="Arial"/>
          <w:sz w:val="22"/>
          <w:szCs w:val="22"/>
        </w:rPr>
        <w:t>pi</w:t>
      </w:r>
      <w:r w:rsidRPr="00BD17CA">
        <w:rPr>
          <w:rFonts w:ascii="Arial" w:eastAsia="Arial" w:hAnsi="Arial" w:cs="Arial"/>
          <w:sz w:val="22"/>
          <w:szCs w:val="22"/>
        </w:rPr>
        <w:t>t</w:t>
      </w:r>
      <w:r w:rsidRPr="0046695E">
        <w:rPr>
          <w:rFonts w:ascii="Arial" w:eastAsia="Arial" w:hAnsi="Arial" w:cs="Arial"/>
          <w:sz w:val="22"/>
          <w:szCs w:val="22"/>
        </w:rPr>
        <w:t>a</w:t>
      </w:r>
      <w:r w:rsidRPr="00BD17CA">
        <w:rPr>
          <w:rFonts w:ascii="Arial" w:eastAsia="Arial" w:hAnsi="Arial" w:cs="Arial"/>
          <w:sz w:val="22"/>
          <w:szCs w:val="22"/>
        </w:rPr>
        <w:t>l</w:t>
      </w:r>
      <w:r w:rsidRPr="0046695E">
        <w:rPr>
          <w:rFonts w:ascii="Arial" w:eastAsia="Arial" w:hAnsi="Arial" w:cs="Arial"/>
          <w:sz w:val="22"/>
          <w:szCs w:val="22"/>
        </w:rPr>
        <w:t xml:space="preserve"> g</w:t>
      </w:r>
      <w:r w:rsidRPr="00BD17CA">
        <w:rPr>
          <w:rFonts w:ascii="Arial" w:eastAsia="Arial" w:hAnsi="Arial" w:cs="Arial"/>
          <w:sz w:val="22"/>
          <w:szCs w:val="22"/>
        </w:rPr>
        <w:t>a</w:t>
      </w:r>
      <w:r w:rsidRPr="0046695E">
        <w:rPr>
          <w:rFonts w:ascii="Arial" w:eastAsia="Arial" w:hAnsi="Arial" w:cs="Arial"/>
          <w:sz w:val="22"/>
          <w:szCs w:val="22"/>
        </w:rPr>
        <w:t>i</w:t>
      </w:r>
      <w:r w:rsidRPr="00BD17CA">
        <w:rPr>
          <w:rFonts w:ascii="Arial" w:eastAsia="Arial" w:hAnsi="Arial" w:cs="Arial"/>
          <w:sz w:val="22"/>
          <w:szCs w:val="22"/>
        </w:rPr>
        <w:t>ns</w:t>
      </w:r>
      <w:r w:rsidRPr="0046695E">
        <w:rPr>
          <w:rFonts w:ascii="Arial" w:eastAsia="Arial" w:hAnsi="Arial" w:cs="Arial"/>
          <w:sz w:val="22"/>
          <w:szCs w:val="22"/>
        </w:rPr>
        <w:t xml:space="preserve"> t</w:t>
      </w:r>
      <w:r w:rsidRPr="00BD17CA">
        <w:rPr>
          <w:rFonts w:ascii="Arial" w:eastAsia="Arial" w:hAnsi="Arial" w:cs="Arial"/>
          <w:sz w:val="22"/>
          <w:szCs w:val="22"/>
        </w:rPr>
        <w:t>ax</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w:t>
      </w:r>
      <w:r w:rsidRPr="00BD17CA">
        <w:rPr>
          <w:rFonts w:ascii="Arial" w:eastAsia="Arial" w:hAnsi="Arial" w:cs="Arial"/>
          <w:sz w:val="22"/>
          <w:szCs w:val="22"/>
        </w:rPr>
        <w:t>pro</w:t>
      </w:r>
      <w:r w:rsidRPr="0046695E">
        <w:rPr>
          <w:rFonts w:ascii="Arial" w:eastAsia="Arial" w:hAnsi="Arial" w:cs="Arial"/>
          <w:sz w:val="22"/>
          <w:szCs w:val="22"/>
        </w:rPr>
        <w:t>c</w:t>
      </w:r>
      <w:r w:rsidRPr="00BD17CA">
        <w:rPr>
          <w:rFonts w:ascii="Arial" w:eastAsia="Arial" w:hAnsi="Arial" w:cs="Arial"/>
          <w:sz w:val="22"/>
          <w:szCs w:val="22"/>
        </w:rPr>
        <w:t>e</w:t>
      </w:r>
      <w:r w:rsidRPr="0046695E">
        <w:rPr>
          <w:rFonts w:ascii="Arial" w:eastAsia="Arial" w:hAnsi="Arial" w:cs="Arial"/>
          <w:sz w:val="22"/>
          <w:szCs w:val="22"/>
        </w:rPr>
        <w:t>e</w:t>
      </w:r>
      <w:r w:rsidRPr="00BD17CA">
        <w:rPr>
          <w:rFonts w:ascii="Arial" w:eastAsia="Arial" w:hAnsi="Arial" w:cs="Arial"/>
          <w:sz w:val="22"/>
          <w:szCs w:val="22"/>
        </w:rPr>
        <w:t>ds</w:t>
      </w:r>
      <w:r w:rsidRPr="0046695E">
        <w:rPr>
          <w:rFonts w:ascii="Arial" w:eastAsia="Arial" w:hAnsi="Arial" w:cs="Arial"/>
          <w:sz w:val="22"/>
          <w:szCs w:val="22"/>
        </w:rPr>
        <w:t xml:space="preserve"> </w:t>
      </w:r>
      <w:r w:rsidRPr="00BD17CA">
        <w:rPr>
          <w:rFonts w:ascii="Arial" w:eastAsia="Arial" w:hAnsi="Arial" w:cs="Arial"/>
          <w:sz w:val="22"/>
          <w:szCs w:val="22"/>
        </w:rPr>
        <w:t xml:space="preserve">of </w:t>
      </w:r>
      <w:r w:rsidRPr="0046695E">
        <w:rPr>
          <w:rFonts w:ascii="Arial" w:eastAsia="Arial" w:hAnsi="Arial" w:cs="Arial"/>
          <w:sz w:val="22"/>
          <w:szCs w:val="22"/>
        </w:rPr>
        <w:t>inv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ts</w:t>
      </w:r>
      <w:r w:rsidRPr="0046695E">
        <w:rPr>
          <w:rFonts w:ascii="Arial" w:eastAsia="Arial" w:hAnsi="Arial" w:cs="Arial"/>
          <w:sz w:val="22"/>
          <w:szCs w:val="22"/>
        </w:rPr>
        <w:t xml:space="preserve"> s</w:t>
      </w:r>
      <w:r w:rsidRPr="00BD17CA">
        <w:rPr>
          <w:rFonts w:ascii="Arial" w:eastAsia="Arial" w:hAnsi="Arial" w:cs="Arial"/>
          <w:sz w:val="22"/>
          <w:szCs w:val="22"/>
        </w:rPr>
        <w:t>o</w:t>
      </w:r>
      <w:r w:rsidRPr="0046695E">
        <w:rPr>
          <w:rFonts w:ascii="Arial" w:eastAsia="Arial" w:hAnsi="Arial" w:cs="Arial"/>
          <w:sz w:val="22"/>
          <w:szCs w:val="22"/>
        </w:rPr>
        <w:t>l</w:t>
      </w:r>
      <w:r w:rsidRPr="00BD17CA">
        <w:rPr>
          <w:rFonts w:ascii="Arial" w:eastAsia="Arial" w:hAnsi="Arial" w:cs="Arial"/>
          <w:sz w:val="22"/>
          <w:szCs w:val="22"/>
        </w:rPr>
        <w:t xml:space="preserve">d. </w:t>
      </w:r>
      <w:r w:rsidRPr="0046695E">
        <w:rPr>
          <w:rFonts w:ascii="Arial" w:eastAsia="Arial" w:hAnsi="Arial" w:cs="Arial"/>
          <w:sz w:val="22"/>
          <w:szCs w:val="22"/>
        </w:rPr>
        <w:t xml:space="preserve"> </w:t>
      </w:r>
      <w:r w:rsidRPr="00BD17CA">
        <w:rPr>
          <w:rFonts w:ascii="Arial" w:eastAsia="Arial" w:hAnsi="Arial" w:cs="Arial"/>
          <w:sz w:val="22"/>
          <w:szCs w:val="22"/>
        </w:rPr>
        <w:t>Inco</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 xml:space="preserve"> fro</w:t>
      </w:r>
      <w:r w:rsidRPr="00BD17CA">
        <w:rPr>
          <w:rFonts w:ascii="Arial" w:eastAsia="Arial" w:hAnsi="Arial" w:cs="Arial"/>
          <w:sz w:val="22"/>
          <w:szCs w:val="22"/>
        </w:rPr>
        <w:t>m</w:t>
      </w:r>
      <w:r w:rsidRPr="0046695E">
        <w:rPr>
          <w:rFonts w:ascii="Arial" w:eastAsia="Arial" w:hAnsi="Arial" w:cs="Arial"/>
          <w:sz w:val="22"/>
          <w:szCs w:val="22"/>
        </w:rPr>
        <w:t xml:space="preserve"> </w:t>
      </w:r>
      <w:r w:rsidRPr="00BD17CA">
        <w:rPr>
          <w:rFonts w:ascii="Arial" w:eastAsia="Arial" w:hAnsi="Arial" w:cs="Arial"/>
          <w:sz w:val="22"/>
          <w:szCs w:val="22"/>
        </w:rPr>
        <w:t>o</w:t>
      </w:r>
      <w:r w:rsidRPr="0046695E">
        <w:rPr>
          <w:rFonts w:ascii="Arial" w:eastAsia="Arial" w:hAnsi="Arial" w:cs="Arial"/>
          <w:sz w:val="22"/>
          <w:szCs w:val="22"/>
        </w:rPr>
        <w:t>v</w:t>
      </w:r>
      <w:r w:rsidRPr="00BD17CA">
        <w:rPr>
          <w:rFonts w:ascii="Arial" w:eastAsia="Arial" w:hAnsi="Arial" w:cs="Arial"/>
          <w:sz w:val="22"/>
          <w:szCs w:val="22"/>
        </w:rPr>
        <w:t>er</w:t>
      </w:r>
      <w:r w:rsidRPr="0046695E">
        <w:rPr>
          <w:rFonts w:ascii="Arial" w:eastAsia="Arial" w:hAnsi="Arial" w:cs="Arial"/>
          <w:sz w:val="22"/>
          <w:szCs w:val="22"/>
        </w:rPr>
        <w:t>s</w:t>
      </w:r>
      <w:r w:rsidRPr="00BD17CA">
        <w:rPr>
          <w:rFonts w:ascii="Arial" w:eastAsia="Arial" w:hAnsi="Arial" w:cs="Arial"/>
          <w:sz w:val="22"/>
          <w:szCs w:val="22"/>
        </w:rPr>
        <w:t>e</w:t>
      </w:r>
      <w:r w:rsidRPr="0046695E">
        <w:rPr>
          <w:rFonts w:ascii="Arial" w:eastAsia="Arial" w:hAnsi="Arial" w:cs="Arial"/>
          <w:sz w:val="22"/>
          <w:szCs w:val="22"/>
        </w:rPr>
        <w:t>a</w:t>
      </w:r>
      <w:r w:rsidRPr="00BD17CA">
        <w:rPr>
          <w:rFonts w:ascii="Arial" w:eastAsia="Arial" w:hAnsi="Arial" w:cs="Arial"/>
          <w:sz w:val="22"/>
          <w:szCs w:val="22"/>
        </w:rPr>
        <w:t>s</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ves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 xml:space="preserve">ts </w:t>
      </w:r>
      <w:r w:rsidRPr="0046695E">
        <w:rPr>
          <w:rFonts w:ascii="Arial" w:eastAsia="Arial" w:hAnsi="Arial" w:cs="Arial"/>
          <w:sz w:val="22"/>
          <w:szCs w:val="22"/>
        </w:rPr>
        <w:t>s</w:t>
      </w:r>
      <w:r w:rsidRPr="00BD17CA">
        <w:rPr>
          <w:rFonts w:ascii="Arial" w:eastAsia="Arial" w:hAnsi="Arial" w:cs="Arial"/>
          <w:sz w:val="22"/>
          <w:szCs w:val="22"/>
        </w:rPr>
        <w:t>u</w:t>
      </w:r>
      <w:r w:rsidRPr="0046695E">
        <w:rPr>
          <w:rFonts w:ascii="Arial" w:eastAsia="Arial" w:hAnsi="Arial" w:cs="Arial"/>
          <w:sz w:val="22"/>
          <w:szCs w:val="22"/>
        </w:rPr>
        <w:t>ff</w:t>
      </w:r>
      <w:r w:rsidRPr="00BD17CA">
        <w:rPr>
          <w:rFonts w:ascii="Arial" w:eastAsia="Arial" w:hAnsi="Arial" w:cs="Arial"/>
          <w:sz w:val="22"/>
          <w:szCs w:val="22"/>
        </w:rPr>
        <w:t>ers</w:t>
      </w:r>
      <w:r w:rsidRPr="0046695E">
        <w:rPr>
          <w:rFonts w:ascii="Arial" w:eastAsia="Arial" w:hAnsi="Arial" w:cs="Arial"/>
          <w:sz w:val="22"/>
          <w:szCs w:val="22"/>
        </w:rPr>
        <w:t xml:space="preserve"> wi</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h</w:t>
      </w:r>
      <w:r w:rsidRPr="0046695E">
        <w:rPr>
          <w:rFonts w:ascii="Arial" w:eastAsia="Arial" w:hAnsi="Arial" w:cs="Arial"/>
          <w:sz w:val="22"/>
          <w:szCs w:val="22"/>
        </w:rPr>
        <w:t>ol</w:t>
      </w:r>
      <w:r w:rsidRPr="00BD17CA">
        <w:rPr>
          <w:rFonts w:ascii="Arial" w:eastAsia="Arial" w:hAnsi="Arial" w:cs="Arial"/>
          <w:sz w:val="22"/>
          <w:szCs w:val="22"/>
        </w:rPr>
        <w:t>d</w:t>
      </w:r>
      <w:r w:rsidRPr="0046695E">
        <w:rPr>
          <w:rFonts w:ascii="Arial" w:eastAsia="Arial" w:hAnsi="Arial" w:cs="Arial"/>
          <w:sz w:val="22"/>
          <w:szCs w:val="22"/>
        </w:rPr>
        <w:t>i</w:t>
      </w:r>
      <w:r w:rsidRPr="00BD17CA">
        <w:rPr>
          <w:rFonts w:ascii="Arial" w:eastAsia="Arial" w:hAnsi="Arial" w:cs="Arial"/>
          <w:sz w:val="22"/>
          <w:szCs w:val="22"/>
        </w:rPr>
        <w:t>ng</w:t>
      </w:r>
      <w:r w:rsidRPr="0046695E">
        <w:rPr>
          <w:rFonts w:ascii="Arial" w:eastAsia="Arial" w:hAnsi="Arial" w:cs="Arial"/>
          <w:sz w:val="22"/>
          <w:szCs w:val="22"/>
        </w:rPr>
        <w:t xml:space="preserve"> </w:t>
      </w:r>
      <w:r w:rsidRPr="00BD17CA">
        <w:rPr>
          <w:rFonts w:ascii="Arial" w:eastAsia="Arial" w:hAnsi="Arial" w:cs="Arial"/>
          <w:sz w:val="22"/>
          <w:szCs w:val="22"/>
        </w:rPr>
        <w:t>tax</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w:t>
      </w:r>
      <w:r w:rsidRPr="0046695E">
        <w:rPr>
          <w:rFonts w:ascii="Arial" w:eastAsia="Arial" w:hAnsi="Arial" w:cs="Arial"/>
          <w:sz w:val="22"/>
          <w:szCs w:val="22"/>
        </w:rPr>
        <w:t>r</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or</w:t>
      </w:r>
      <w:r w:rsidRPr="0046695E">
        <w:rPr>
          <w:rFonts w:ascii="Arial" w:eastAsia="Arial" w:hAnsi="Arial" w:cs="Arial"/>
          <w:sz w:val="22"/>
          <w:szCs w:val="22"/>
        </w:rPr>
        <w:t>i</w:t>
      </w:r>
      <w:r w:rsidRPr="00BD17CA">
        <w:rPr>
          <w:rFonts w:ascii="Arial" w:eastAsia="Arial" w:hAnsi="Arial" w:cs="Arial"/>
          <w:sz w:val="22"/>
          <w:szCs w:val="22"/>
        </w:rPr>
        <w:t>g</w:t>
      </w:r>
      <w:r w:rsidRPr="0046695E">
        <w:rPr>
          <w:rFonts w:ascii="Arial" w:eastAsia="Arial" w:hAnsi="Arial" w:cs="Arial"/>
          <w:sz w:val="22"/>
          <w:szCs w:val="22"/>
        </w:rPr>
        <w:t>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u</w:t>
      </w:r>
      <w:r w:rsidRPr="0046695E">
        <w:rPr>
          <w:rFonts w:ascii="Arial" w:eastAsia="Arial" w:hAnsi="Arial" w:cs="Arial"/>
          <w:sz w:val="22"/>
          <w:szCs w:val="22"/>
        </w:rPr>
        <w:t>nl</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s e</w:t>
      </w:r>
      <w:r w:rsidRPr="0046695E">
        <w:rPr>
          <w:rFonts w:ascii="Arial" w:eastAsia="Arial" w:hAnsi="Arial" w:cs="Arial"/>
          <w:sz w:val="22"/>
          <w:szCs w:val="22"/>
        </w:rPr>
        <w:t>x</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pt</w:t>
      </w:r>
      <w:r w:rsidRPr="0046695E">
        <w:rPr>
          <w:rFonts w:ascii="Arial" w:eastAsia="Arial" w:hAnsi="Arial" w:cs="Arial"/>
          <w:sz w:val="22"/>
          <w:szCs w:val="22"/>
        </w:rPr>
        <w:t>i</w:t>
      </w:r>
      <w:r w:rsidRPr="00BD17CA">
        <w:rPr>
          <w:rFonts w:ascii="Arial" w:eastAsia="Arial" w:hAnsi="Arial" w:cs="Arial"/>
          <w:sz w:val="22"/>
          <w:szCs w:val="22"/>
        </w:rPr>
        <w:t>on</w:t>
      </w:r>
      <w:r w:rsidRPr="0046695E">
        <w:rPr>
          <w:rFonts w:ascii="Arial" w:eastAsia="Arial" w:hAnsi="Arial" w:cs="Arial"/>
          <w:sz w:val="22"/>
          <w:szCs w:val="22"/>
        </w:rPr>
        <w:t xml:space="preserve"> i</w:t>
      </w:r>
      <w:r w:rsidRPr="00BD17CA">
        <w:rPr>
          <w:rFonts w:ascii="Arial" w:eastAsia="Arial" w:hAnsi="Arial" w:cs="Arial"/>
          <w:sz w:val="22"/>
          <w:szCs w:val="22"/>
        </w:rPr>
        <w:t xml:space="preserve">s </w:t>
      </w:r>
      <w:r w:rsidRPr="0046695E">
        <w:rPr>
          <w:rFonts w:ascii="Arial" w:eastAsia="Arial" w:hAnsi="Arial" w:cs="Arial"/>
          <w:sz w:val="22"/>
          <w:szCs w:val="22"/>
        </w:rPr>
        <w:t>p</w:t>
      </w:r>
      <w:r w:rsidRPr="00BD17CA">
        <w:rPr>
          <w:rFonts w:ascii="Arial" w:eastAsia="Arial" w:hAnsi="Arial" w:cs="Arial"/>
          <w:sz w:val="22"/>
          <w:szCs w:val="22"/>
        </w:rPr>
        <w:t>er</w:t>
      </w:r>
      <w:r w:rsidRPr="0046695E">
        <w:rPr>
          <w:rFonts w:ascii="Arial" w:eastAsia="Arial" w:hAnsi="Arial" w:cs="Arial"/>
          <w:sz w:val="22"/>
          <w:szCs w:val="22"/>
        </w:rPr>
        <w:t>mi</w:t>
      </w:r>
      <w:r w:rsidRPr="00BD17CA">
        <w:rPr>
          <w:rFonts w:ascii="Arial" w:eastAsia="Arial" w:hAnsi="Arial" w:cs="Arial"/>
          <w:sz w:val="22"/>
          <w:szCs w:val="22"/>
        </w:rPr>
        <w:t>tt</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Ir</w:t>
      </w:r>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v</w:t>
      </w:r>
      <w:r w:rsidRPr="00BD17CA">
        <w:rPr>
          <w:rFonts w:ascii="Arial" w:eastAsia="Arial" w:hAnsi="Arial" w:cs="Arial"/>
          <w:sz w:val="22"/>
          <w:szCs w:val="22"/>
        </w:rPr>
        <w:t>er</w:t>
      </w:r>
      <w:r w:rsidRPr="0046695E">
        <w:rPr>
          <w:rFonts w:ascii="Arial" w:eastAsia="Arial" w:hAnsi="Arial" w:cs="Arial"/>
          <w:sz w:val="22"/>
          <w:szCs w:val="22"/>
        </w:rPr>
        <w:t>a</w:t>
      </w:r>
      <w:r w:rsidRPr="00BD17CA">
        <w:rPr>
          <w:rFonts w:ascii="Arial" w:eastAsia="Arial" w:hAnsi="Arial" w:cs="Arial"/>
          <w:sz w:val="22"/>
          <w:szCs w:val="22"/>
        </w:rPr>
        <w:t>b</w:t>
      </w:r>
      <w:r w:rsidRPr="0046695E">
        <w:rPr>
          <w:rFonts w:ascii="Arial" w:eastAsia="Arial" w:hAnsi="Arial" w:cs="Arial"/>
          <w:sz w:val="22"/>
          <w:szCs w:val="22"/>
        </w:rPr>
        <w:t>l</w:t>
      </w:r>
      <w:r w:rsidRPr="00BD17CA">
        <w:rPr>
          <w:rFonts w:ascii="Arial" w:eastAsia="Arial" w:hAnsi="Arial" w:cs="Arial"/>
          <w:sz w:val="22"/>
          <w:szCs w:val="22"/>
        </w:rPr>
        <w:t>e</w:t>
      </w:r>
      <w:r w:rsidRPr="0046695E">
        <w:rPr>
          <w:rFonts w:ascii="Arial" w:eastAsia="Arial" w:hAnsi="Arial" w:cs="Arial"/>
          <w:sz w:val="22"/>
          <w:szCs w:val="22"/>
        </w:rPr>
        <w:t xml:space="preserve"> t</w:t>
      </w:r>
      <w:r w:rsidRPr="00BD17CA">
        <w:rPr>
          <w:rFonts w:ascii="Arial" w:eastAsia="Arial" w:hAnsi="Arial" w:cs="Arial"/>
          <w:sz w:val="22"/>
          <w:szCs w:val="22"/>
        </w:rPr>
        <w:t xml:space="preserve">ax </w:t>
      </w:r>
      <w:r w:rsidRPr="0046695E">
        <w:rPr>
          <w:rFonts w:ascii="Arial" w:eastAsia="Arial" w:hAnsi="Arial" w:cs="Arial"/>
          <w:sz w:val="22"/>
          <w:szCs w:val="22"/>
        </w:rPr>
        <w:t>i</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w:t>
      </w:r>
      <w:r w:rsidRPr="0046695E">
        <w:rPr>
          <w:rFonts w:ascii="Arial" w:eastAsia="Arial" w:hAnsi="Arial" w:cs="Arial"/>
          <w:sz w:val="22"/>
          <w:szCs w:val="22"/>
        </w:rPr>
        <w:t>te</w:t>
      </w:r>
      <w:r w:rsidRPr="00BD17CA">
        <w:rPr>
          <w:rFonts w:ascii="Arial" w:eastAsia="Arial" w:hAnsi="Arial" w:cs="Arial"/>
          <w:sz w:val="22"/>
          <w:szCs w:val="22"/>
        </w:rPr>
        <w:t>d</w:t>
      </w:r>
      <w:r w:rsidRPr="0046695E">
        <w:rPr>
          <w:rFonts w:ascii="Arial" w:eastAsia="Arial" w:hAnsi="Arial" w:cs="Arial"/>
          <w:sz w:val="22"/>
          <w:szCs w:val="22"/>
        </w:rPr>
        <w:t xml:space="preserve"> f</w:t>
      </w:r>
      <w:r w:rsidRPr="00BD17CA">
        <w:rPr>
          <w:rFonts w:ascii="Arial" w:eastAsia="Arial" w:hAnsi="Arial" w:cs="Arial"/>
          <w:sz w:val="22"/>
          <w:szCs w:val="22"/>
        </w:rPr>
        <w:t>or</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exp</w:t>
      </w:r>
      <w:r w:rsidRPr="00BD17CA">
        <w:rPr>
          <w:rFonts w:ascii="Arial" w:eastAsia="Arial" w:hAnsi="Arial" w:cs="Arial"/>
          <w:sz w:val="22"/>
          <w:szCs w:val="22"/>
        </w:rPr>
        <w:t>e</w:t>
      </w:r>
      <w:r w:rsidRPr="0046695E">
        <w:rPr>
          <w:rFonts w:ascii="Arial" w:eastAsia="Arial" w:hAnsi="Arial" w:cs="Arial"/>
          <w:sz w:val="22"/>
          <w:szCs w:val="22"/>
        </w:rPr>
        <w:t>ns</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 xml:space="preserve"> i</w:t>
      </w:r>
      <w:r w:rsidRPr="00BD17CA">
        <w:rPr>
          <w:rFonts w:ascii="Arial" w:eastAsia="Arial" w:hAnsi="Arial" w:cs="Arial"/>
          <w:sz w:val="22"/>
          <w:szCs w:val="22"/>
        </w:rPr>
        <w:t>t</w:t>
      </w:r>
      <w:r w:rsidRPr="0046695E">
        <w:rPr>
          <w:rFonts w:ascii="Arial" w:eastAsia="Arial" w:hAnsi="Arial" w:cs="Arial"/>
          <w:sz w:val="22"/>
          <w:szCs w:val="22"/>
        </w:rPr>
        <w:t xml:space="preserve"> aris</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w:t>
      </w:r>
    </w:p>
    <w:p w14:paraId="23538828" w14:textId="77777777" w:rsidR="009C7422" w:rsidRPr="0046695E" w:rsidRDefault="001706EB" w:rsidP="0046695E">
      <w:pPr>
        <w:spacing w:after="200" w:line="276" w:lineRule="auto"/>
        <w:ind w:right="74"/>
        <w:jc w:val="both"/>
        <w:rPr>
          <w:rFonts w:ascii="Arial" w:eastAsia="Arial" w:hAnsi="Arial" w:cs="Arial"/>
          <w:b/>
          <w:sz w:val="22"/>
          <w:szCs w:val="22"/>
        </w:rPr>
      </w:pPr>
      <w:r w:rsidRPr="0046695E">
        <w:rPr>
          <w:rFonts w:ascii="Arial" w:eastAsia="Arial" w:hAnsi="Arial" w:cs="Arial"/>
          <w:b/>
          <w:sz w:val="22"/>
          <w:szCs w:val="22"/>
        </w:rPr>
        <w:t>f</w:t>
      </w:r>
      <w:r w:rsidRPr="00BD17CA">
        <w:rPr>
          <w:rFonts w:ascii="Arial" w:eastAsia="Arial" w:hAnsi="Arial" w:cs="Arial"/>
          <w:b/>
          <w:sz w:val="22"/>
          <w:szCs w:val="22"/>
        </w:rPr>
        <w:t>)</w:t>
      </w:r>
      <w:r w:rsidRPr="0046695E">
        <w:rPr>
          <w:rFonts w:ascii="Arial" w:eastAsia="Arial" w:hAnsi="Arial" w:cs="Arial"/>
          <w:b/>
          <w:sz w:val="22"/>
          <w:szCs w:val="22"/>
        </w:rPr>
        <w:t xml:space="preserve"> M</w:t>
      </w:r>
      <w:r w:rsidRPr="00BD17CA">
        <w:rPr>
          <w:rFonts w:ascii="Arial" w:eastAsia="Arial" w:hAnsi="Arial" w:cs="Arial"/>
          <w:b/>
          <w:sz w:val="22"/>
          <w:szCs w:val="22"/>
        </w:rPr>
        <w:t>anagement</w:t>
      </w:r>
      <w:r w:rsidRPr="0046695E">
        <w:rPr>
          <w:rFonts w:ascii="Arial" w:eastAsia="Arial" w:hAnsi="Arial" w:cs="Arial"/>
          <w:b/>
          <w:sz w:val="22"/>
          <w:szCs w:val="22"/>
        </w:rPr>
        <w:t xml:space="preserve"> </w:t>
      </w:r>
      <w:r w:rsidRPr="00BD17CA">
        <w:rPr>
          <w:rFonts w:ascii="Arial" w:eastAsia="Arial" w:hAnsi="Arial" w:cs="Arial"/>
          <w:b/>
          <w:sz w:val="22"/>
          <w:szCs w:val="22"/>
        </w:rPr>
        <w:t>e</w:t>
      </w:r>
      <w:r w:rsidRPr="0046695E">
        <w:rPr>
          <w:rFonts w:ascii="Arial" w:eastAsia="Arial" w:hAnsi="Arial" w:cs="Arial"/>
          <w:b/>
          <w:sz w:val="22"/>
          <w:szCs w:val="22"/>
        </w:rPr>
        <w:t>x</w:t>
      </w:r>
      <w:r w:rsidRPr="00BD17CA">
        <w:rPr>
          <w:rFonts w:ascii="Arial" w:eastAsia="Arial" w:hAnsi="Arial" w:cs="Arial"/>
          <w:b/>
          <w:sz w:val="22"/>
          <w:szCs w:val="22"/>
        </w:rPr>
        <w:t>pen</w:t>
      </w:r>
      <w:r w:rsidRPr="0046695E">
        <w:rPr>
          <w:rFonts w:ascii="Arial" w:eastAsia="Arial" w:hAnsi="Arial" w:cs="Arial"/>
          <w:b/>
          <w:sz w:val="22"/>
          <w:szCs w:val="22"/>
        </w:rPr>
        <w:t>s</w:t>
      </w:r>
      <w:r w:rsidRPr="00BD17CA">
        <w:rPr>
          <w:rFonts w:ascii="Arial" w:eastAsia="Arial" w:hAnsi="Arial" w:cs="Arial"/>
          <w:b/>
          <w:sz w:val="22"/>
          <w:szCs w:val="22"/>
        </w:rPr>
        <w:t>es</w:t>
      </w:r>
    </w:p>
    <w:p w14:paraId="569B3222" w14:textId="50250B04" w:rsidR="009C7422" w:rsidRPr="00BD17CA"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T</w:t>
      </w:r>
      <w:r w:rsidRPr="00BD17CA">
        <w:rPr>
          <w:rFonts w:ascii="Arial" w:eastAsia="Arial" w:hAnsi="Arial" w:cs="Arial"/>
          <w:sz w:val="22"/>
          <w:szCs w:val="22"/>
        </w:rPr>
        <w:t>he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discl</w:t>
      </w:r>
      <w:r w:rsidRPr="00BD17CA">
        <w:rPr>
          <w:rFonts w:ascii="Arial" w:eastAsia="Arial" w:hAnsi="Arial" w:cs="Arial"/>
          <w:sz w:val="22"/>
          <w:szCs w:val="22"/>
        </w:rPr>
        <w:t>o</w:t>
      </w:r>
      <w:r w:rsidRPr="0046695E">
        <w:rPr>
          <w:rFonts w:ascii="Arial" w:eastAsia="Arial" w:hAnsi="Arial" w:cs="Arial"/>
          <w:sz w:val="22"/>
          <w:szCs w:val="22"/>
        </w:rPr>
        <w:t>s</w:t>
      </w:r>
      <w:r w:rsidRPr="00BD17CA">
        <w:rPr>
          <w:rFonts w:ascii="Arial" w:eastAsia="Arial" w:hAnsi="Arial" w:cs="Arial"/>
          <w:sz w:val="22"/>
          <w:szCs w:val="22"/>
        </w:rPr>
        <w:t>es</w:t>
      </w:r>
      <w:r w:rsidRPr="0046695E">
        <w:rPr>
          <w:rFonts w:ascii="Arial" w:eastAsia="Arial" w:hAnsi="Arial" w:cs="Arial"/>
          <w:sz w:val="22"/>
          <w:szCs w:val="22"/>
        </w:rPr>
        <w:t xml:space="preserve"> i</w:t>
      </w:r>
      <w:r w:rsidRPr="00BD17CA">
        <w:rPr>
          <w:rFonts w:ascii="Arial" w:eastAsia="Arial" w:hAnsi="Arial" w:cs="Arial"/>
          <w:sz w:val="22"/>
          <w:szCs w:val="22"/>
        </w:rPr>
        <w:t>ts</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on</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m</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a</w:t>
      </w:r>
      <w:r w:rsidRPr="0046695E">
        <w:rPr>
          <w:rFonts w:ascii="Arial" w:eastAsia="Arial" w:hAnsi="Arial" w:cs="Arial"/>
          <w:sz w:val="22"/>
          <w:szCs w:val="22"/>
        </w:rPr>
        <w:t>g</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ex</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w:t>
      </w:r>
      <w:r w:rsidRPr="00BD17CA">
        <w:rPr>
          <w:rFonts w:ascii="Arial" w:eastAsia="Arial" w:hAnsi="Arial" w:cs="Arial"/>
          <w:sz w:val="22"/>
          <w:szCs w:val="22"/>
        </w:rPr>
        <w:t>es</w:t>
      </w:r>
      <w:r w:rsidRPr="0046695E">
        <w:rPr>
          <w:rFonts w:ascii="Arial" w:eastAsia="Arial" w:hAnsi="Arial" w:cs="Arial"/>
          <w:sz w:val="22"/>
          <w:szCs w:val="22"/>
        </w:rPr>
        <w:t xml:space="preserve"> i</w:t>
      </w:r>
      <w:r w:rsidRPr="00BD17CA">
        <w:rPr>
          <w:rFonts w:ascii="Arial" w:eastAsia="Arial" w:hAnsi="Arial" w:cs="Arial"/>
          <w:sz w:val="22"/>
          <w:szCs w:val="22"/>
        </w:rPr>
        <w:t>n a</w:t>
      </w:r>
      <w:r w:rsidRPr="0046695E">
        <w:rPr>
          <w:rFonts w:ascii="Arial" w:eastAsia="Arial" w:hAnsi="Arial" w:cs="Arial"/>
          <w:sz w:val="22"/>
          <w:szCs w:val="22"/>
        </w:rPr>
        <w:t>cc</w:t>
      </w:r>
      <w:r w:rsidRPr="00BD17CA">
        <w:rPr>
          <w:rFonts w:ascii="Arial" w:eastAsia="Arial" w:hAnsi="Arial" w:cs="Arial"/>
          <w:sz w:val="22"/>
          <w:szCs w:val="22"/>
        </w:rPr>
        <w:t>ordance</w:t>
      </w:r>
      <w:r w:rsidRPr="0046695E">
        <w:rPr>
          <w:rFonts w:ascii="Arial" w:eastAsia="Arial" w:hAnsi="Arial" w:cs="Arial"/>
          <w:sz w:val="22"/>
          <w:szCs w:val="22"/>
        </w:rPr>
        <w:t xml:space="preserve"> </w:t>
      </w:r>
      <w:r w:rsidRPr="00BD17CA">
        <w:rPr>
          <w:rFonts w:ascii="Arial" w:eastAsia="Arial" w:hAnsi="Arial" w:cs="Arial"/>
          <w:sz w:val="22"/>
          <w:szCs w:val="22"/>
        </w:rPr>
        <w:t>w</w:t>
      </w:r>
      <w:r w:rsidRPr="0046695E">
        <w:rPr>
          <w:rFonts w:ascii="Arial" w:eastAsia="Arial" w:hAnsi="Arial" w:cs="Arial"/>
          <w:sz w:val="22"/>
          <w:szCs w:val="22"/>
        </w:rPr>
        <w:t>i</w:t>
      </w:r>
      <w:r w:rsidRPr="00BD17CA">
        <w:rPr>
          <w:rFonts w:ascii="Arial" w:eastAsia="Arial" w:hAnsi="Arial" w:cs="Arial"/>
          <w:sz w:val="22"/>
          <w:szCs w:val="22"/>
        </w:rPr>
        <w:t>th</w:t>
      </w:r>
      <w:r w:rsidRPr="0046695E">
        <w:rPr>
          <w:rFonts w:ascii="Arial" w:eastAsia="Arial" w:hAnsi="Arial" w:cs="Arial"/>
          <w:sz w:val="22"/>
          <w:szCs w:val="22"/>
        </w:rPr>
        <w:t xml:space="preserve"> </w:t>
      </w:r>
      <w:r w:rsidR="00AF1D79" w:rsidRPr="0046695E">
        <w:rPr>
          <w:rFonts w:ascii="Arial" w:eastAsia="Arial" w:hAnsi="Arial" w:cs="Arial"/>
          <w:sz w:val="22"/>
          <w:szCs w:val="22"/>
        </w:rPr>
        <w:t xml:space="preserve">the </w:t>
      </w:r>
      <w:r w:rsidRPr="00BD17CA">
        <w:rPr>
          <w:rFonts w:ascii="Arial" w:eastAsia="Arial" w:hAnsi="Arial" w:cs="Arial"/>
          <w:sz w:val="22"/>
          <w:szCs w:val="22"/>
        </w:rPr>
        <w:t>C</w:t>
      </w:r>
      <w:r w:rsidRPr="0046695E">
        <w:rPr>
          <w:rFonts w:ascii="Arial" w:eastAsia="Arial" w:hAnsi="Arial" w:cs="Arial"/>
          <w:sz w:val="22"/>
          <w:szCs w:val="22"/>
        </w:rPr>
        <w:t>IP</w:t>
      </w:r>
      <w:r w:rsidRPr="00BD17CA">
        <w:rPr>
          <w:rFonts w:ascii="Arial" w:eastAsia="Arial" w:hAnsi="Arial" w:cs="Arial"/>
          <w:sz w:val="22"/>
          <w:szCs w:val="22"/>
        </w:rPr>
        <w:t>FA</w:t>
      </w:r>
      <w:r w:rsidRPr="0046695E">
        <w:rPr>
          <w:rFonts w:ascii="Arial" w:eastAsia="Arial" w:hAnsi="Arial" w:cs="Arial"/>
          <w:sz w:val="22"/>
          <w:szCs w:val="22"/>
        </w:rPr>
        <w:t xml:space="preserve"> </w:t>
      </w:r>
      <w:r w:rsidRPr="00BD17CA">
        <w:rPr>
          <w:rFonts w:ascii="Arial" w:eastAsia="Arial" w:hAnsi="Arial" w:cs="Arial"/>
          <w:sz w:val="22"/>
          <w:szCs w:val="22"/>
        </w:rPr>
        <w:t>g</w:t>
      </w:r>
      <w:r w:rsidRPr="0046695E">
        <w:rPr>
          <w:rFonts w:ascii="Arial" w:eastAsia="Arial" w:hAnsi="Arial" w:cs="Arial"/>
          <w:sz w:val="22"/>
          <w:szCs w:val="22"/>
        </w:rPr>
        <w:t>ui</w:t>
      </w:r>
      <w:r w:rsidRPr="00BD17CA">
        <w:rPr>
          <w:rFonts w:ascii="Arial" w:eastAsia="Arial" w:hAnsi="Arial" w:cs="Arial"/>
          <w:sz w:val="22"/>
          <w:szCs w:val="22"/>
        </w:rPr>
        <w:t>d</w:t>
      </w:r>
      <w:r w:rsidRPr="0046695E">
        <w:rPr>
          <w:rFonts w:ascii="Arial" w:eastAsia="Arial" w:hAnsi="Arial" w:cs="Arial"/>
          <w:sz w:val="22"/>
          <w:szCs w:val="22"/>
        </w:rPr>
        <w:t>a</w:t>
      </w:r>
      <w:r w:rsidRPr="00BD17CA">
        <w:rPr>
          <w:rFonts w:ascii="Arial" w:eastAsia="Arial" w:hAnsi="Arial" w:cs="Arial"/>
          <w:sz w:val="22"/>
          <w:szCs w:val="22"/>
        </w:rPr>
        <w:t>n</w:t>
      </w:r>
      <w:r w:rsidRPr="0046695E">
        <w:rPr>
          <w:rFonts w:ascii="Arial" w:eastAsia="Arial" w:hAnsi="Arial" w:cs="Arial"/>
          <w:sz w:val="22"/>
          <w:szCs w:val="22"/>
        </w:rPr>
        <w:t>c</w:t>
      </w:r>
      <w:r w:rsidRPr="00BD17CA">
        <w:rPr>
          <w:rFonts w:ascii="Arial" w:eastAsia="Arial" w:hAnsi="Arial" w:cs="Arial"/>
          <w:sz w:val="22"/>
          <w:szCs w:val="22"/>
        </w:rPr>
        <w:t>e</w:t>
      </w:r>
      <w:r w:rsidRPr="0046695E">
        <w:rPr>
          <w:rFonts w:ascii="Arial" w:eastAsia="Arial" w:hAnsi="Arial" w:cs="Arial"/>
          <w:sz w:val="22"/>
          <w:szCs w:val="22"/>
        </w:rPr>
        <w:t xml:space="preserve"> Acc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w:t>
      </w:r>
      <w:r w:rsidRPr="0046695E">
        <w:rPr>
          <w:rFonts w:ascii="Arial" w:eastAsia="Arial" w:hAnsi="Arial" w:cs="Arial"/>
          <w:sz w:val="22"/>
          <w:szCs w:val="22"/>
        </w:rPr>
        <w:t>i</w:t>
      </w:r>
      <w:r w:rsidRPr="00BD17CA">
        <w:rPr>
          <w:rFonts w:ascii="Arial" w:eastAsia="Arial" w:hAnsi="Arial" w:cs="Arial"/>
          <w:sz w:val="22"/>
          <w:szCs w:val="22"/>
        </w:rPr>
        <w:t xml:space="preserve">ng </w:t>
      </w:r>
      <w:r w:rsidRPr="0046695E">
        <w:rPr>
          <w:rFonts w:ascii="Arial" w:eastAsia="Arial" w:hAnsi="Arial" w:cs="Arial"/>
          <w:sz w:val="22"/>
          <w:szCs w:val="22"/>
        </w:rPr>
        <w:t>f</w:t>
      </w:r>
      <w:r w:rsidRPr="00BD17CA">
        <w:rPr>
          <w:rFonts w:ascii="Arial" w:eastAsia="Arial" w:hAnsi="Arial" w:cs="Arial"/>
          <w:sz w:val="22"/>
          <w:szCs w:val="22"/>
        </w:rPr>
        <w:t>or</w:t>
      </w:r>
      <w:r w:rsidRPr="0046695E">
        <w:rPr>
          <w:rFonts w:ascii="Arial" w:eastAsia="Arial" w:hAnsi="Arial" w:cs="Arial"/>
          <w:sz w:val="22"/>
          <w:szCs w:val="22"/>
        </w:rPr>
        <w:t xml:space="preserve"> </w:t>
      </w:r>
      <w:r w:rsidRPr="00BD17CA">
        <w:rPr>
          <w:rFonts w:ascii="Arial" w:eastAsia="Arial" w:hAnsi="Arial" w:cs="Arial"/>
          <w:sz w:val="22"/>
          <w:szCs w:val="22"/>
        </w:rPr>
        <w:t>Lo</w:t>
      </w:r>
      <w:r w:rsidRPr="0046695E">
        <w:rPr>
          <w:rFonts w:ascii="Arial" w:eastAsia="Arial" w:hAnsi="Arial" w:cs="Arial"/>
          <w:sz w:val="22"/>
          <w:szCs w:val="22"/>
        </w:rPr>
        <w:t>c</w:t>
      </w:r>
      <w:r w:rsidRPr="00BD17CA">
        <w:rPr>
          <w:rFonts w:ascii="Arial" w:eastAsia="Arial" w:hAnsi="Arial" w:cs="Arial"/>
          <w:sz w:val="22"/>
          <w:szCs w:val="22"/>
        </w:rPr>
        <w:t>al</w:t>
      </w:r>
      <w:r w:rsidRPr="0046695E">
        <w:rPr>
          <w:rFonts w:ascii="Arial" w:eastAsia="Arial" w:hAnsi="Arial" w:cs="Arial"/>
          <w:sz w:val="22"/>
          <w:szCs w:val="22"/>
        </w:rPr>
        <w:t xml:space="preserve"> Gov</w:t>
      </w:r>
      <w:r w:rsidRPr="00BD17CA">
        <w:rPr>
          <w:rFonts w:ascii="Arial" w:eastAsia="Arial" w:hAnsi="Arial" w:cs="Arial"/>
          <w:sz w:val="22"/>
          <w:szCs w:val="22"/>
        </w:rPr>
        <w:t>ern</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Pe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on</w:t>
      </w:r>
      <w:r w:rsidRPr="0046695E">
        <w:rPr>
          <w:rFonts w:ascii="Arial" w:eastAsia="Arial" w:hAnsi="Arial" w:cs="Arial"/>
          <w:sz w:val="22"/>
          <w:szCs w:val="22"/>
        </w:rPr>
        <w:t xml:space="preserve"> Sc</w:t>
      </w:r>
      <w:r w:rsidRPr="00BD17CA">
        <w:rPr>
          <w:rFonts w:ascii="Arial" w:eastAsia="Arial" w:hAnsi="Arial" w:cs="Arial"/>
          <w:sz w:val="22"/>
          <w:szCs w:val="22"/>
        </w:rPr>
        <w:t>h</w:t>
      </w:r>
      <w:r w:rsidRPr="0046695E">
        <w:rPr>
          <w:rFonts w:ascii="Arial" w:eastAsia="Arial" w:hAnsi="Arial" w:cs="Arial"/>
          <w:sz w:val="22"/>
          <w:szCs w:val="22"/>
        </w:rPr>
        <w:t>em</w:t>
      </w:r>
      <w:r w:rsidRPr="00BD17CA">
        <w:rPr>
          <w:rFonts w:ascii="Arial" w:eastAsia="Arial" w:hAnsi="Arial" w:cs="Arial"/>
          <w:sz w:val="22"/>
          <w:szCs w:val="22"/>
        </w:rPr>
        <w:t>e</w:t>
      </w:r>
      <w:r w:rsidRPr="0046695E">
        <w:rPr>
          <w:rFonts w:ascii="Arial" w:eastAsia="Arial" w:hAnsi="Arial" w:cs="Arial"/>
          <w:sz w:val="22"/>
          <w:szCs w:val="22"/>
        </w:rPr>
        <w:t xml:space="preserve"> M</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a</w:t>
      </w:r>
      <w:r w:rsidRPr="0046695E">
        <w:rPr>
          <w:rFonts w:ascii="Arial" w:eastAsia="Arial" w:hAnsi="Arial" w:cs="Arial"/>
          <w:sz w:val="22"/>
          <w:szCs w:val="22"/>
        </w:rPr>
        <w:t>g</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Ex</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w:t>
      </w:r>
      <w:r w:rsidRPr="0046695E">
        <w:rPr>
          <w:rFonts w:ascii="Arial" w:eastAsia="Arial" w:hAnsi="Arial" w:cs="Arial"/>
          <w:sz w:val="22"/>
          <w:szCs w:val="22"/>
        </w:rPr>
        <w:t>2</w:t>
      </w:r>
      <w:r w:rsidRPr="00BD17CA">
        <w:rPr>
          <w:rFonts w:ascii="Arial" w:eastAsia="Arial" w:hAnsi="Arial" w:cs="Arial"/>
          <w:sz w:val="22"/>
          <w:szCs w:val="22"/>
        </w:rPr>
        <w:t>0</w:t>
      </w:r>
      <w:r w:rsidRPr="0046695E">
        <w:rPr>
          <w:rFonts w:ascii="Arial" w:eastAsia="Arial" w:hAnsi="Arial" w:cs="Arial"/>
          <w:sz w:val="22"/>
          <w:szCs w:val="22"/>
        </w:rPr>
        <w:t>1</w:t>
      </w:r>
      <w:r w:rsidRPr="00BD17CA">
        <w:rPr>
          <w:rFonts w:ascii="Arial" w:eastAsia="Arial" w:hAnsi="Arial" w:cs="Arial"/>
          <w:sz w:val="22"/>
          <w:szCs w:val="22"/>
        </w:rPr>
        <w:t>6),</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 xml:space="preserve"> s</w:t>
      </w:r>
      <w:r w:rsidRPr="00BD17CA">
        <w:rPr>
          <w:rFonts w:ascii="Arial" w:eastAsia="Arial" w:hAnsi="Arial" w:cs="Arial"/>
          <w:sz w:val="22"/>
          <w:szCs w:val="22"/>
        </w:rPr>
        <w:t>h</w:t>
      </w:r>
      <w:r w:rsidRPr="0046695E">
        <w:rPr>
          <w:rFonts w:ascii="Arial" w:eastAsia="Arial" w:hAnsi="Arial" w:cs="Arial"/>
          <w:sz w:val="22"/>
          <w:szCs w:val="22"/>
        </w:rPr>
        <w:t>o</w:t>
      </w:r>
      <w:r w:rsidRPr="00BD17CA">
        <w:rPr>
          <w:rFonts w:ascii="Arial" w:eastAsia="Arial" w:hAnsi="Arial" w:cs="Arial"/>
          <w:sz w:val="22"/>
          <w:szCs w:val="22"/>
        </w:rPr>
        <w:t>wn</w:t>
      </w:r>
      <w:r w:rsidRPr="0046695E">
        <w:rPr>
          <w:rFonts w:ascii="Arial" w:eastAsia="Arial" w:hAnsi="Arial" w:cs="Arial"/>
          <w:sz w:val="22"/>
          <w:szCs w:val="22"/>
        </w:rPr>
        <w:t xml:space="preserve"> below</w:t>
      </w:r>
      <w:r w:rsidRPr="00BD17CA">
        <w:rPr>
          <w:rFonts w:ascii="Arial" w:eastAsia="Arial" w:hAnsi="Arial" w:cs="Arial"/>
          <w:sz w:val="22"/>
          <w:szCs w:val="22"/>
        </w:rPr>
        <w:t>.</w:t>
      </w:r>
      <w:r w:rsidRPr="0046695E">
        <w:rPr>
          <w:rFonts w:ascii="Arial" w:eastAsia="Arial" w:hAnsi="Arial" w:cs="Arial"/>
          <w:sz w:val="22"/>
          <w:szCs w:val="22"/>
        </w:rPr>
        <w:t xml:space="preserve"> Al</w:t>
      </w:r>
      <w:r w:rsidRPr="00BD17CA">
        <w:rPr>
          <w:rFonts w:ascii="Arial" w:eastAsia="Arial" w:hAnsi="Arial" w:cs="Arial"/>
          <w:sz w:val="22"/>
          <w:szCs w:val="22"/>
        </w:rPr>
        <w:t>l</w:t>
      </w:r>
      <w:r w:rsidRPr="0046695E">
        <w:rPr>
          <w:rFonts w:ascii="Arial" w:eastAsia="Arial" w:hAnsi="Arial" w:cs="Arial"/>
          <w:sz w:val="22"/>
          <w:szCs w:val="22"/>
        </w:rPr>
        <w:t xml:space="preserve"> i</w:t>
      </w:r>
      <w:r w:rsidRPr="00BD17CA">
        <w:rPr>
          <w:rFonts w:ascii="Arial" w:eastAsia="Arial" w:hAnsi="Arial" w:cs="Arial"/>
          <w:sz w:val="22"/>
          <w:szCs w:val="22"/>
        </w:rPr>
        <w:t>te</w:t>
      </w:r>
      <w:r w:rsidRPr="0046695E">
        <w:rPr>
          <w:rFonts w:ascii="Arial" w:eastAsia="Arial" w:hAnsi="Arial" w:cs="Arial"/>
          <w:sz w:val="22"/>
          <w:szCs w:val="22"/>
        </w:rPr>
        <w:t>m</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of e</w:t>
      </w:r>
      <w:r w:rsidRPr="0046695E">
        <w:rPr>
          <w:rFonts w:ascii="Arial" w:eastAsia="Arial" w:hAnsi="Arial" w:cs="Arial"/>
          <w:sz w:val="22"/>
          <w:szCs w:val="22"/>
        </w:rPr>
        <w:t>x</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di</w:t>
      </w:r>
      <w:r w:rsidRPr="00BD17CA">
        <w:rPr>
          <w:rFonts w:ascii="Arial" w:eastAsia="Arial" w:hAnsi="Arial" w:cs="Arial"/>
          <w:sz w:val="22"/>
          <w:szCs w:val="22"/>
        </w:rPr>
        <w:t>tu</w:t>
      </w:r>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 xml:space="preserve"> ar</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c</w:t>
      </w:r>
      <w:r w:rsidRPr="0046695E">
        <w:rPr>
          <w:rFonts w:ascii="Arial" w:eastAsia="Arial" w:hAnsi="Arial" w:cs="Arial"/>
          <w:sz w:val="22"/>
          <w:szCs w:val="22"/>
        </w:rPr>
        <w:t>h</w:t>
      </w:r>
      <w:r w:rsidRPr="00BD17CA">
        <w:rPr>
          <w:rFonts w:ascii="Arial" w:eastAsia="Arial" w:hAnsi="Arial" w:cs="Arial"/>
          <w:sz w:val="22"/>
          <w:szCs w:val="22"/>
        </w:rPr>
        <w:t>arged</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an</w:t>
      </w:r>
      <w:r w:rsidRPr="0046695E">
        <w:rPr>
          <w:rFonts w:ascii="Arial" w:eastAsia="Arial" w:hAnsi="Arial" w:cs="Arial"/>
          <w:sz w:val="22"/>
          <w:szCs w:val="22"/>
        </w:rPr>
        <w:t xml:space="preserve"> </w:t>
      </w:r>
      <w:r w:rsidRPr="00BD17CA">
        <w:rPr>
          <w:rFonts w:ascii="Arial" w:eastAsia="Arial" w:hAnsi="Arial" w:cs="Arial"/>
          <w:sz w:val="22"/>
          <w:szCs w:val="22"/>
        </w:rPr>
        <w:t>ac</w:t>
      </w:r>
      <w:r w:rsidRPr="0046695E">
        <w:rPr>
          <w:rFonts w:ascii="Arial" w:eastAsia="Arial" w:hAnsi="Arial" w:cs="Arial"/>
          <w:sz w:val="22"/>
          <w:szCs w:val="22"/>
        </w:rPr>
        <w:t>cr</w:t>
      </w:r>
      <w:r w:rsidRPr="00BD17CA">
        <w:rPr>
          <w:rFonts w:ascii="Arial" w:eastAsia="Arial" w:hAnsi="Arial" w:cs="Arial"/>
          <w:sz w:val="22"/>
          <w:szCs w:val="22"/>
        </w:rPr>
        <w:t>u</w:t>
      </w:r>
      <w:r w:rsidRPr="0046695E">
        <w:rPr>
          <w:rFonts w:ascii="Arial" w:eastAsia="Arial" w:hAnsi="Arial" w:cs="Arial"/>
          <w:sz w:val="22"/>
          <w:szCs w:val="22"/>
        </w:rPr>
        <w:t>al</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asi</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 xml:space="preserve"> f</w:t>
      </w:r>
      <w:r w:rsidRPr="00BD17CA">
        <w:rPr>
          <w:rFonts w:ascii="Arial" w:eastAsia="Arial" w:hAnsi="Arial" w:cs="Arial"/>
          <w:sz w:val="22"/>
          <w:szCs w:val="22"/>
        </w:rPr>
        <w:t>o</w:t>
      </w:r>
      <w:r w:rsidRPr="0046695E">
        <w:rPr>
          <w:rFonts w:ascii="Arial" w:eastAsia="Arial" w:hAnsi="Arial" w:cs="Arial"/>
          <w:sz w:val="22"/>
          <w:szCs w:val="22"/>
        </w:rPr>
        <w:t>llows</w:t>
      </w:r>
      <w:r w:rsidRPr="00BD17CA">
        <w:rPr>
          <w:rFonts w:ascii="Arial" w:eastAsia="Arial" w:hAnsi="Arial" w:cs="Arial"/>
          <w:sz w:val="22"/>
          <w:szCs w:val="22"/>
        </w:rPr>
        <w:t>:</w:t>
      </w:r>
    </w:p>
    <w:p w14:paraId="7DDEA33C" w14:textId="77777777" w:rsidR="009C7422" w:rsidRPr="0046695E" w:rsidRDefault="001706EB" w:rsidP="0046695E">
      <w:pPr>
        <w:spacing w:after="200" w:line="276" w:lineRule="auto"/>
        <w:ind w:left="567" w:right="74"/>
        <w:jc w:val="both"/>
        <w:rPr>
          <w:rFonts w:ascii="Arial" w:eastAsia="Arial" w:hAnsi="Arial" w:cs="Arial"/>
          <w:b/>
          <w:sz w:val="22"/>
          <w:szCs w:val="22"/>
        </w:rPr>
      </w:pPr>
      <w:r w:rsidRPr="0046695E">
        <w:rPr>
          <w:rFonts w:ascii="Arial" w:eastAsia="Arial" w:hAnsi="Arial" w:cs="Arial"/>
          <w:b/>
          <w:sz w:val="22"/>
          <w:szCs w:val="22"/>
        </w:rPr>
        <w:t>Ad</w:t>
      </w:r>
      <w:r w:rsidRPr="00BD17CA">
        <w:rPr>
          <w:rFonts w:ascii="Arial" w:eastAsia="Arial" w:hAnsi="Arial" w:cs="Arial"/>
          <w:b/>
          <w:sz w:val="22"/>
          <w:szCs w:val="22"/>
        </w:rPr>
        <w:t>mi</w:t>
      </w:r>
      <w:r w:rsidRPr="0046695E">
        <w:rPr>
          <w:rFonts w:ascii="Arial" w:eastAsia="Arial" w:hAnsi="Arial" w:cs="Arial"/>
          <w:b/>
          <w:sz w:val="22"/>
          <w:szCs w:val="22"/>
        </w:rPr>
        <w:t>ni</w:t>
      </w:r>
      <w:r w:rsidRPr="00BD17CA">
        <w:rPr>
          <w:rFonts w:ascii="Arial" w:eastAsia="Arial" w:hAnsi="Arial" w:cs="Arial"/>
          <w:b/>
          <w:sz w:val="22"/>
          <w:szCs w:val="22"/>
        </w:rPr>
        <w:t>strati</w:t>
      </w:r>
      <w:r w:rsidRPr="0046695E">
        <w:rPr>
          <w:rFonts w:ascii="Arial" w:eastAsia="Arial" w:hAnsi="Arial" w:cs="Arial"/>
          <w:b/>
          <w:sz w:val="22"/>
          <w:szCs w:val="22"/>
        </w:rPr>
        <w:t>v</w:t>
      </w:r>
      <w:r w:rsidRPr="00BD17CA">
        <w:rPr>
          <w:rFonts w:ascii="Arial" w:eastAsia="Arial" w:hAnsi="Arial" w:cs="Arial"/>
          <w:b/>
          <w:sz w:val="22"/>
          <w:szCs w:val="22"/>
        </w:rPr>
        <w:t>e</w:t>
      </w:r>
      <w:r w:rsidRPr="0046695E">
        <w:rPr>
          <w:rFonts w:ascii="Arial" w:eastAsia="Arial" w:hAnsi="Arial" w:cs="Arial"/>
          <w:b/>
          <w:sz w:val="22"/>
          <w:szCs w:val="22"/>
        </w:rPr>
        <w:t xml:space="preserve"> e</w:t>
      </w:r>
      <w:r w:rsidRPr="00BD17CA">
        <w:rPr>
          <w:rFonts w:ascii="Arial" w:eastAsia="Arial" w:hAnsi="Arial" w:cs="Arial"/>
          <w:b/>
          <w:sz w:val="22"/>
          <w:szCs w:val="22"/>
        </w:rPr>
        <w:t>xpen</w:t>
      </w:r>
      <w:r w:rsidRPr="0046695E">
        <w:rPr>
          <w:rFonts w:ascii="Arial" w:eastAsia="Arial" w:hAnsi="Arial" w:cs="Arial"/>
          <w:b/>
          <w:sz w:val="22"/>
          <w:szCs w:val="22"/>
        </w:rPr>
        <w:t>s</w:t>
      </w:r>
      <w:r w:rsidRPr="00BD17CA">
        <w:rPr>
          <w:rFonts w:ascii="Arial" w:eastAsia="Arial" w:hAnsi="Arial" w:cs="Arial"/>
          <w:b/>
          <w:sz w:val="22"/>
          <w:szCs w:val="22"/>
        </w:rPr>
        <w:t>es</w:t>
      </w:r>
    </w:p>
    <w:p w14:paraId="61292EEE" w14:textId="77777777" w:rsidR="009C7422" w:rsidRPr="00BD17CA" w:rsidRDefault="001706EB" w:rsidP="0046695E">
      <w:pPr>
        <w:spacing w:after="200" w:line="276" w:lineRule="auto"/>
        <w:ind w:left="567" w:right="74"/>
        <w:jc w:val="both"/>
        <w:rPr>
          <w:rFonts w:ascii="Arial" w:eastAsia="Arial" w:hAnsi="Arial" w:cs="Arial"/>
          <w:sz w:val="22"/>
          <w:szCs w:val="22"/>
        </w:rPr>
      </w:pPr>
      <w:r w:rsidRPr="0046695E">
        <w:rPr>
          <w:rFonts w:ascii="Arial" w:eastAsia="Arial" w:hAnsi="Arial" w:cs="Arial"/>
          <w:sz w:val="22"/>
          <w:szCs w:val="22"/>
        </w:rPr>
        <w:t>Al</w:t>
      </w:r>
      <w:r w:rsidRPr="00BD17CA">
        <w:rPr>
          <w:rFonts w:ascii="Arial" w:eastAsia="Arial" w:hAnsi="Arial" w:cs="Arial"/>
          <w:sz w:val="22"/>
          <w:szCs w:val="22"/>
        </w:rPr>
        <w:t>l</w:t>
      </w:r>
      <w:r w:rsidRPr="0046695E">
        <w:rPr>
          <w:rFonts w:ascii="Arial" w:eastAsia="Arial" w:hAnsi="Arial" w:cs="Arial"/>
          <w:sz w:val="22"/>
          <w:szCs w:val="22"/>
        </w:rPr>
        <w:t xml:space="preserve"> s</w:t>
      </w:r>
      <w:r w:rsidRPr="00BD17CA">
        <w:rPr>
          <w:rFonts w:ascii="Arial" w:eastAsia="Arial" w:hAnsi="Arial" w:cs="Arial"/>
          <w:sz w:val="22"/>
          <w:szCs w:val="22"/>
        </w:rPr>
        <w:t>ta</w:t>
      </w:r>
      <w:r w:rsidRPr="0046695E">
        <w:rPr>
          <w:rFonts w:ascii="Arial" w:eastAsia="Arial" w:hAnsi="Arial" w:cs="Arial"/>
          <w:sz w:val="22"/>
          <w:szCs w:val="22"/>
        </w:rPr>
        <w:t>f</w:t>
      </w:r>
      <w:r w:rsidRPr="00BD17CA">
        <w:rPr>
          <w:rFonts w:ascii="Arial" w:eastAsia="Arial" w:hAnsi="Arial" w:cs="Arial"/>
          <w:sz w:val="22"/>
          <w:szCs w:val="22"/>
        </w:rPr>
        <w:t>f</w:t>
      </w:r>
      <w:r w:rsidRPr="0046695E">
        <w:rPr>
          <w:rFonts w:ascii="Arial" w:eastAsia="Arial" w:hAnsi="Arial" w:cs="Arial"/>
          <w:sz w:val="22"/>
          <w:szCs w:val="22"/>
        </w:rPr>
        <w:t xml:space="preserve"> c</w:t>
      </w:r>
      <w:r w:rsidRPr="00BD17CA">
        <w:rPr>
          <w:rFonts w:ascii="Arial" w:eastAsia="Arial" w:hAnsi="Arial" w:cs="Arial"/>
          <w:sz w:val="22"/>
          <w:szCs w:val="22"/>
        </w:rPr>
        <w:t>o</w:t>
      </w:r>
      <w:r w:rsidRPr="0046695E">
        <w:rPr>
          <w:rFonts w:ascii="Arial" w:eastAsia="Arial" w:hAnsi="Arial" w:cs="Arial"/>
          <w:sz w:val="22"/>
          <w:szCs w:val="22"/>
        </w:rPr>
        <w:t>s</w:t>
      </w:r>
      <w:r w:rsidRPr="00BD17CA">
        <w:rPr>
          <w:rFonts w:ascii="Arial" w:eastAsia="Arial" w:hAnsi="Arial" w:cs="Arial"/>
          <w:sz w:val="22"/>
          <w:szCs w:val="22"/>
        </w:rPr>
        <w:t>ts</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w:t>
      </w:r>
      <w:proofErr w:type="gramStart"/>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si</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s</w:t>
      </w:r>
      <w:proofErr w:type="gramEnd"/>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dmi</w:t>
      </w:r>
      <w:r w:rsidRPr="00BD17CA">
        <w:rPr>
          <w:rFonts w:ascii="Arial" w:eastAsia="Arial" w:hAnsi="Arial" w:cs="Arial"/>
          <w:sz w:val="22"/>
          <w:szCs w:val="22"/>
        </w:rPr>
        <w:t>n</w:t>
      </w:r>
      <w:r w:rsidRPr="0046695E">
        <w:rPr>
          <w:rFonts w:ascii="Arial" w:eastAsia="Arial" w:hAnsi="Arial" w:cs="Arial"/>
          <w:sz w:val="22"/>
          <w:szCs w:val="22"/>
        </w:rPr>
        <w:t>is</w:t>
      </w:r>
      <w:r w:rsidRPr="00BD17CA">
        <w:rPr>
          <w:rFonts w:ascii="Arial" w:eastAsia="Arial" w:hAnsi="Arial" w:cs="Arial"/>
          <w:sz w:val="22"/>
          <w:szCs w:val="22"/>
        </w:rPr>
        <w:t>tra</w:t>
      </w:r>
      <w:r w:rsidRPr="0046695E">
        <w:rPr>
          <w:rFonts w:ascii="Arial" w:eastAsia="Arial" w:hAnsi="Arial" w:cs="Arial"/>
          <w:sz w:val="22"/>
          <w:szCs w:val="22"/>
        </w:rPr>
        <w:t>ti</w:t>
      </w:r>
      <w:r w:rsidRPr="00BD17CA">
        <w:rPr>
          <w:rFonts w:ascii="Arial" w:eastAsia="Arial" w:hAnsi="Arial" w:cs="Arial"/>
          <w:sz w:val="22"/>
          <w:szCs w:val="22"/>
        </w:rPr>
        <w:t>on t</w:t>
      </w:r>
      <w:r w:rsidRPr="0046695E">
        <w:rPr>
          <w:rFonts w:ascii="Arial" w:eastAsia="Arial" w:hAnsi="Arial" w:cs="Arial"/>
          <w:sz w:val="22"/>
          <w:szCs w:val="22"/>
        </w:rPr>
        <w:t>e</w:t>
      </w:r>
      <w:r w:rsidRPr="00BD17CA">
        <w:rPr>
          <w:rFonts w:ascii="Arial" w:eastAsia="Arial" w:hAnsi="Arial" w:cs="Arial"/>
          <w:sz w:val="22"/>
          <w:szCs w:val="22"/>
        </w:rPr>
        <w:t>am</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c</w:t>
      </w:r>
      <w:r w:rsidRPr="00BD17CA">
        <w:rPr>
          <w:rFonts w:ascii="Arial" w:eastAsia="Arial" w:hAnsi="Arial" w:cs="Arial"/>
          <w:sz w:val="22"/>
          <w:szCs w:val="22"/>
        </w:rPr>
        <w:t>h</w:t>
      </w:r>
      <w:r w:rsidRPr="0046695E">
        <w:rPr>
          <w:rFonts w:ascii="Arial" w:eastAsia="Arial" w:hAnsi="Arial" w:cs="Arial"/>
          <w:sz w:val="22"/>
          <w:szCs w:val="22"/>
        </w:rPr>
        <w:t>arg</w:t>
      </w:r>
      <w:r w:rsidRPr="00BD17CA">
        <w:rPr>
          <w:rFonts w:ascii="Arial" w:eastAsia="Arial" w:hAnsi="Arial" w:cs="Arial"/>
          <w:sz w:val="22"/>
          <w:szCs w:val="22"/>
        </w:rPr>
        <w:t>ed</w:t>
      </w:r>
      <w:r w:rsidRPr="0046695E">
        <w:rPr>
          <w:rFonts w:ascii="Arial" w:eastAsia="Arial" w:hAnsi="Arial" w:cs="Arial"/>
          <w:sz w:val="22"/>
          <w:szCs w:val="22"/>
        </w:rPr>
        <w:t xml:space="preserve"> dir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t</w:t>
      </w:r>
      <w:r w:rsidRPr="0046695E">
        <w:rPr>
          <w:rFonts w:ascii="Arial" w:eastAsia="Arial" w:hAnsi="Arial" w:cs="Arial"/>
          <w:sz w:val="22"/>
          <w:szCs w:val="22"/>
        </w:rPr>
        <w:t>l</w:t>
      </w:r>
      <w:r w:rsidRPr="00BD17CA">
        <w:rPr>
          <w:rFonts w:ascii="Arial" w:eastAsia="Arial" w:hAnsi="Arial" w:cs="Arial"/>
          <w:sz w:val="22"/>
          <w:szCs w:val="22"/>
        </w:rPr>
        <w:t>y</w:t>
      </w:r>
      <w:r w:rsidRPr="0046695E">
        <w:rPr>
          <w:rFonts w:ascii="Arial" w:eastAsia="Arial" w:hAnsi="Arial" w:cs="Arial"/>
          <w:sz w:val="22"/>
          <w:szCs w:val="22"/>
        </w:rPr>
        <w:t xml:space="preserve"> t</w:t>
      </w:r>
      <w:r w:rsidRPr="00BD17CA">
        <w:rPr>
          <w:rFonts w:ascii="Arial" w:eastAsia="Arial" w:hAnsi="Arial" w:cs="Arial"/>
          <w:sz w:val="22"/>
          <w:szCs w:val="22"/>
        </w:rPr>
        <w:t>o</w:t>
      </w:r>
      <w:r w:rsidRPr="0046695E">
        <w:rPr>
          <w:rFonts w:ascii="Arial" w:eastAsia="Arial" w:hAnsi="Arial" w:cs="Arial"/>
          <w:sz w:val="22"/>
          <w:szCs w:val="22"/>
        </w:rPr>
        <w:t xml:space="preserve"> th</w:t>
      </w:r>
      <w:r w:rsidRPr="00BD17CA">
        <w:rPr>
          <w:rFonts w:ascii="Arial" w:eastAsia="Arial" w:hAnsi="Arial" w:cs="Arial"/>
          <w:sz w:val="22"/>
          <w:szCs w:val="22"/>
        </w:rPr>
        <w:t>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 xml:space="preserve">d.  </w:t>
      </w:r>
      <w:r w:rsidRPr="0046695E">
        <w:rPr>
          <w:rFonts w:ascii="Arial" w:eastAsia="Arial" w:hAnsi="Arial" w:cs="Arial"/>
          <w:sz w:val="22"/>
          <w:szCs w:val="22"/>
        </w:rPr>
        <w:t xml:space="preserve"> Ass</w:t>
      </w:r>
      <w:r w:rsidRPr="00BD17CA">
        <w:rPr>
          <w:rFonts w:ascii="Arial" w:eastAsia="Arial" w:hAnsi="Arial" w:cs="Arial"/>
          <w:sz w:val="22"/>
          <w:szCs w:val="22"/>
        </w:rPr>
        <w:t>o</w:t>
      </w:r>
      <w:r w:rsidRPr="0046695E">
        <w:rPr>
          <w:rFonts w:ascii="Arial" w:eastAsia="Arial" w:hAnsi="Arial" w:cs="Arial"/>
          <w:sz w:val="22"/>
          <w:szCs w:val="22"/>
        </w:rPr>
        <w:t>ci</w:t>
      </w:r>
      <w:r w:rsidRPr="00BD17CA">
        <w:rPr>
          <w:rFonts w:ascii="Arial" w:eastAsia="Arial" w:hAnsi="Arial" w:cs="Arial"/>
          <w:sz w:val="22"/>
          <w:szCs w:val="22"/>
        </w:rPr>
        <w:t>a</w:t>
      </w:r>
      <w:r w:rsidRPr="0046695E">
        <w:rPr>
          <w:rFonts w:ascii="Arial" w:eastAsia="Arial" w:hAnsi="Arial" w:cs="Arial"/>
          <w:sz w:val="22"/>
          <w:szCs w:val="22"/>
        </w:rPr>
        <w:t>t</w:t>
      </w:r>
      <w:r w:rsidRPr="00BD17CA">
        <w:rPr>
          <w:rFonts w:ascii="Arial" w:eastAsia="Arial" w:hAnsi="Arial" w:cs="Arial"/>
          <w:sz w:val="22"/>
          <w:szCs w:val="22"/>
        </w:rPr>
        <w:t xml:space="preserve">ed </w:t>
      </w:r>
      <w:r w:rsidRPr="0046695E">
        <w:rPr>
          <w:rFonts w:ascii="Arial" w:eastAsia="Arial" w:hAnsi="Arial" w:cs="Arial"/>
          <w:sz w:val="22"/>
          <w:szCs w:val="22"/>
        </w:rPr>
        <w:t>m</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a</w:t>
      </w:r>
      <w:r w:rsidRPr="0046695E">
        <w:rPr>
          <w:rFonts w:ascii="Arial" w:eastAsia="Arial" w:hAnsi="Arial" w:cs="Arial"/>
          <w:sz w:val="22"/>
          <w:szCs w:val="22"/>
        </w:rPr>
        <w:t>g</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 a</w:t>
      </w:r>
      <w:r w:rsidRPr="0046695E">
        <w:rPr>
          <w:rFonts w:ascii="Arial" w:eastAsia="Arial" w:hAnsi="Arial" w:cs="Arial"/>
          <w:sz w:val="22"/>
          <w:szCs w:val="22"/>
        </w:rPr>
        <w:t>ccomm</w:t>
      </w:r>
      <w:r w:rsidRPr="00BD17CA">
        <w:rPr>
          <w:rFonts w:ascii="Arial" w:eastAsia="Arial" w:hAnsi="Arial" w:cs="Arial"/>
          <w:sz w:val="22"/>
          <w:szCs w:val="22"/>
        </w:rPr>
        <w:t>o</w:t>
      </w:r>
      <w:r w:rsidRPr="0046695E">
        <w:rPr>
          <w:rFonts w:ascii="Arial" w:eastAsia="Arial" w:hAnsi="Arial" w:cs="Arial"/>
          <w:sz w:val="22"/>
          <w:szCs w:val="22"/>
        </w:rPr>
        <w:t>d</w:t>
      </w:r>
      <w:r w:rsidRPr="00BD17CA">
        <w:rPr>
          <w:rFonts w:ascii="Arial" w:eastAsia="Arial" w:hAnsi="Arial" w:cs="Arial"/>
          <w:sz w:val="22"/>
          <w:szCs w:val="22"/>
        </w:rPr>
        <w:t>at</w:t>
      </w:r>
      <w:r w:rsidRPr="0046695E">
        <w:rPr>
          <w:rFonts w:ascii="Arial" w:eastAsia="Arial" w:hAnsi="Arial" w:cs="Arial"/>
          <w:sz w:val="22"/>
          <w:szCs w:val="22"/>
        </w:rPr>
        <w:t>i</w:t>
      </w:r>
      <w:r w:rsidRPr="00BD17CA">
        <w:rPr>
          <w:rFonts w:ascii="Arial" w:eastAsia="Arial" w:hAnsi="Arial" w:cs="Arial"/>
          <w:sz w:val="22"/>
          <w:szCs w:val="22"/>
        </w:rPr>
        <w:t>on 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o</w:t>
      </w:r>
      <w:r w:rsidRPr="0046695E">
        <w:rPr>
          <w:rFonts w:ascii="Arial" w:eastAsia="Arial" w:hAnsi="Arial" w:cs="Arial"/>
          <w:sz w:val="22"/>
          <w:szCs w:val="22"/>
        </w:rPr>
        <w:t>t</w:t>
      </w:r>
      <w:r w:rsidRPr="00BD17CA">
        <w:rPr>
          <w:rFonts w:ascii="Arial" w:eastAsia="Arial" w:hAnsi="Arial" w:cs="Arial"/>
          <w:sz w:val="22"/>
          <w:szCs w:val="22"/>
        </w:rPr>
        <w:t>h</w:t>
      </w:r>
      <w:r w:rsidRPr="0046695E">
        <w:rPr>
          <w:rFonts w:ascii="Arial" w:eastAsia="Arial" w:hAnsi="Arial" w:cs="Arial"/>
          <w:sz w:val="22"/>
          <w:szCs w:val="22"/>
        </w:rPr>
        <w:t>e</w:t>
      </w:r>
      <w:r w:rsidRPr="00BD17CA">
        <w:rPr>
          <w:rFonts w:ascii="Arial" w:eastAsia="Arial" w:hAnsi="Arial" w:cs="Arial"/>
          <w:sz w:val="22"/>
          <w:szCs w:val="22"/>
        </w:rPr>
        <w:t>r</w:t>
      </w:r>
      <w:r w:rsidRPr="0046695E">
        <w:rPr>
          <w:rFonts w:ascii="Arial" w:eastAsia="Arial" w:hAnsi="Arial" w:cs="Arial"/>
          <w:sz w:val="22"/>
          <w:szCs w:val="22"/>
        </w:rPr>
        <w:t xml:space="preserve"> ov</w:t>
      </w:r>
      <w:r w:rsidRPr="00BD17CA">
        <w:rPr>
          <w:rFonts w:ascii="Arial" w:eastAsia="Arial" w:hAnsi="Arial" w:cs="Arial"/>
          <w:sz w:val="22"/>
          <w:szCs w:val="22"/>
        </w:rPr>
        <w:t>er</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a</w:t>
      </w:r>
      <w:r w:rsidRPr="00BD17CA">
        <w:rPr>
          <w:rFonts w:ascii="Arial" w:eastAsia="Arial" w:hAnsi="Arial" w:cs="Arial"/>
          <w:sz w:val="22"/>
          <w:szCs w:val="22"/>
        </w:rPr>
        <w:t>ds</w:t>
      </w:r>
      <w:r w:rsidRPr="0046695E">
        <w:rPr>
          <w:rFonts w:ascii="Arial" w:eastAsia="Arial" w:hAnsi="Arial" w:cs="Arial"/>
          <w:sz w:val="22"/>
          <w:szCs w:val="22"/>
        </w:rPr>
        <w:t xml:space="preserve"> ar</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pp</w:t>
      </w:r>
      <w:r w:rsidRPr="00BD17CA">
        <w:rPr>
          <w:rFonts w:ascii="Arial" w:eastAsia="Arial" w:hAnsi="Arial" w:cs="Arial"/>
          <w:sz w:val="22"/>
          <w:szCs w:val="22"/>
        </w:rPr>
        <w:t>or</w:t>
      </w:r>
      <w:r w:rsidRPr="0046695E">
        <w:rPr>
          <w:rFonts w:ascii="Arial" w:eastAsia="Arial" w:hAnsi="Arial" w:cs="Arial"/>
          <w:sz w:val="22"/>
          <w:szCs w:val="22"/>
        </w:rPr>
        <w:t>tio</w:t>
      </w:r>
      <w:r w:rsidRPr="00BD17CA">
        <w:rPr>
          <w:rFonts w:ascii="Arial" w:eastAsia="Arial" w:hAnsi="Arial" w:cs="Arial"/>
          <w:sz w:val="22"/>
          <w:szCs w:val="22"/>
        </w:rPr>
        <w:t>n</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w:t>
      </w:r>
      <w:r w:rsidRPr="00BD17CA">
        <w:rPr>
          <w:rFonts w:ascii="Arial" w:eastAsia="Arial" w:hAnsi="Arial" w:cs="Arial"/>
          <w:sz w:val="22"/>
          <w:szCs w:val="22"/>
        </w:rPr>
        <w:t>th</w:t>
      </w:r>
      <w:r w:rsidRPr="0046695E">
        <w:rPr>
          <w:rFonts w:ascii="Arial" w:eastAsia="Arial" w:hAnsi="Arial" w:cs="Arial"/>
          <w:sz w:val="22"/>
          <w:szCs w:val="22"/>
        </w:rPr>
        <w:t>i</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w:t>
      </w:r>
      <w:r w:rsidRPr="00BD17CA">
        <w:rPr>
          <w:rFonts w:ascii="Arial" w:eastAsia="Arial" w:hAnsi="Arial" w:cs="Arial"/>
          <w:sz w:val="22"/>
          <w:szCs w:val="22"/>
        </w:rPr>
        <w:t>t</w:t>
      </w:r>
      <w:r w:rsidRPr="0046695E">
        <w:rPr>
          <w:rFonts w:ascii="Arial" w:eastAsia="Arial" w:hAnsi="Arial" w:cs="Arial"/>
          <w:sz w:val="22"/>
          <w:szCs w:val="22"/>
        </w:rPr>
        <w:t>ivit</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c</w:t>
      </w:r>
      <w:r w:rsidRPr="00BD17CA">
        <w:rPr>
          <w:rFonts w:ascii="Arial" w:eastAsia="Arial" w:hAnsi="Arial" w:cs="Arial"/>
          <w:sz w:val="22"/>
          <w:szCs w:val="22"/>
        </w:rPr>
        <w:t>h</w:t>
      </w:r>
      <w:r w:rsidRPr="0046695E">
        <w:rPr>
          <w:rFonts w:ascii="Arial" w:eastAsia="Arial" w:hAnsi="Arial" w:cs="Arial"/>
          <w:sz w:val="22"/>
          <w:szCs w:val="22"/>
        </w:rPr>
        <w:t>arg</w:t>
      </w:r>
      <w:r w:rsidRPr="00BD17CA">
        <w:rPr>
          <w:rFonts w:ascii="Arial" w:eastAsia="Arial" w:hAnsi="Arial" w:cs="Arial"/>
          <w:sz w:val="22"/>
          <w:szCs w:val="22"/>
        </w:rPr>
        <w:t>ed</w:t>
      </w:r>
      <w:r w:rsidRPr="0046695E">
        <w:rPr>
          <w:rFonts w:ascii="Arial" w:eastAsia="Arial" w:hAnsi="Arial" w:cs="Arial"/>
          <w:sz w:val="22"/>
          <w:szCs w:val="22"/>
        </w:rPr>
        <w:t xml:space="preserve"> </w:t>
      </w:r>
      <w:r w:rsidRPr="00BD17CA">
        <w:rPr>
          <w:rFonts w:ascii="Arial" w:eastAsia="Arial" w:hAnsi="Arial" w:cs="Arial"/>
          <w:sz w:val="22"/>
          <w:szCs w:val="22"/>
        </w:rPr>
        <w:t>as e</w:t>
      </w:r>
      <w:r w:rsidRPr="0046695E">
        <w:rPr>
          <w:rFonts w:ascii="Arial" w:eastAsia="Arial" w:hAnsi="Arial" w:cs="Arial"/>
          <w:sz w:val="22"/>
          <w:szCs w:val="22"/>
        </w:rPr>
        <w:t>x</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p>
    <w:p w14:paraId="320E6879" w14:textId="77777777" w:rsidR="009C7422" w:rsidRPr="0046695E" w:rsidRDefault="001706EB" w:rsidP="0046695E">
      <w:pPr>
        <w:spacing w:after="200" w:line="276" w:lineRule="auto"/>
        <w:ind w:left="567" w:right="74"/>
        <w:jc w:val="both"/>
        <w:rPr>
          <w:rFonts w:ascii="Arial" w:eastAsia="Arial" w:hAnsi="Arial" w:cs="Arial"/>
          <w:b/>
          <w:sz w:val="22"/>
          <w:szCs w:val="22"/>
        </w:rPr>
      </w:pPr>
      <w:r w:rsidRPr="0046695E">
        <w:rPr>
          <w:rFonts w:ascii="Arial" w:eastAsia="Arial" w:hAnsi="Arial" w:cs="Arial"/>
          <w:b/>
          <w:sz w:val="22"/>
          <w:szCs w:val="22"/>
        </w:rPr>
        <w:t>Ov</w:t>
      </w:r>
      <w:r w:rsidRPr="00BD17CA">
        <w:rPr>
          <w:rFonts w:ascii="Arial" w:eastAsia="Arial" w:hAnsi="Arial" w:cs="Arial"/>
          <w:b/>
          <w:sz w:val="22"/>
          <w:szCs w:val="22"/>
        </w:rPr>
        <w:t>e</w:t>
      </w:r>
      <w:r w:rsidRPr="0046695E">
        <w:rPr>
          <w:rFonts w:ascii="Arial" w:eastAsia="Arial" w:hAnsi="Arial" w:cs="Arial"/>
          <w:b/>
          <w:sz w:val="22"/>
          <w:szCs w:val="22"/>
        </w:rPr>
        <w:t>r</w:t>
      </w:r>
      <w:r w:rsidRPr="00BD17CA">
        <w:rPr>
          <w:rFonts w:ascii="Arial" w:eastAsia="Arial" w:hAnsi="Arial" w:cs="Arial"/>
          <w:b/>
          <w:sz w:val="22"/>
          <w:szCs w:val="22"/>
        </w:rPr>
        <w:t>sig</w:t>
      </w:r>
      <w:r w:rsidRPr="0046695E">
        <w:rPr>
          <w:rFonts w:ascii="Arial" w:eastAsia="Arial" w:hAnsi="Arial" w:cs="Arial"/>
          <w:b/>
          <w:sz w:val="22"/>
          <w:szCs w:val="22"/>
        </w:rPr>
        <w:t>h</w:t>
      </w:r>
      <w:r w:rsidRPr="00BD17CA">
        <w:rPr>
          <w:rFonts w:ascii="Arial" w:eastAsia="Arial" w:hAnsi="Arial" w:cs="Arial"/>
          <w:b/>
          <w:sz w:val="22"/>
          <w:szCs w:val="22"/>
        </w:rPr>
        <w:t>t</w:t>
      </w:r>
      <w:r w:rsidRPr="0046695E">
        <w:rPr>
          <w:rFonts w:ascii="Arial" w:eastAsia="Arial" w:hAnsi="Arial" w:cs="Arial"/>
          <w:b/>
          <w:sz w:val="22"/>
          <w:szCs w:val="22"/>
        </w:rPr>
        <w:t xml:space="preserve"> </w:t>
      </w:r>
      <w:r w:rsidRPr="00BD17CA">
        <w:rPr>
          <w:rFonts w:ascii="Arial" w:eastAsia="Arial" w:hAnsi="Arial" w:cs="Arial"/>
          <w:b/>
          <w:sz w:val="22"/>
          <w:szCs w:val="22"/>
        </w:rPr>
        <w:t>and</w:t>
      </w:r>
      <w:r w:rsidRPr="0046695E">
        <w:rPr>
          <w:rFonts w:ascii="Arial" w:eastAsia="Arial" w:hAnsi="Arial" w:cs="Arial"/>
          <w:b/>
          <w:sz w:val="22"/>
          <w:szCs w:val="22"/>
        </w:rPr>
        <w:t xml:space="preserve"> </w:t>
      </w:r>
      <w:r w:rsidRPr="00BD17CA">
        <w:rPr>
          <w:rFonts w:ascii="Arial" w:eastAsia="Arial" w:hAnsi="Arial" w:cs="Arial"/>
          <w:b/>
          <w:sz w:val="22"/>
          <w:szCs w:val="22"/>
        </w:rPr>
        <w:t>g</w:t>
      </w:r>
      <w:r w:rsidRPr="0046695E">
        <w:rPr>
          <w:rFonts w:ascii="Arial" w:eastAsia="Arial" w:hAnsi="Arial" w:cs="Arial"/>
          <w:b/>
          <w:sz w:val="22"/>
          <w:szCs w:val="22"/>
        </w:rPr>
        <w:t>ov</w:t>
      </w:r>
      <w:r w:rsidRPr="00BD17CA">
        <w:rPr>
          <w:rFonts w:ascii="Arial" w:eastAsia="Arial" w:hAnsi="Arial" w:cs="Arial"/>
          <w:b/>
          <w:sz w:val="22"/>
          <w:szCs w:val="22"/>
        </w:rPr>
        <w:t>e</w:t>
      </w:r>
      <w:r w:rsidRPr="0046695E">
        <w:rPr>
          <w:rFonts w:ascii="Arial" w:eastAsia="Arial" w:hAnsi="Arial" w:cs="Arial"/>
          <w:b/>
          <w:sz w:val="22"/>
          <w:szCs w:val="22"/>
        </w:rPr>
        <w:t>r</w:t>
      </w:r>
      <w:r w:rsidRPr="00BD17CA">
        <w:rPr>
          <w:rFonts w:ascii="Arial" w:eastAsia="Arial" w:hAnsi="Arial" w:cs="Arial"/>
          <w:b/>
          <w:sz w:val="22"/>
          <w:szCs w:val="22"/>
        </w:rPr>
        <w:t>nan</w:t>
      </w:r>
      <w:r w:rsidRPr="0046695E">
        <w:rPr>
          <w:rFonts w:ascii="Arial" w:eastAsia="Arial" w:hAnsi="Arial" w:cs="Arial"/>
          <w:b/>
          <w:sz w:val="22"/>
          <w:szCs w:val="22"/>
        </w:rPr>
        <w:t>c</w:t>
      </w:r>
      <w:r w:rsidRPr="00BD17CA">
        <w:rPr>
          <w:rFonts w:ascii="Arial" w:eastAsia="Arial" w:hAnsi="Arial" w:cs="Arial"/>
          <w:b/>
          <w:sz w:val="22"/>
          <w:szCs w:val="22"/>
        </w:rPr>
        <w:t>e</w:t>
      </w:r>
      <w:r w:rsidRPr="0046695E">
        <w:rPr>
          <w:rFonts w:ascii="Arial" w:eastAsia="Arial" w:hAnsi="Arial" w:cs="Arial"/>
          <w:b/>
          <w:sz w:val="22"/>
          <w:szCs w:val="22"/>
        </w:rPr>
        <w:t xml:space="preserve"> c</w:t>
      </w:r>
      <w:r w:rsidRPr="00BD17CA">
        <w:rPr>
          <w:rFonts w:ascii="Arial" w:eastAsia="Arial" w:hAnsi="Arial" w:cs="Arial"/>
          <w:b/>
          <w:sz w:val="22"/>
          <w:szCs w:val="22"/>
        </w:rPr>
        <w:t>osts</w:t>
      </w:r>
    </w:p>
    <w:p w14:paraId="6DCAB7F4" w14:textId="77777777" w:rsidR="009C7422" w:rsidRPr="00BD17CA" w:rsidRDefault="001706EB" w:rsidP="0046695E">
      <w:pPr>
        <w:spacing w:after="200" w:line="276" w:lineRule="auto"/>
        <w:ind w:left="567" w:right="74"/>
        <w:jc w:val="both"/>
        <w:rPr>
          <w:rFonts w:ascii="Arial" w:eastAsia="Arial" w:hAnsi="Arial" w:cs="Arial"/>
          <w:sz w:val="22"/>
          <w:szCs w:val="22"/>
        </w:rPr>
      </w:pPr>
      <w:r w:rsidRPr="0046695E">
        <w:rPr>
          <w:rFonts w:ascii="Arial" w:eastAsia="Arial" w:hAnsi="Arial" w:cs="Arial"/>
          <w:sz w:val="22"/>
          <w:szCs w:val="22"/>
        </w:rPr>
        <w:lastRenderedPageBreak/>
        <w:t>Al</w:t>
      </w:r>
      <w:r w:rsidRPr="00BD17CA">
        <w:rPr>
          <w:rFonts w:ascii="Arial" w:eastAsia="Arial" w:hAnsi="Arial" w:cs="Arial"/>
          <w:sz w:val="22"/>
          <w:szCs w:val="22"/>
        </w:rPr>
        <w:t>l</w:t>
      </w:r>
      <w:r w:rsidRPr="0046695E">
        <w:rPr>
          <w:rFonts w:ascii="Arial" w:eastAsia="Arial" w:hAnsi="Arial" w:cs="Arial"/>
          <w:sz w:val="22"/>
          <w:szCs w:val="22"/>
        </w:rPr>
        <w:t xml:space="preserve"> s</w:t>
      </w:r>
      <w:r w:rsidRPr="00BD17CA">
        <w:rPr>
          <w:rFonts w:ascii="Arial" w:eastAsia="Arial" w:hAnsi="Arial" w:cs="Arial"/>
          <w:sz w:val="22"/>
          <w:szCs w:val="22"/>
        </w:rPr>
        <w:t>ta</w:t>
      </w:r>
      <w:r w:rsidRPr="0046695E">
        <w:rPr>
          <w:rFonts w:ascii="Arial" w:eastAsia="Arial" w:hAnsi="Arial" w:cs="Arial"/>
          <w:sz w:val="22"/>
          <w:szCs w:val="22"/>
        </w:rPr>
        <w:t>f</w:t>
      </w:r>
      <w:r w:rsidRPr="00BD17CA">
        <w:rPr>
          <w:rFonts w:ascii="Arial" w:eastAsia="Arial" w:hAnsi="Arial" w:cs="Arial"/>
          <w:sz w:val="22"/>
          <w:szCs w:val="22"/>
        </w:rPr>
        <w:t>f</w:t>
      </w:r>
      <w:r w:rsidRPr="0046695E">
        <w:rPr>
          <w:rFonts w:ascii="Arial" w:eastAsia="Arial" w:hAnsi="Arial" w:cs="Arial"/>
          <w:sz w:val="22"/>
          <w:szCs w:val="22"/>
        </w:rPr>
        <w:t xml:space="preserve"> c</w:t>
      </w:r>
      <w:r w:rsidRPr="00BD17CA">
        <w:rPr>
          <w:rFonts w:ascii="Arial" w:eastAsia="Arial" w:hAnsi="Arial" w:cs="Arial"/>
          <w:sz w:val="22"/>
          <w:szCs w:val="22"/>
        </w:rPr>
        <w:t>o</w:t>
      </w:r>
      <w:r w:rsidRPr="0046695E">
        <w:rPr>
          <w:rFonts w:ascii="Arial" w:eastAsia="Arial" w:hAnsi="Arial" w:cs="Arial"/>
          <w:sz w:val="22"/>
          <w:szCs w:val="22"/>
        </w:rPr>
        <w:t>s</w:t>
      </w:r>
      <w:r w:rsidRPr="00BD17CA">
        <w:rPr>
          <w:rFonts w:ascii="Arial" w:eastAsia="Arial" w:hAnsi="Arial" w:cs="Arial"/>
          <w:sz w:val="22"/>
          <w:szCs w:val="22"/>
        </w:rPr>
        <w:t>ts</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ss</w:t>
      </w:r>
      <w:r w:rsidRPr="00BD17CA">
        <w:rPr>
          <w:rFonts w:ascii="Arial" w:eastAsia="Arial" w:hAnsi="Arial" w:cs="Arial"/>
          <w:sz w:val="22"/>
          <w:szCs w:val="22"/>
        </w:rPr>
        <w:t>o</w:t>
      </w:r>
      <w:r w:rsidRPr="0046695E">
        <w:rPr>
          <w:rFonts w:ascii="Arial" w:eastAsia="Arial" w:hAnsi="Arial" w:cs="Arial"/>
          <w:sz w:val="22"/>
          <w:szCs w:val="22"/>
        </w:rPr>
        <w:t>ci</w:t>
      </w:r>
      <w:r w:rsidRPr="00BD17CA">
        <w:rPr>
          <w:rFonts w:ascii="Arial" w:eastAsia="Arial" w:hAnsi="Arial" w:cs="Arial"/>
          <w:sz w:val="22"/>
          <w:szCs w:val="22"/>
        </w:rPr>
        <w:t>at</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w</w:t>
      </w:r>
      <w:r w:rsidRPr="0046695E">
        <w:rPr>
          <w:rFonts w:ascii="Arial" w:eastAsia="Arial" w:hAnsi="Arial" w:cs="Arial"/>
          <w:sz w:val="22"/>
          <w:szCs w:val="22"/>
        </w:rPr>
        <w:t>i</w:t>
      </w:r>
      <w:r w:rsidRPr="00BD17CA">
        <w:rPr>
          <w:rFonts w:ascii="Arial" w:eastAsia="Arial" w:hAnsi="Arial" w:cs="Arial"/>
          <w:sz w:val="22"/>
          <w:szCs w:val="22"/>
        </w:rPr>
        <w:t>th</w:t>
      </w:r>
      <w:r w:rsidRPr="0046695E">
        <w:rPr>
          <w:rFonts w:ascii="Arial" w:eastAsia="Arial" w:hAnsi="Arial" w:cs="Arial"/>
          <w:sz w:val="22"/>
          <w:szCs w:val="22"/>
        </w:rPr>
        <w:t xml:space="preserve"> </w:t>
      </w:r>
      <w:r w:rsidRPr="00BD17CA">
        <w:rPr>
          <w:rFonts w:ascii="Arial" w:eastAsia="Arial" w:hAnsi="Arial" w:cs="Arial"/>
          <w:sz w:val="22"/>
          <w:szCs w:val="22"/>
        </w:rPr>
        <w:t>g</w:t>
      </w:r>
      <w:r w:rsidRPr="0046695E">
        <w:rPr>
          <w:rFonts w:ascii="Arial" w:eastAsia="Arial" w:hAnsi="Arial" w:cs="Arial"/>
          <w:sz w:val="22"/>
          <w:szCs w:val="22"/>
        </w:rPr>
        <w:t>ov</w:t>
      </w:r>
      <w:r w:rsidRPr="00BD17CA">
        <w:rPr>
          <w:rFonts w:ascii="Arial" w:eastAsia="Arial" w:hAnsi="Arial" w:cs="Arial"/>
          <w:sz w:val="22"/>
          <w:szCs w:val="22"/>
        </w:rPr>
        <w:t>ern</w:t>
      </w:r>
      <w:r w:rsidRPr="0046695E">
        <w:rPr>
          <w:rFonts w:ascii="Arial" w:eastAsia="Arial" w:hAnsi="Arial" w:cs="Arial"/>
          <w:sz w:val="22"/>
          <w:szCs w:val="22"/>
        </w:rPr>
        <w:t>a</w:t>
      </w:r>
      <w:r w:rsidRPr="00BD17CA">
        <w:rPr>
          <w:rFonts w:ascii="Arial" w:eastAsia="Arial" w:hAnsi="Arial" w:cs="Arial"/>
          <w:sz w:val="22"/>
          <w:szCs w:val="22"/>
        </w:rPr>
        <w:t>n</w:t>
      </w:r>
      <w:r w:rsidRPr="0046695E">
        <w:rPr>
          <w:rFonts w:ascii="Arial" w:eastAsia="Arial" w:hAnsi="Arial" w:cs="Arial"/>
          <w:sz w:val="22"/>
          <w:szCs w:val="22"/>
        </w:rPr>
        <w:t>c</w:t>
      </w:r>
      <w:r w:rsidRPr="00BD17CA">
        <w:rPr>
          <w:rFonts w:ascii="Arial" w:eastAsia="Arial" w:hAnsi="Arial" w:cs="Arial"/>
          <w:sz w:val="22"/>
          <w:szCs w:val="22"/>
        </w:rPr>
        <w:t>e 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ov</w:t>
      </w:r>
      <w:r w:rsidRPr="00BD17CA">
        <w:rPr>
          <w:rFonts w:ascii="Arial" w:eastAsia="Arial" w:hAnsi="Arial" w:cs="Arial"/>
          <w:sz w:val="22"/>
          <w:szCs w:val="22"/>
        </w:rPr>
        <w:t>e</w:t>
      </w:r>
      <w:r w:rsidRPr="0046695E">
        <w:rPr>
          <w:rFonts w:ascii="Arial" w:eastAsia="Arial" w:hAnsi="Arial" w:cs="Arial"/>
          <w:sz w:val="22"/>
          <w:szCs w:val="22"/>
        </w:rPr>
        <w:t>rsi</w:t>
      </w:r>
      <w:r w:rsidRPr="00BD17CA">
        <w:rPr>
          <w:rFonts w:ascii="Arial" w:eastAsia="Arial" w:hAnsi="Arial" w:cs="Arial"/>
          <w:sz w:val="22"/>
          <w:szCs w:val="22"/>
        </w:rPr>
        <w:t>g</w:t>
      </w:r>
      <w:r w:rsidRPr="0046695E">
        <w:rPr>
          <w:rFonts w:ascii="Arial" w:eastAsia="Arial" w:hAnsi="Arial" w:cs="Arial"/>
          <w:sz w:val="22"/>
          <w:szCs w:val="22"/>
        </w:rPr>
        <w:t>h</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ch</w:t>
      </w:r>
      <w:r w:rsidRPr="00BD17CA">
        <w:rPr>
          <w:rFonts w:ascii="Arial" w:eastAsia="Arial" w:hAnsi="Arial" w:cs="Arial"/>
          <w:sz w:val="22"/>
          <w:szCs w:val="22"/>
        </w:rPr>
        <w:t>arg</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ir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Ass</w:t>
      </w:r>
      <w:r w:rsidRPr="00BD17CA">
        <w:rPr>
          <w:rFonts w:ascii="Arial" w:eastAsia="Arial" w:hAnsi="Arial" w:cs="Arial"/>
          <w:sz w:val="22"/>
          <w:szCs w:val="22"/>
        </w:rPr>
        <w:t>o</w:t>
      </w:r>
      <w:r w:rsidRPr="0046695E">
        <w:rPr>
          <w:rFonts w:ascii="Arial" w:eastAsia="Arial" w:hAnsi="Arial" w:cs="Arial"/>
          <w:sz w:val="22"/>
          <w:szCs w:val="22"/>
        </w:rPr>
        <w:t>ci</w:t>
      </w:r>
      <w:r w:rsidRPr="00BD17CA">
        <w:rPr>
          <w:rFonts w:ascii="Arial" w:eastAsia="Arial" w:hAnsi="Arial" w:cs="Arial"/>
          <w:sz w:val="22"/>
          <w:szCs w:val="22"/>
        </w:rPr>
        <w:t>at</w:t>
      </w:r>
      <w:r w:rsidRPr="0046695E">
        <w:rPr>
          <w:rFonts w:ascii="Arial" w:eastAsia="Arial" w:hAnsi="Arial" w:cs="Arial"/>
          <w:sz w:val="22"/>
          <w:szCs w:val="22"/>
        </w:rPr>
        <w:t>e</w:t>
      </w:r>
      <w:r w:rsidRPr="00BD17CA">
        <w:rPr>
          <w:rFonts w:ascii="Arial" w:eastAsia="Arial" w:hAnsi="Arial" w:cs="Arial"/>
          <w:sz w:val="22"/>
          <w:szCs w:val="22"/>
        </w:rPr>
        <w:t xml:space="preserve">d </w:t>
      </w:r>
      <w:r w:rsidRPr="0046695E">
        <w:rPr>
          <w:rFonts w:ascii="Arial" w:eastAsia="Arial" w:hAnsi="Arial" w:cs="Arial"/>
          <w:sz w:val="22"/>
          <w:szCs w:val="22"/>
        </w:rPr>
        <w:t>m</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a</w:t>
      </w:r>
      <w:r w:rsidRPr="0046695E">
        <w:rPr>
          <w:rFonts w:ascii="Arial" w:eastAsia="Arial" w:hAnsi="Arial" w:cs="Arial"/>
          <w:sz w:val="22"/>
          <w:szCs w:val="22"/>
        </w:rPr>
        <w:t>g</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 a</w:t>
      </w:r>
      <w:r w:rsidRPr="0046695E">
        <w:rPr>
          <w:rFonts w:ascii="Arial" w:eastAsia="Arial" w:hAnsi="Arial" w:cs="Arial"/>
          <w:sz w:val="22"/>
          <w:szCs w:val="22"/>
        </w:rPr>
        <w:t>ccomm</w:t>
      </w:r>
      <w:r w:rsidRPr="00BD17CA">
        <w:rPr>
          <w:rFonts w:ascii="Arial" w:eastAsia="Arial" w:hAnsi="Arial" w:cs="Arial"/>
          <w:sz w:val="22"/>
          <w:szCs w:val="22"/>
        </w:rPr>
        <w:t>o</w:t>
      </w:r>
      <w:r w:rsidRPr="0046695E">
        <w:rPr>
          <w:rFonts w:ascii="Arial" w:eastAsia="Arial" w:hAnsi="Arial" w:cs="Arial"/>
          <w:sz w:val="22"/>
          <w:szCs w:val="22"/>
        </w:rPr>
        <w:t>d</w:t>
      </w:r>
      <w:r w:rsidRPr="00BD17CA">
        <w:rPr>
          <w:rFonts w:ascii="Arial" w:eastAsia="Arial" w:hAnsi="Arial" w:cs="Arial"/>
          <w:sz w:val="22"/>
          <w:szCs w:val="22"/>
        </w:rPr>
        <w:t>at</w:t>
      </w:r>
      <w:r w:rsidRPr="0046695E">
        <w:rPr>
          <w:rFonts w:ascii="Arial" w:eastAsia="Arial" w:hAnsi="Arial" w:cs="Arial"/>
          <w:sz w:val="22"/>
          <w:szCs w:val="22"/>
        </w:rPr>
        <w:t>i</w:t>
      </w:r>
      <w:r w:rsidRPr="00BD17CA">
        <w:rPr>
          <w:rFonts w:ascii="Arial" w:eastAsia="Arial" w:hAnsi="Arial" w:cs="Arial"/>
          <w:sz w:val="22"/>
          <w:szCs w:val="22"/>
        </w:rPr>
        <w:t>on 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o</w:t>
      </w:r>
      <w:r w:rsidRPr="0046695E">
        <w:rPr>
          <w:rFonts w:ascii="Arial" w:eastAsia="Arial" w:hAnsi="Arial" w:cs="Arial"/>
          <w:sz w:val="22"/>
          <w:szCs w:val="22"/>
        </w:rPr>
        <w:t>t</w:t>
      </w:r>
      <w:r w:rsidRPr="00BD17CA">
        <w:rPr>
          <w:rFonts w:ascii="Arial" w:eastAsia="Arial" w:hAnsi="Arial" w:cs="Arial"/>
          <w:sz w:val="22"/>
          <w:szCs w:val="22"/>
        </w:rPr>
        <w:t>h</w:t>
      </w:r>
      <w:r w:rsidRPr="0046695E">
        <w:rPr>
          <w:rFonts w:ascii="Arial" w:eastAsia="Arial" w:hAnsi="Arial" w:cs="Arial"/>
          <w:sz w:val="22"/>
          <w:szCs w:val="22"/>
        </w:rPr>
        <w:t>e</w:t>
      </w:r>
      <w:r w:rsidRPr="00BD17CA">
        <w:rPr>
          <w:rFonts w:ascii="Arial" w:eastAsia="Arial" w:hAnsi="Arial" w:cs="Arial"/>
          <w:sz w:val="22"/>
          <w:szCs w:val="22"/>
        </w:rPr>
        <w:t>r</w:t>
      </w:r>
      <w:r w:rsidRPr="0046695E">
        <w:rPr>
          <w:rFonts w:ascii="Arial" w:eastAsia="Arial" w:hAnsi="Arial" w:cs="Arial"/>
          <w:sz w:val="22"/>
          <w:szCs w:val="22"/>
        </w:rPr>
        <w:t xml:space="preserve"> ov</w:t>
      </w:r>
      <w:r w:rsidRPr="00BD17CA">
        <w:rPr>
          <w:rFonts w:ascii="Arial" w:eastAsia="Arial" w:hAnsi="Arial" w:cs="Arial"/>
          <w:sz w:val="22"/>
          <w:szCs w:val="22"/>
        </w:rPr>
        <w:t>er</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a</w:t>
      </w:r>
      <w:r w:rsidRPr="00BD17CA">
        <w:rPr>
          <w:rFonts w:ascii="Arial" w:eastAsia="Arial" w:hAnsi="Arial" w:cs="Arial"/>
          <w:sz w:val="22"/>
          <w:szCs w:val="22"/>
        </w:rPr>
        <w:t>ds</w:t>
      </w:r>
      <w:r w:rsidRPr="0046695E">
        <w:rPr>
          <w:rFonts w:ascii="Arial" w:eastAsia="Arial" w:hAnsi="Arial" w:cs="Arial"/>
          <w:sz w:val="22"/>
          <w:szCs w:val="22"/>
        </w:rPr>
        <w:t xml:space="preserve"> ar</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pp</w:t>
      </w:r>
      <w:r w:rsidRPr="00BD17CA">
        <w:rPr>
          <w:rFonts w:ascii="Arial" w:eastAsia="Arial" w:hAnsi="Arial" w:cs="Arial"/>
          <w:sz w:val="22"/>
          <w:szCs w:val="22"/>
        </w:rPr>
        <w:t>ort</w:t>
      </w:r>
      <w:r w:rsidRPr="0046695E">
        <w:rPr>
          <w:rFonts w:ascii="Arial" w:eastAsia="Arial" w:hAnsi="Arial" w:cs="Arial"/>
          <w:sz w:val="22"/>
          <w:szCs w:val="22"/>
        </w:rPr>
        <w:t>io</w:t>
      </w:r>
      <w:r w:rsidRPr="00BD17CA">
        <w:rPr>
          <w:rFonts w:ascii="Arial" w:eastAsia="Arial" w:hAnsi="Arial" w:cs="Arial"/>
          <w:sz w:val="22"/>
          <w:szCs w:val="22"/>
        </w:rPr>
        <w:t>n</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w:t>
      </w:r>
      <w:r w:rsidRPr="00BD17CA">
        <w:rPr>
          <w:rFonts w:ascii="Arial" w:eastAsia="Arial" w:hAnsi="Arial" w:cs="Arial"/>
          <w:sz w:val="22"/>
          <w:szCs w:val="22"/>
        </w:rPr>
        <w:t>th</w:t>
      </w:r>
      <w:r w:rsidRPr="0046695E">
        <w:rPr>
          <w:rFonts w:ascii="Arial" w:eastAsia="Arial" w:hAnsi="Arial" w:cs="Arial"/>
          <w:sz w:val="22"/>
          <w:szCs w:val="22"/>
        </w:rPr>
        <w:t>i</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w:t>
      </w:r>
      <w:r w:rsidRPr="00BD17CA">
        <w:rPr>
          <w:rFonts w:ascii="Arial" w:eastAsia="Arial" w:hAnsi="Arial" w:cs="Arial"/>
          <w:sz w:val="22"/>
          <w:szCs w:val="22"/>
        </w:rPr>
        <w:t>t</w:t>
      </w:r>
      <w:r w:rsidRPr="0046695E">
        <w:rPr>
          <w:rFonts w:ascii="Arial" w:eastAsia="Arial" w:hAnsi="Arial" w:cs="Arial"/>
          <w:sz w:val="22"/>
          <w:szCs w:val="22"/>
        </w:rPr>
        <w:t>ivit</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c</w:t>
      </w:r>
      <w:r w:rsidRPr="00BD17CA">
        <w:rPr>
          <w:rFonts w:ascii="Arial" w:eastAsia="Arial" w:hAnsi="Arial" w:cs="Arial"/>
          <w:sz w:val="22"/>
          <w:szCs w:val="22"/>
        </w:rPr>
        <w:t>h</w:t>
      </w:r>
      <w:r w:rsidRPr="0046695E">
        <w:rPr>
          <w:rFonts w:ascii="Arial" w:eastAsia="Arial" w:hAnsi="Arial" w:cs="Arial"/>
          <w:sz w:val="22"/>
          <w:szCs w:val="22"/>
        </w:rPr>
        <w:t>arg</w:t>
      </w:r>
      <w:r w:rsidRPr="00BD17CA">
        <w:rPr>
          <w:rFonts w:ascii="Arial" w:eastAsia="Arial" w:hAnsi="Arial" w:cs="Arial"/>
          <w:sz w:val="22"/>
          <w:szCs w:val="22"/>
        </w:rPr>
        <w:t>ed</w:t>
      </w:r>
      <w:r w:rsidRPr="0046695E">
        <w:rPr>
          <w:rFonts w:ascii="Arial" w:eastAsia="Arial" w:hAnsi="Arial" w:cs="Arial"/>
          <w:sz w:val="22"/>
          <w:szCs w:val="22"/>
        </w:rPr>
        <w:t xml:space="preserve"> </w:t>
      </w:r>
      <w:r w:rsidRPr="00BD17CA">
        <w:rPr>
          <w:rFonts w:ascii="Arial" w:eastAsia="Arial" w:hAnsi="Arial" w:cs="Arial"/>
          <w:sz w:val="22"/>
          <w:szCs w:val="22"/>
        </w:rPr>
        <w:t>as e</w:t>
      </w:r>
      <w:r w:rsidRPr="0046695E">
        <w:rPr>
          <w:rFonts w:ascii="Arial" w:eastAsia="Arial" w:hAnsi="Arial" w:cs="Arial"/>
          <w:sz w:val="22"/>
          <w:szCs w:val="22"/>
        </w:rPr>
        <w:t>x</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p>
    <w:p w14:paraId="3E548952" w14:textId="77777777" w:rsidR="009C7422" w:rsidRPr="0046695E" w:rsidRDefault="001706EB" w:rsidP="0046695E">
      <w:pPr>
        <w:spacing w:after="200" w:line="276" w:lineRule="auto"/>
        <w:ind w:left="567" w:right="74"/>
        <w:jc w:val="both"/>
        <w:rPr>
          <w:rFonts w:ascii="Arial" w:eastAsia="Arial" w:hAnsi="Arial" w:cs="Arial"/>
          <w:b/>
          <w:sz w:val="22"/>
          <w:szCs w:val="22"/>
        </w:rPr>
      </w:pPr>
      <w:r w:rsidRPr="00BD17CA">
        <w:rPr>
          <w:rFonts w:ascii="Arial" w:eastAsia="Arial" w:hAnsi="Arial" w:cs="Arial"/>
          <w:b/>
          <w:sz w:val="22"/>
          <w:szCs w:val="22"/>
        </w:rPr>
        <w:t>In</w:t>
      </w:r>
      <w:r w:rsidRPr="0046695E">
        <w:rPr>
          <w:rFonts w:ascii="Arial" w:eastAsia="Arial" w:hAnsi="Arial" w:cs="Arial"/>
          <w:b/>
          <w:sz w:val="22"/>
          <w:szCs w:val="22"/>
        </w:rPr>
        <w:t>v</w:t>
      </w:r>
      <w:r w:rsidRPr="00BD17CA">
        <w:rPr>
          <w:rFonts w:ascii="Arial" w:eastAsia="Arial" w:hAnsi="Arial" w:cs="Arial"/>
          <w:b/>
          <w:sz w:val="22"/>
          <w:szCs w:val="22"/>
        </w:rPr>
        <w:t>e</w:t>
      </w:r>
      <w:r w:rsidRPr="0046695E">
        <w:rPr>
          <w:rFonts w:ascii="Arial" w:eastAsia="Arial" w:hAnsi="Arial" w:cs="Arial"/>
          <w:b/>
          <w:sz w:val="22"/>
          <w:szCs w:val="22"/>
        </w:rPr>
        <w:t>st</w:t>
      </w:r>
      <w:r w:rsidRPr="00BD17CA">
        <w:rPr>
          <w:rFonts w:ascii="Arial" w:eastAsia="Arial" w:hAnsi="Arial" w:cs="Arial"/>
          <w:b/>
          <w:sz w:val="22"/>
          <w:szCs w:val="22"/>
        </w:rPr>
        <w:t>me</w:t>
      </w:r>
      <w:r w:rsidRPr="0046695E">
        <w:rPr>
          <w:rFonts w:ascii="Arial" w:eastAsia="Arial" w:hAnsi="Arial" w:cs="Arial"/>
          <w:b/>
          <w:sz w:val="22"/>
          <w:szCs w:val="22"/>
        </w:rPr>
        <w:t>n</w:t>
      </w:r>
      <w:r w:rsidRPr="00BD17CA">
        <w:rPr>
          <w:rFonts w:ascii="Arial" w:eastAsia="Arial" w:hAnsi="Arial" w:cs="Arial"/>
          <w:b/>
          <w:sz w:val="22"/>
          <w:szCs w:val="22"/>
        </w:rPr>
        <w:t>t</w:t>
      </w:r>
      <w:r w:rsidRPr="0046695E">
        <w:rPr>
          <w:rFonts w:ascii="Arial" w:eastAsia="Arial" w:hAnsi="Arial" w:cs="Arial"/>
          <w:b/>
          <w:sz w:val="22"/>
          <w:szCs w:val="22"/>
        </w:rPr>
        <w:t xml:space="preserve"> </w:t>
      </w:r>
      <w:r w:rsidRPr="00BD17CA">
        <w:rPr>
          <w:rFonts w:ascii="Arial" w:eastAsia="Arial" w:hAnsi="Arial" w:cs="Arial"/>
          <w:b/>
          <w:sz w:val="22"/>
          <w:szCs w:val="22"/>
        </w:rPr>
        <w:t>manage</w:t>
      </w:r>
      <w:r w:rsidRPr="0046695E">
        <w:rPr>
          <w:rFonts w:ascii="Arial" w:eastAsia="Arial" w:hAnsi="Arial" w:cs="Arial"/>
          <w:b/>
          <w:sz w:val="22"/>
          <w:szCs w:val="22"/>
        </w:rPr>
        <w:t>m</w:t>
      </w:r>
      <w:r w:rsidRPr="00BD17CA">
        <w:rPr>
          <w:rFonts w:ascii="Arial" w:eastAsia="Arial" w:hAnsi="Arial" w:cs="Arial"/>
          <w:b/>
          <w:sz w:val="22"/>
          <w:szCs w:val="22"/>
        </w:rPr>
        <w:t>ent</w:t>
      </w:r>
      <w:r w:rsidRPr="0046695E">
        <w:rPr>
          <w:rFonts w:ascii="Arial" w:eastAsia="Arial" w:hAnsi="Arial" w:cs="Arial"/>
          <w:b/>
          <w:sz w:val="22"/>
          <w:szCs w:val="22"/>
        </w:rPr>
        <w:t xml:space="preserve"> </w:t>
      </w:r>
      <w:r w:rsidRPr="00BD17CA">
        <w:rPr>
          <w:rFonts w:ascii="Arial" w:eastAsia="Arial" w:hAnsi="Arial" w:cs="Arial"/>
          <w:b/>
          <w:sz w:val="22"/>
          <w:szCs w:val="22"/>
        </w:rPr>
        <w:t>e</w:t>
      </w:r>
      <w:r w:rsidRPr="0046695E">
        <w:rPr>
          <w:rFonts w:ascii="Arial" w:eastAsia="Arial" w:hAnsi="Arial" w:cs="Arial"/>
          <w:b/>
          <w:sz w:val="22"/>
          <w:szCs w:val="22"/>
        </w:rPr>
        <w:t>x</w:t>
      </w:r>
      <w:r w:rsidRPr="00BD17CA">
        <w:rPr>
          <w:rFonts w:ascii="Arial" w:eastAsia="Arial" w:hAnsi="Arial" w:cs="Arial"/>
          <w:b/>
          <w:sz w:val="22"/>
          <w:szCs w:val="22"/>
        </w:rPr>
        <w:t>pen</w:t>
      </w:r>
      <w:r w:rsidRPr="0046695E">
        <w:rPr>
          <w:rFonts w:ascii="Arial" w:eastAsia="Arial" w:hAnsi="Arial" w:cs="Arial"/>
          <w:b/>
          <w:sz w:val="22"/>
          <w:szCs w:val="22"/>
        </w:rPr>
        <w:t>s</w:t>
      </w:r>
      <w:r w:rsidRPr="00BD17CA">
        <w:rPr>
          <w:rFonts w:ascii="Arial" w:eastAsia="Arial" w:hAnsi="Arial" w:cs="Arial"/>
          <w:b/>
          <w:sz w:val="22"/>
          <w:szCs w:val="22"/>
        </w:rPr>
        <w:t>es</w:t>
      </w:r>
    </w:p>
    <w:p w14:paraId="4C24EE8C" w14:textId="014E72AE" w:rsidR="009C7422" w:rsidRPr="00BD17CA" w:rsidRDefault="001706EB" w:rsidP="0046695E">
      <w:pPr>
        <w:spacing w:after="200" w:line="276" w:lineRule="auto"/>
        <w:ind w:left="567" w:right="74"/>
        <w:jc w:val="both"/>
        <w:rPr>
          <w:rFonts w:ascii="Arial" w:eastAsia="Arial" w:hAnsi="Arial" w:cs="Arial"/>
          <w:sz w:val="22"/>
          <w:szCs w:val="22"/>
        </w:rPr>
      </w:pPr>
      <w:r w:rsidRPr="00BD17CA">
        <w:rPr>
          <w:rFonts w:ascii="Arial" w:eastAsia="Arial" w:hAnsi="Arial" w:cs="Arial"/>
          <w:sz w:val="22"/>
          <w:szCs w:val="22"/>
        </w:rPr>
        <w:t>Inve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m</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a</w:t>
      </w:r>
      <w:r w:rsidRPr="0046695E">
        <w:rPr>
          <w:rFonts w:ascii="Arial" w:eastAsia="Arial" w:hAnsi="Arial" w:cs="Arial"/>
          <w:sz w:val="22"/>
          <w:szCs w:val="22"/>
        </w:rPr>
        <w:t>g</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ex</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ch</w:t>
      </w:r>
      <w:r w:rsidRPr="00BD17CA">
        <w:rPr>
          <w:rFonts w:ascii="Arial" w:eastAsia="Arial" w:hAnsi="Arial" w:cs="Arial"/>
          <w:sz w:val="22"/>
          <w:szCs w:val="22"/>
        </w:rPr>
        <w:t>arg</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dir</w:t>
      </w:r>
      <w:r w:rsidRPr="00BD17CA">
        <w:rPr>
          <w:rFonts w:ascii="Arial" w:eastAsia="Arial" w:hAnsi="Arial" w:cs="Arial"/>
          <w:sz w:val="22"/>
          <w:szCs w:val="22"/>
        </w:rPr>
        <w:t>e</w:t>
      </w:r>
      <w:r w:rsidRPr="0046695E">
        <w:rPr>
          <w:rFonts w:ascii="Arial" w:eastAsia="Arial" w:hAnsi="Arial" w:cs="Arial"/>
          <w:sz w:val="22"/>
          <w:szCs w:val="22"/>
        </w:rPr>
        <w:t>ctl</w:t>
      </w:r>
      <w:r w:rsidRPr="00BD17CA">
        <w:rPr>
          <w:rFonts w:ascii="Arial" w:eastAsia="Arial" w:hAnsi="Arial" w:cs="Arial"/>
          <w:sz w:val="22"/>
          <w:szCs w:val="22"/>
        </w:rPr>
        <w:t>y to</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fu</w:t>
      </w:r>
      <w:r w:rsidRPr="00BD17CA">
        <w:rPr>
          <w:rFonts w:ascii="Arial" w:eastAsia="Arial" w:hAnsi="Arial" w:cs="Arial"/>
          <w:sz w:val="22"/>
          <w:szCs w:val="22"/>
        </w:rPr>
        <w:t>nd</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 xml:space="preserve"> p</w:t>
      </w:r>
      <w:r w:rsidRPr="00BD17CA">
        <w:rPr>
          <w:rFonts w:ascii="Arial" w:eastAsia="Arial" w:hAnsi="Arial" w:cs="Arial"/>
          <w:sz w:val="22"/>
          <w:szCs w:val="22"/>
        </w:rPr>
        <w:t>art</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ma</w:t>
      </w:r>
      <w:r w:rsidRPr="00BD17CA">
        <w:rPr>
          <w:rFonts w:ascii="Arial" w:eastAsia="Arial" w:hAnsi="Arial" w:cs="Arial"/>
          <w:sz w:val="22"/>
          <w:szCs w:val="22"/>
        </w:rPr>
        <w:t>n</w:t>
      </w:r>
      <w:r w:rsidRPr="0046695E">
        <w:rPr>
          <w:rFonts w:ascii="Arial" w:eastAsia="Arial" w:hAnsi="Arial" w:cs="Arial"/>
          <w:sz w:val="22"/>
          <w:szCs w:val="22"/>
        </w:rPr>
        <w:t>a</w:t>
      </w:r>
      <w:r w:rsidRPr="00BD17CA">
        <w:rPr>
          <w:rFonts w:ascii="Arial" w:eastAsia="Arial" w:hAnsi="Arial" w:cs="Arial"/>
          <w:sz w:val="22"/>
          <w:szCs w:val="22"/>
        </w:rPr>
        <w:t>g</w:t>
      </w:r>
      <w:r w:rsidRPr="0046695E">
        <w:rPr>
          <w:rFonts w:ascii="Arial" w:eastAsia="Arial" w:hAnsi="Arial" w:cs="Arial"/>
          <w:sz w:val="22"/>
          <w:szCs w:val="22"/>
        </w:rPr>
        <w:t>em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e</w:t>
      </w:r>
      <w:r w:rsidRPr="0046695E">
        <w:rPr>
          <w:rFonts w:ascii="Arial" w:eastAsia="Arial" w:hAnsi="Arial" w:cs="Arial"/>
          <w:sz w:val="22"/>
          <w:szCs w:val="22"/>
        </w:rPr>
        <w:t>xp</w:t>
      </w:r>
      <w:r w:rsidRPr="00BD17CA">
        <w:rPr>
          <w:rFonts w:ascii="Arial" w:eastAsia="Arial" w:hAnsi="Arial" w:cs="Arial"/>
          <w:sz w:val="22"/>
          <w:szCs w:val="22"/>
        </w:rPr>
        <w:t>e</w:t>
      </w:r>
      <w:r w:rsidRPr="0046695E">
        <w:rPr>
          <w:rFonts w:ascii="Arial" w:eastAsia="Arial" w:hAnsi="Arial" w:cs="Arial"/>
          <w:sz w:val="22"/>
          <w:szCs w:val="22"/>
        </w:rPr>
        <w:t>ns</w:t>
      </w:r>
      <w:r w:rsidRPr="00BD17CA">
        <w:rPr>
          <w:rFonts w:ascii="Arial" w:eastAsia="Arial" w:hAnsi="Arial" w:cs="Arial"/>
          <w:sz w:val="22"/>
          <w:szCs w:val="22"/>
        </w:rPr>
        <w:t>es 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w:t>
      </w:r>
      <w:r w:rsidRPr="00BD17CA">
        <w:rPr>
          <w:rFonts w:ascii="Arial" w:eastAsia="Arial" w:hAnsi="Arial" w:cs="Arial"/>
          <w:sz w:val="22"/>
          <w:szCs w:val="22"/>
        </w:rPr>
        <w:t>n</w:t>
      </w:r>
      <w:r w:rsidRPr="0046695E">
        <w:rPr>
          <w:rFonts w:ascii="Arial" w:eastAsia="Arial" w:hAnsi="Arial" w:cs="Arial"/>
          <w:sz w:val="22"/>
          <w:szCs w:val="22"/>
        </w:rPr>
        <w:t>o</w:t>
      </w:r>
      <w:r w:rsidRPr="00BD17CA">
        <w:rPr>
          <w:rFonts w:ascii="Arial" w:eastAsia="Arial" w:hAnsi="Arial" w:cs="Arial"/>
          <w:sz w:val="22"/>
          <w:szCs w:val="22"/>
        </w:rPr>
        <w:t>t</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cl</w:t>
      </w:r>
      <w:r w:rsidRPr="00BD17CA">
        <w:rPr>
          <w:rFonts w:ascii="Arial" w:eastAsia="Arial" w:hAnsi="Arial" w:cs="Arial"/>
          <w:sz w:val="22"/>
          <w:szCs w:val="22"/>
        </w:rPr>
        <w:t>u</w:t>
      </w:r>
      <w:r w:rsidRPr="0046695E">
        <w:rPr>
          <w:rFonts w:ascii="Arial" w:eastAsia="Arial" w:hAnsi="Arial" w:cs="Arial"/>
          <w:sz w:val="22"/>
          <w:szCs w:val="22"/>
        </w:rPr>
        <w:t>de</w:t>
      </w:r>
      <w:r w:rsidRPr="00BD17CA">
        <w:rPr>
          <w:rFonts w:ascii="Arial" w:eastAsia="Arial" w:hAnsi="Arial" w:cs="Arial"/>
          <w:sz w:val="22"/>
          <w:szCs w:val="22"/>
        </w:rPr>
        <w:t>d</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or</w:t>
      </w:r>
      <w:r w:rsidRPr="0046695E">
        <w:rPr>
          <w:rFonts w:ascii="Arial" w:eastAsia="Arial" w:hAnsi="Arial" w:cs="Arial"/>
          <w:sz w:val="22"/>
          <w:szCs w:val="22"/>
        </w:rPr>
        <w:t xml:space="preserve"> </w:t>
      </w:r>
      <w:r w:rsidRPr="00BD17CA">
        <w:rPr>
          <w:rFonts w:ascii="Arial" w:eastAsia="Arial" w:hAnsi="Arial" w:cs="Arial"/>
          <w:sz w:val="22"/>
          <w:szCs w:val="22"/>
        </w:rPr>
        <w:t>n</w:t>
      </w:r>
      <w:r w:rsidRPr="0046695E">
        <w:rPr>
          <w:rFonts w:ascii="Arial" w:eastAsia="Arial" w:hAnsi="Arial" w:cs="Arial"/>
          <w:sz w:val="22"/>
          <w:szCs w:val="22"/>
        </w:rPr>
        <w:t>e</w:t>
      </w:r>
      <w:r w:rsidRPr="00BD17CA">
        <w:rPr>
          <w:rFonts w:ascii="Arial" w:eastAsia="Arial" w:hAnsi="Arial" w:cs="Arial"/>
          <w:sz w:val="22"/>
          <w:szCs w:val="22"/>
        </w:rPr>
        <w:t>tt</w:t>
      </w:r>
      <w:r w:rsidRPr="0046695E">
        <w:rPr>
          <w:rFonts w:ascii="Arial" w:eastAsia="Arial" w:hAnsi="Arial" w:cs="Arial"/>
          <w:sz w:val="22"/>
          <w:szCs w:val="22"/>
        </w:rPr>
        <w:t>e</w:t>
      </w:r>
      <w:r w:rsidRPr="00BD17CA">
        <w:rPr>
          <w:rFonts w:ascii="Arial" w:eastAsia="Arial" w:hAnsi="Arial" w:cs="Arial"/>
          <w:sz w:val="22"/>
          <w:szCs w:val="22"/>
        </w:rPr>
        <w:t>d o</w:t>
      </w:r>
      <w:r w:rsidRPr="0046695E">
        <w:rPr>
          <w:rFonts w:ascii="Arial" w:eastAsia="Arial" w:hAnsi="Arial" w:cs="Arial"/>
          <w:sz w:val="22"/>
          <w:szCs w:val="22"/>
        </w:rPr>
        <w:t>f</w:t>
      </w:r>
      <w:r w:rsidRPr="00BD17CA">
        <w:rPr>
          <w:rFonts w:ascii="Arial" w:eastAsia="Arial" w:hAnsi="Arial" w:cs="Arial"/>
          <w:sz w:val="22"/>
          <w:szCs w:val="22"/>
        </w:rPr>
        <w:t>f</w:t>
      </w:r>
      <w:r w:rsidRPr="0046695E">
        <w:rPr>
          <w:rFonts w:ascii="Arial" w:eastAsia="Arial" w:hAnsi="Arial" w:cs="Arial"/>
          <w:sz w:val="22"/>
          <w:szCs w:val="22"/>
        </w:rPr>
        <w:t xml:space="preserve"> from</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r</w:t>
      </w:r>
      <w:r w:rsidRPr="00BD17CA">
        <w:rPr>
          <w:rFonts w:ascii="Arial" w:eastAsia="Arial" w:hAnsi="Arial" w:cs="Arial"/>
          <w:sz w:val="22"/>
          <w:szCs w:val="22"/>
        </w:rPr>
        <w:t>e</w:t>
      </w:r>
      <w:r w:rsidRPr="0046695E">
        <w:rPr>
          <w:rFonts w:ascii="Arial" w:eastAsia="Arial" w:hAnsi="Arial" w:cs="Arial"/>
          <w:sz w:val="22"/>
          <w:szCs w:val="22"/>
        </w:rPr>
        <w:t>p</w:t>
      </w:r>
      <w:r w:rsidRPr="00BD17CA">
        <w:rPr>
          <w:rFonts w:ascii="Arial" w:eastAsia="Arial" w:hAnsi="Arial" w:cs="Arial"/>
          <w:sz w:val="22"/>
          <w:szCs w:val="22"/>
        </w:rPr>
        <w:t>ort</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r</w:t>
      </w:r>
      <w:r w:rsidRPr="00BD17CA">
        <w:rPr>
          <w:rFonts w:ascii="Arial" w:eastAsia="Arial" w:hAnsi="Arial" w:cs="Arial"/>
          <w:sz w:val="22"/>
          <w:szCs w:val="22"/>
        </w:rPr>
        <w:t>et</w:t>
      </w:r>
      <w:r w:rsidRPr="0046695E">
        <w:rPr>
          <w:rFonts w:ascii="Arial" w:eastAsia="Arial" w:hAnsi="Arial" w:cs="Arial"/>
          <w:sz w:val="22"/>
          <w:szCs w:val="22"/>
        </w:rPr>
        <w:t>ur</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s</w:t>
      </w:r>
      <w:r w:rsidRPr="00BD17CA">
        <w:rPr>
          <w:rFonts w:ascii="Arial" w:eastAsia="Arial" w:hAnsi="Arial" w:cs="Arial"/>
          <w:sz w:val="22"/>
          <w:szCs w:val="22"/>
        </w:rPr>
        <w:t>.</w:t>
      </w:r>
      <w:r w:rsidRPr="0046695E">
        <w:rPr>
          <w:rFonts w:ascii="Arial" w:eastAsia="Arial" w:hAnsi="Arial" w:cs="Arial"/>
          <w:sz w:val="22"/>
          <w:szCs w:val="22"/>
        </w:rPr>
        <w:t xml:space="preserve"> W</w:t>
      </w:r>
      <w:r w:rsidRPr="00BD17CA">
        <w:rPr>
          <w:rFonts w:ascii="Arial" w:eastAsia="Arial" w:hAnsi="Arial" w:cs="Arial"/>
          <w:sz w:val="22"/>
          <w:szCs w:val="22"/>
        </w:rPr>
        <w:t>h</w:t>
      </w:r>
      <w:r w:rsidRPr="0046695E">
        <w:rPr>
          <w:rFonts w:ascii="Arial" w:eastAsia="Arial" w:hAnsi="Arial" w:cs="Arial"/>
          <w:sz w:val="22"/>
          <w:szCs w:val="22"/>
        </w:rPr>
        <w:t>er</w:t>
      </w:r>
      <w:r w:rsidRPr="00BD17CA">
        <w:rPr>
          <w:rFonts w:ascii="Arial" w:eastAsia="Arial" w:hAnsi="Arial" w:cs="Arial"/>
          <w:sz w:val="22"/>
          <w:szCs w:val="22"/>
        </w:rPr>
        <w:t xml:space="preserve">e </w:t>
      </w:r>
      <w:r w:rsidRPr="0046695E">
        <w:rPr>
          <w:rFonts w:ascii="Arial" w:eastAsia="Arial" w:hAnsi="Arial" w:cs="Arial"/>
          <w:sz w:val="22"/>
          <w:szCs w:val="22"/>
        </w:rPr>
        <w:t>f</w:t>
      </w:r>
      <w:r w:rsidRPr="00BD17CA">
        <w:rPr>
          <w:rFonts w:ascii="Arial" w:eastAsia="Arial" w:hAnsi="Arial" w:cs="Arial"/>
          <w:sz w:val="22"/>
          <w:szCs w:val="22"/>
        </w:rPr>
        <w:t>e</w:t>
      </w:r>
      <w:r w:rsidRPr="0046695E">
        <w:rPr>
          <w:rFonts w:ascii="Arial" w:eastAsia="Arial" w:hAnsi="Arial" w:cs="Arial"/>
          <w:sz w:val="22"/>
          <w:szCs w:val="22"/>
        </w:rPr>
        <w:t>e</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w:t>
      </w:r>
      <w:r w:rsidRPr="00BD17CA">
        <w:rPr>
          <w:rFonts w:ascii="Arial" w:eastAsia="Arial" w:hAnsi="Arial" w:cs="Arial"/>
          <w:sz w:val="22"/>
          <w:szCs w:val="22"/>
        </w:rPr>
        <w:t>n</w:t>
      </w:r>
      <w:r w:rsidRPr="0046695E">
        <w:rPr>
          <w:rFonts w:ascii="Arial" w:eastAsia="Arial" w:hAnsi="Arial" w:cs="Arial"/>
          <w:sz w:val="22"/>
          <w:szCs w:val="22"/>
        </w:rPr>
        <w:t>e</w:t>
      </w:r>
      <w:r w:rsidRPr="00BD17CA">
        <w:rPr>
          <w:rFonts w:ascii="Arial" w:eastAsia="Arial" w:hAnsi="Arial" w:cs="Arial"/>
          <w:sz w:val="22"/>
          <w:szCs w:val="22"/>
        </w:rPr>
        <w:t>tt</w:t>
      </w:r>
      <w:r w:rsidRPr="0046695E">
        <w:rPr>
          <w:rFonts w:ascii="Arial" w:eastAsia="Arial" w:hAnsi="Arial" w:cs="Arial"/>
          <w:sz w:val="22"/>
          <w:szCs w:val="22"/>
        </w:rPr>
        <w:t>e</w:t>
      </w:r>
      <w:r w:rsidRPr="00BD17CA">
        <w:rPr>
          <w:rFonts w:ascii="Arial" w:eastAsia="Arial" w:hAnsi="Arial" w:cs="Arial"/>
          <w:sz w:val="22"/>
          <w:szCs w:val="22"/>
        </w:rPr>
        <w:t>d of</w:t>
      </w:r>
      <w:r w:rsidRPr="0046695E">
        <w:rPr>
          <w:rFonts w:ascii="Arial" w:eastAsia="Arial" w:hAnsi="Arial" w:cs="Arial"/>
          <w:sz w:val="22"/>
          <w:szCs w:val="22"/>
        </w:rPr>
        <w:t xml:space="preserve"> </w:t>
      </w:r>
      <w:r w:rsidRPr="00BD17CA">
        <w:rPr>
          <w:rFonts w:ascii="Arial" w:eastAsia="Arial" w:hAnsi="Arial" w:cs="Arial"/>
          <w:sz w:val="22"/>
          <w:szCs w:val="22"/>
        </w:rPr>
        <w:t>q</w:t>
      </w:r>
      <w:r w:rsidRPr="0046695E">
        <w:rPr>
          <w:rFonts w:ascii="Arial" w:eastAsia="Arial" w:hAnsi="Arial" w:cs="Arial"/>
          <w:sz w:val="22"/>
          <w:szCs w:val="22"/>
        </w:rPr>
        <w:t>u</w:t>
      </w:r>
      <w:r w:rsidRPr="00BD17CA">
        <w:rPr>
          <w:rFonts w:ascii="Arial" w:eastAsia="Arial" w:hAnsi="Arial" w:cs="Arial"/>
          <w:sz w:val="22"/>
          <w:szCs w:val="22"/>
        </w:rPr>
        <w:t>arte</w:t>
      </w:r>
      <w:r w:rsidRPr="0046695E">
        <w:rPr>
          <w:rFonts w:ascii="Arial" w:eastAsia="Arial" w:hAnsi="Arial" w:cs="Arial"/>
          <w:sz w:val="22"/>
          <w:szCs w:val="22"/>
        </w:rPr>
        <w:t>rl</w:t>
      </w:r>
      <w:r w:rsidRPr="00BD17CA">
        <w:rPr>
          <w:rFonts w:ascii="Arial" w:eastAsia="Arial" w:hAnsi="Arial" w:cs="Arial"/>
          <w:sz w:val="22"/>
          <w:szCs w:val="22"/>
        </w:rPr>
        <w:t>y</w:t>
      </w:r>
      <w:r w:rsidRPr="0046695E">
        <w:rPr>
          <w:rFonts w:ascii="Arial" w:eastAsia="Arial" w:hAnsi="Arial" w:cs="Arial"/>
          <w:sz w:val="22"/>
          <w:szCs w:val="22"/>
        </w:rPr>
        <w:t xml:space="preserve"> val</w:t>
      </w:r>
      <w:r w:rsidRPr="00BD17CA">
        <w:rPr>
          <w:rFonts w:ascii="Arial" w:eastAsia="Arial" w:hAnsi="Arial" w:cs="Arial"/>
          <w:sz w:val="22"/>
          <w:szCs w:val="22"/>
        </w:rPr>
        <w:t>u</w:t>
      </w:r>
      <w:r w:rsidRPr="0046695E">
        <w:rPr>
          <w:rFonts w:ascii="Arial" w:eastAsia="Arial" w:hAnsi="Arial" w:cs="Arial"/>
          <w:sz w:val="22"/>
          <w:szCs w:val="22"/>
        </w:rPr>
        <w:t>a</w:t>
      </w:r>
      <w:r w:rsidRPr="00BD17CA">
        <w:rPr>
          <w:rFonts w:ascii="Arial" w:eastAsia="Arial" w:hAnsi="Arial" w:cs="Arial"/>
          <w:sz w:val="22"/>
          <w:szCs w:val="22"/>
        </w:rPr>
        <w:t>t</w:t>
      </w:r>
      <w:r w:rsidRPr="0046695E">
        <w:rPr>
          <w:rFonts w:ascii="Arial" w:eastAsia="Arial" w:hAnsi="Arial" w:cs="Arial"/>
          <w:sz w:val="22"/>
          <w:szCs w:val="22"/>
        </w:rPr>
        <w:t>io</w:t>
      </w:r>
      <w:r w:rsidRPr="00BD17CA">
        <w:rPr>
          <w:rFonts w:ascii="Arial" w:eastAsia="Arial" w:hAnsi="Arial" w:cs="Arial"/>
          <w:sz w:val="22"/>
          <w:szCs w:val="22"/>
        </w:rPr>
        <w:t>ns</w:t>
      </w:r>
      <w:r w:rsidRPr="0046695E">
        <w:rPr>
          <w:rFonts w:ascii="Arial" w:eastAsia="Arial" w:hAnsi="Arial" w:cs="Arial"/>
          <w:sz w:val="22"/>
          <w:szCs w:val="22"/>
        </w:rPr>
        <w:t xml:space="preserve"> b</w:t>
      </w:r>
      <w:r w:rsidRPr="00BD17CA">
        <w:rPr>
          <w:rFonts w:ascii="Arial" w:eastAsia="Arial" w:hAnsi="Arial" w:cs="Arial"/>
          <w:sz w:val="22"/>
          <w:szCs w:val="22"/>
        </w:rPr>
        <w:t>y</w:t>
      </w:r>
      <w:r w:rsidRPr="0046695E">
        <w:rPr>
          <w:rFonts w:ascii="Arial" w:eastAsia="Arial" w:hAnsi="Arial" w:cs="Arial"/>
          <w:sz w:val="22"/>
          <w:szCs w:val="22"/>
        </w:rPr>
        <w:t xml:space="preserve"> inv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m</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a</w:t>
      </w:r>
      <w:r w:rsidRPr="0046695E">
        <w:rPr>
          <w:rFonts w:ascii="Arial" w:eastAsia="Arial" w:hAnsi="Arial" w:cs="Arial"/>
          <w:sz w:val="22"/>
          <w:szCs w:val="22"/>
        </w:rPr>
        <w:t>g</w:t>
      </w:r>
      <w:r w:rsidRPr="00BD17CA">
        <w:rPr>
          <w:rFonts w:ascii="Arial" w:eastAsia="Arial" w:hAnsi="Arial" w:cs="Arial"/>
          <w:sz w:val="22"/>
          <w:szCs w:val="22"/>
        </w:rPr>
        <w:t>er</w:t>
      </w:r>
      <w:r w:rsidRPr="0046695E">
        <w:rPr>
          <w:rFonts w:ascii="Arial" w:eastAsia="Arial" w:hAnsi="Arial" w:cs="Arial"/>
          <w:sz w:val="22"/>
          <w:szCs w:val="22"/>
        </w:rPr>
        <w:t>s</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th</w:t>
      </w:r>
      <w:r w:rsidRPr="0046695E">
        <w:rPr>
          <w:rFonts w:ascii="Arial" w:eastAsia="Arial" w:hAnsi="Arial" w:cs="Arial"/>
          <w:sz w:val="22"/>
          <w:szCs w:val="22"/>
        </w:rPr>
        <w:t>es</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e</w:t>
      </w:r>
      <w:r w:rsidRPr="0046695E">
        <w:rPr>
          <w:rFonts w:ascii="Arial" w:eastAsia="Arial" w:hAnsi="Arial" w:cs="Arial"/>
          <w:sz w:val="22"/>
          <w:szCs w:val="22"/>
        </w:rPr>
        <w:t>x</w:t>
      </w:r>
      <w:r w:rsidRPr="00BD17CA">
        <w:rPr>
          <w:rFonts w:ascii="Arial" w:eastAsia="Arial" w:hAnsi="Arial" w:cs="Arial"/>
          <w:sz w:val="22"/>
          <w:szCs w:val="22"/>
        </w:rPr>
        <w:t>p</w:t>
      </w:r>
      <w:r w:rsidRPr="0046695E">
        <w:rPr>
          <w:rFonts w:ascii="Arial" w:eastAsia="Arial" w:hAnsi="Arial" w:cs="Arial"/>
          <w:sz w:val="22"/>
          <w:szCs w:val="22"/>
        </w:rPr>
        <w:t>e</w:t>
      </w:r>
      <w:r w:rsidRPr="00BD17CA">
        <w:rPr>
          <w:rFonts w:ascii="Arial" w:eastAsia="Arial" w:hAnsi="Arial" w:cs="Arial"/>
          <w:sz w:val="22"/>
          <w:szCs w:val="22"/>
        </w:rPr>
        <w:t>n</w:t>
      </w:r>
      <w:r w:rsidRPr="0046695E">
        <w:rPr>
          <w:rFonts w:ascii="Arial" w:eastAsia="Arial" w:hAnsi="Arial" w:cs="Arial"/>
          <w:sz w:val="22"/>
          <w:szCs w:val="22"/>
        </w:rPr>
        <w:t>s</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s</w:t>
      </w:r>
      <w:r w:rsidRPr="00BD17CA">
        <w:rPr>
          <w:rFonts w:ascii="Arial" w:eastAsia="Arial" w:hAnsi="Arial" w:cs="Arial"/>
          <w:sz w:val="22"/>
          <w:szCs w:val="22"/>
        </w:rPr>
        <w:t>h</w:t>
      </w:r>
      <w:r w:rsidRPr="0046695E">
        <w:rPr>
          <w:rFonts w:ascii="Arial" w:eastAsia="Arial" w:hAnsi="Arial" w:cs="Arial"/>
          <w:sz w:val="22"/>
          <w:szCs w:val="22"/>
        </w:rPr>
        <w:t>o</w:t>
      </w:r>
      <w:r w:rsidRPr="00BD17CA">
        <w:rPr>
          <w:rFonts w:ascii="Arial" w:eastAsia="Arial" w:hAnsi="Arial" w:cs="Arial"/>
          <w:sz w:val="22"/>
          <w:szCs w:val="22"/>
        </w:rPr>
        <w:t>wn</w:t>
      </w:r>
      <w:r w:rsidRPr="0046695E">
        <w:rPr>
          <w:rFonts w:ascii="Arial" w:eastAsia="Arial" w:hAnsi="Arial" w:cs="Arial"/>
          <w:sz w:val="22"/>
          <w:szCs w:val="22"/>
        </w:rPr>
        <w:t xml:space="preserve"> s</w:t>
      </w:r>
      <w:r w:rsidRPr="00BD17CA">
        <w:rPr>
          <w:rFonts w:ascii="Arial" w:eastAsia="Arial" w:hAnsi="Arial" w:cs="Arial"/>
          <w:sz w:val="22"/>
          <w:szCs w:val="22"/>
        </w:rPr>
        <w:t>e</w:t>
      </w:r>
      <w:r w:rsidRPr="0046695E">
        <w:rPr>
          <w:rFonts w:ascii="Arial" w:eastAsia="Arial" w:hAnsi="Arial" w:cs="Arial"/>
          <w:sz w:val="22"/>
          <w:szCs w:val="22"/>
        </w:rPr>
        <w:t>p</w:t>
      </w:r>
      <w:r w:rsidRPr="00BD17CA">
        <w:rPr>
          <w:rFonts w:ascii="Arial" w:eastAsia="Arial" w:hAnsi="Arial" w:cs="Arial"/>
          <w:sz w:val="22"/>
          <w:szCs w:val="22"/>
        </w:rPr>
        <w:t>a</w:t>
      </w:r>
      <w:r w:rsidRPr="0046695E">
        <w:rPr>
          <w:rFonts w:ascii="Arial" w:eastAsia="Arial" w:hAnsi="Arial" w:cs="Arial"/>
          <w:sz w:val="22"/>
          <w:szCs w:val="22"/>
        </w:rPr>
        <w:t>r</w:t>
      </w:r>
      <w:r w:rsidRPr="00BD17CA">
        <w:rPr>
          <w:rFonts w:ascii="Arial" w:eastAsia="Arial" w:hAnsi="Arial" w:cs="Arial"/>
          <w:sz w:val="22"/>
          <w:szCs w:val="22"/>
        </w:rPr>
        <w:t>at</w:t>
      </w:r>
      <w:r w:rsidRPr="0046695E">
        <w:rPr>
          <w:rFonts w:ascii="Arial" w:eastAsia="Arial" w:hAnsi="Arial" w:cs="Arial"/>
          <w:sz w:val="22"/>
          <w:szCs w:val="22"/>
        </w:rPr>
        <w:t>el</w:t>
      </w:r>
      <w:r w:rsidRPr="00BD17CA">
        <w:rPr>
          <w:rFonts w:ascii="Arial" w:eastAsia="Arial" w:hAnsi="Arial" w:cs="Arial"/>
          <w:sz w:val="22"/>
          <w:szCs w:val="22"/>
        </w:rPr>
        <w:t>y</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094814">
        <w:rPr>
          <w:rFonts w:ascii="Arial" w:eastAsia="Arial" w:hAnsi="Arial" w:cs="Arial"/>
          <w:sz w:val="22"/>
          <w:szCs w:val="22"/>
        </w:rPr>
        <w:t>Note 11</w:t>
      </w:r>
      <w:r w:rsidR="000A2D2C">
        <w:rPr>
          <w:rFonts w:ascii="Arial" w:eastAsia="Arial" w:hAnsi="Arial" w:cs="Arial"/>
          <w:sz w:val="22"/>
          <w:szCs w:val="22"/>
        </w:rPr>
        <w:t>a</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d gro</w:t>
      </w:r>
      <w:r w:rsidRPr="0046695E">
        <w:rPr>
          <w:rFonts w:ascii="Arial" w:eastAsia="Arial" w:hAnsi="Arial" w:cs="Arial"/>
          <w:sz w:val="22"/>
          <w:szCs w:val="22"/>
        </w:rPr>
        <w:t>ss</w:t>
      </w:r>
      <w:r w:rsidRPr="00BD17CA">
        <w:rPr>
          <w:rFonts w:ascii="Arial" w:eastAsia="Arial" w:hAnsi="Arial" w:cs="Arial"/>
          <w:sz w:val="22"/>
          <w:szCs w:val="22"/>
        </w:rPr>
        <w:t>ed</w:t>
      </w:r>
      <w:r w:rsidRPr="0046695E">
        <w:rPr>
          <w:rFonts w:ascii="Arial" w:eastAsia="Arial" w:hAnsi="Arial" w:cs="Arial"/>
          <w:sz w:val="22"/>
          <w:szCs w:val="22"/>
        </w:rPr>
        <w:t xml:space="preserve"> </w:t>
      </w:r>
      <w:r w:rsidRPr="00BD17CA">
        <w:rPr>
          <w:rFonts w:ascii="Arial" w:eastAsia="Arial" w:hAnsi="Arial" w:cs="Arial"/>
          <w:sz w:val="22"/>
          <w:szCs w:val="22"/>
        </w:rPr>
        <w:t>up</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cr</w:t>
      </w:r>
      <w:r w:rsidRPr="00BD17CA">
        <w:rPr>
          <w:rFonts w:ascii="Arial" w:eastAsia="Arial" w:hAnsi="Arial" w:cs="Arial"/>
          <w:sz w:val="22"/>
          <w:szCs w:val="22"/>
        </w:rPr>
        <w:t>e</w:t>
      </w:r>
      <w:r w:rsidRPr="0046695E">
        <w:rPr>
          <w:rFonts w:ascii="Arial" w:eastAsia="Arial" w:hAnsi="Arial" w:cs="Arial"/>
          <w:sz w:val="22"/>
          <w:szCs w:val="22"/>
        </w:rPr>
        <w:t>as</w:t>
      </w:r>
      <w:r w:rsidRPr="00BD17CA">
        <w:rPr>
          <w:rFonts w:ascii="Arial" w:eastAsia="Arial" w:hAnsi="Arial" w:cs="Arial"/>
          <w:sz w:val="22"/>
          <w:szCs w:val="22"/>
        </w:rPr>
        <w:t>e</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c</w:t>
      </w:r>
      <w:r w:rsidRPr="00BD17CA">
        <w:rPr>
          <w:rFonts w:ascii="Arial" w:eastAsia="Arial" w:hAnsi="Arial" w:cs="Arial"/>
          <w:sz w:val="22"/>
          <w:szCs w:val="22"/>
        </w:rPr>
        <w:t>h</w:t>
      </w:r>
      <w:r w:rsidRPr="0046695E">
        <w:rPr>
          <w:rFonts w:ascii="Arial" w:eastAsia="Arial" w:hAnsi="Arial" w:cs="Arial"/>
          <w:sz w:val="22"/>
          <w:szCs w:val="22"/>
        </w:rPr>
        <w:t>a</w:t>
      </w:r>
      <w:r w:rsidRPr="00BD17CA">
        <w:rPr>
          <w:rFonts w:ascii="Arial" w:eastAsia="Arial" w:hAnsi="Arial" w:cs="Arial"/>
          <w:sz w:val="22"/>
          <w:szCs w:val="22"/>
        </w:rPr>
        <w:t>n</w:t>
      </w:r>
      <w:r w:rsidRPr="0046695E">
        <w:rPr>
          <w:rFonts w:ascii="Arial" w:eastAsia="Arial" w:hAnsi="Arial" w:cs="Arial"/>
          <w:sz w:val="22"/>
          <w:szCs w:val="22"/>
        </w:rPr>
        <w:t>g</w:t>
      </w:r>
      <w:r w:rsidRPr="00BD17CA">
        <w:rPr>
          <w:rFonts w:ascii="Arial" w:eastAsia="Arial" w:hAnsi="Arial" w:cs="Arial"/>
          <w:sz w:val="22"/>
          <w:szCs w:val="22"/>
        </w:rPr>
        <w:t>e</w:t>
      </w:r>
      <w:r w:rsidRPr="0046695E">
        <w:rPr>
          <w:rFonts w:ascii="Arial" w:eastAsia="Arial" w:hAnsi="Arial" w:cs="Arial"/>
          <w:sz w:val="22"/>
          <w:szCs w:val="22"/>
        </w:rPr>
        <w:t xml:space="preserve"> i</w:t>
      </w:r>
      <w:r w:rsidRPr="00BD17CA">
        <w:rPr>
          <w:rFonts w:ascii="Arial" w:eastAsia="Arial" w:hAnsi="Arial" w:cs="Arial"/>
          <w:sz w:val="22"/>
          <w:szCs w:val="22"/>
        </w:rPr>
        <w:t xml:space="preserve">n </w:t>
      </w:r>
      <w:r w:rsidRPr="0046695E">
        <w:rPr>
          <w:rFonts w:ascii="Arial" w:eastAsia="Arial" w:hAnsi="Arial" w:cs="Arial"/>
          <w:sz w:val="22"/>
          <w:szCs w:val="22"/>
        </w:rPr>
        <w:t>v</w:t>
      </w:r>
      <w:r w:rsidRPr="00BD17CA">
        <w:rPr>
          <w:rFonts w:ascii="Arial" w:eastAsia="Arial" w:hAnsi="Arial" w:cs="Arial"/>
          <w:sz w:val="22"/>
          <w:szCs w:val="22"/>
        </w:rPr>
        <w:t>a</w:t>
      </w:r>
      <w:r w:rsidRPr="0046695E">
        <w:rPr>
          <w:rFonts w:ascii="Arial" w:eastAsia="Arial" w:hAnsi="Arial" w:cs="Arial"/>
          <w:sz w:val="22"/>
          <w:szCs w:val="22"/>
        </w:rPr>
        <w:t>lu</w:t>
      </w:r>
      <w:r w:rsidRPr="00BD17CA">
        <w:rPr>
          <w:rFonts w:ascii="Arial" w:eastAsia="Arial" w:hAnsi="Arial" w:cs="Arial"/>
          <w:sz w:val="22"/>
          <w:szCs w:val="22"/>
        </w:rPr>
        <w:t>e</w:t>
      </w:r>
      <w:r w:rsidRPr="0046695E">
        <w:rPr>
          <w:rFonts w:ascii="Arial" w:eastAsia="Arial" w:hAnsi="Arial" w:cs="Arial"/>
          <w:sz w:val="22"/>
          <w:szCs w:val="22"/>
        </w:rPr>
        <w:t xml:space="preserve"> o</w:t>
      </w:r>
      <w:r w:rsidRPr="00BD17CA">
        <w:rPr>
          <w:rFonts w:ascii="Arial" w:eastAsia="Arial" w:hAnsi="Arial" w:cs="Arial"/>
          <w:sz w:val="22"/>
          <w:szCs w:val="22"/>
        </w:rPr>
        <w:t xml:space="preserve">f </w:t>
      </w:r>
      <w:r w:rsidRPr="0046695E">
        <w:rPr>
          <w:rFonts w:ascii="Arial" w:eastAsia="Arial" w:hAnsi="Arial" w:cs="Arial"/>
          <w:sz w:val="22"/>
          <w:szCs w:val="22"/>
        </w:rPr>
        <w:t>i</w:t>
      </w:r>
      <w:r w:rsidRPr="00BD17CA">
        <w:rPr>
          <w:rFonts w:ascii="Arial" w:eastAsia="Arial" w:hAnsi="Arial" w:cs="Arial"/>
          <w:sz w:val="22"/>
          <w:szCs w:val="22"/>
        </w:rPr>
        <w:t>n</w:t>
      </w:r>
      <w:r w:rsidRPr="0046695E">
        <w:rPr>
          <w:rFonts w:ascii="Arial" w:eastAsia="Arial" w:hAnsi="Arial" w:cs="Arial"/>
          <w:sz w:val="22"/>
          <w:szCs w:val="22"/>
        </w:rPr>
        <w:t>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s</w:t>
      </w:r>
      <w:r w:rsidRPr="00BD17CA">
        <w:rPr>
          <w:rFonts w:ascii="Arial" w:eastAsia="Arial" w:hAnsi="Arial" w:cs="Arial"/>
          <w:sz w:val="22"/>
          <w:szCs w:val="22"/>
        </w:rPr>
        <w:t>.</w:t>
      </w:r>
    </w:p>
    <w:p w14:paraId="1B67BDA6" w14:textId="77777777" w:rsidR="009C7422" w:rsidRPr="00BD17CA" w:rsidRDefault="001706EB" w:rsidP="0046695E">
      <w:pPr>
        <w:spacing w:after="200" w:line="276" w:lineRule="auto"/>
        <w:ind w:left="567" w:right="74"/>
        <w:jc w:val="both"/>
        <w:rPr>
          <w:rFonts w:ascii="Arial" w:eastAsia="Arial" w:hAnsi="Arial" w:cs="Arial"/>
          <w:sz w:val="22"/>
          <w:szCs w:val="22"/>
        </w:rPr>
      </w:pPr>
      <w:r w:rsidRPr="00BD17CA">
        <w:rPr>
          <w:rFonts w:ascii="Arial" w:eastAsia="Arial" w:hAnsi="Arial" w:cs="Arial"/>
          <w:sz w:val="22"/>
          <w:szCs w:val="22"/>
        </w:rPr>
        <w:t>Fe</w:t>
      </w:r>
      <w:r w:rsidRPr="0046695E">
        <w:rPr>
          <w:rFonts w:ascii="Arial" w:eastAsia="Arial" w:hAnsi="Arial" w:cs="Arial"/>
          <w:sz w:val="22"/>
          <w:szCs w:val="22"/>
        </w:rPr>
        <w:t>e</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e</w:t>
      </w:r>
      <w:r w:rsidRPr="0046695E">
        <w:rPr>
          <w:rFonts w:ascii="Arial" w:eastAsia="Arial" w:hAnsi="Arial" w:cs="Arial"/>
          <w:sz w:val="22"/>
          <w:szCs w:val="22"/>
        </w:rPr>
        <w:t>xt</w:t>
      </w:r>
      <w:r w:rsidRPr="00BD17CA">
        <w:rPr>
          <w:rFonts w:ascii="Arial" w:eastAsia="Arial" w:hAnsi="Arial" w:cs="Arial"/>
          <w:sz w:val="22"/>
          <w:szCs w:val="22"/>
        </w:rPr>
        <w:t>ern</w:t>
      </w:r>
      <w:r w:rsidRPr="0046695E">
        <w:rPr>
          <w:rFonts w:ascii="Arial" w:eastAsia="Arial" w:hAnsi="Arial" w:cs="Arial"/>
          <w:sz w:val="22"/>
          <w:szCs w:val="22"/>
        </w:rPr>
        <w:t>a</w:t>
      </w:r>
      <w:r w:rsidRPr="00BD17CA">
        <w:rPr>
          <w:rFonts w:ascii="Arial" w:eastAsia="Arial" w:hAnsi="Arial" w:cs="Arial"/>
          <w:sz w:val="22"/>
          <w:szCs w:val="22"/>
        </w:rPr>
        <w:t>l</w:t>
      </w:r>
      <w:r w:rsidRPr="0046695E">
        <w:rPr>
          <w:rFonts w:ascii="Arial" w:eastAsia="Arial" w:hAnsi="Arial" w:cs="Arial"/>
          <w:sz w:val="22"/>
          <w:szCs w:val="22"/>
        </w:rPr>
        <w:t xml:space="preserve"> investm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 xml:space="preserve">t </w:t>
      </w:r>
      <w:r w:rsidRPr="0046695E">
        <w:rPr>
          <w:rFonts w:ascii="Arial" w:eastAsia="Arial" w:hAnsi="Arial" w:cs="Arial"/>
          <w:sz w:val="22"/>
          <w:szCs w:val="22"/>
        </w:rPr>
        <w:t>m</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a</w:t>
      </w:r>
      <w:r w:rsidRPr="0046695E">
        <w:rPr>
          <w:rFonts w:ascii="Arial" w:eastAsia="Arial" w:hAnsi="Arial" w:cs="Arial"/>
          <w:sz w:val="22"/>
          <w:szCs w:val="22"/>
        </w:rPr>
        <w:t>g</w:t>
      </w:r>
      <w:r w:rsidRPr="00BD17CA">
        <w:rPr>
          <w:rFonts w:ascii="Arial" w:eastAsia="Arial" w:hAnsi="Arial" w:cs="Arial"/>
          <w:sz w:val="22"/>
          <w:szCs w:val="22"/>
        </w:rPr>
        <w:t>ers</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c</w:t>
      </w:r>
      <w:r w:rsidRPr="00BD17CA">
        <w:rPr>
          <w:rFonts w:ascii="Arial" w:eastAsia="Arial" w:hAnsi="Arial" w:cs="Arial"/>
          <w:sz w:val="22"/>
          <w:szCs w:val="22"/>
        </w:rPr>
        <w:t>u</w:t>
      </w:r>
      <w:r w:rsidRPr="0046695E">
        <w:rPr>
          <w:rFonts w:ascii="Arial" w:eastAsia="Arial" w:hAnsi="Arial" w:cs="Arial"/>
          <w:sz w:val="22"/>
          <w:szCs w:val="22"/>
        </w:rPr>
        <w:t>s</w:t>
      </w:r>
      <w:r w:rsidRPr="00BD17CA">
        <w:rPr>
          <w:rFonts w:ascii="Arial" w:eastAsia="Arial" w:hAnsi="Arial" w:cs="Arial"/>
          <w:sz w:val="22"/>
          <w:szCs w:val="22"/>
        </w:rPr>
        <w:t>to</w:t>
      </w:r>
      <w:r w:rsidRPr="0046695E">
        <w:rPr>
          <w:rFonts w:ascii="Arial" w:eastAsia="Arial" w:hAnsi="Arial" w:cs="Arial"/>
          <w:sz w:val="22"/>
          <w:szCs w:val="22"/>
        </w:rPr>
        <w:t>di</w:t>
      </w:r>
      <w:r w:rsidRPr="00BD17CA">
        <w:rPr>
          <w:rFonts w:ascii="Arial" w:eastAsia="Arial" w:hAnsi="Arial" w:cs="Arial"/>
          <w:sz w:val="22"/>
          <w:szCs w:val="22"/>
        </w:rPr>
        <w:t>an</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gre</w:t>
      </w:r>
      <w:r w:rsidRPr="00BD17CA">
        <w:rPr>
          <w:rFonts w:ascii="Arial" w:eastAsia="Arial" w:hAnsi="Arial" w:cs="Arial"/>
          <w:sz w:val="22"/>
          <w:szCs w:val="22"/>
        </w:rPr>
        <w:t>ed</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r</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p</w:t>
      </w:r>
      <w:r w:rsidRPr="0046695E">
        <w:rPr>
          <w:rFonts w:ascii="Arial" w:eastAsia="Arial" w:hAnsi="Arial" w:cs="Arial"/>
          <w:sz w:val="22"/>
          <w:szCs w:val="22"/>
        </w:rPr>
        <w:t>ec</w:t>
      </w:r>
      <w:r w:rsidRPr="00BD17CA">
        <w:rPr>
          <w:rFonts w:ascii="Arial" w:eastAsia="Arial" w:hAnsi="Arial" w:cs="Arial"/>
          <w:sz w:val="22"/>
          <w:szCs w:val="22"/>
        </w:rPr>
        <w:t>t</w:t>
      </w:r>
      <w:r w:rsidRPr="0046695E">
        <w:rPr>
          <w:rFonts w:ascii="Arial" w:eastAsia="Arial" w:hAnsi="Arial" w:cs="Arial"/>
          <w:sz w:val="22"/>
          <w:szCs w:val="22"/>
        </w:rPr>
        <w:t>iv</w:t>
      </w:r>
      <w:r w:rsidRPr="00BD17CA">
        <w:rPr>
          <w:rFonts w:ascii="Arial" w:eastAsia="Arial" w:hAnsi="Arial" w:cs="Arial"/>
          <w:sz w:val="22"/>
          <w:szCs w:val="22"/>
        </w:rPr>
        <w:t>e</w:t>
      </w:r>
      <w:r w:rsidRPr="0046695E">
        <w:rPr>
          <w:rFonts w:ascii="Arial" w:eastAsia="Arial" w:hAnsi="Arial" w:cs="Arial"/>
          <w:sz w:val="22"/>
          <w:szCs w:val="22"/>
        </w:rPr>
        <w:t xml:space="preserve"> m</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a</w:t>
      </w:r>
      <w:r w:rsidRPr="00BD17CA">
        <w:rPr>
          <w:rFonts w:ascii="Arial" w:eastAsia="Arial" w:hAnsi="Arial" w:cs="Arial"/>
          <w:sz w:val="22"/>
          <w:szCs w:val="22"/>
        </w:rPr>
        <w:t>tes g</w:t>
      </w:r>
      <w:r w:rsidRPr="0046695E">
        <w:rPr>
          <w:rFonts w:ascii="Arial" w:eastAsia="Arial" w:hAnsi="Arial" w:cs="Arial"/>
          <w:sz w:val="22"/>
          <w:szCs w:val="22"/>
        </w:rPr>
        <w:t>ov</w:t>
      </w:r>
      <w:r w:rsidRPr="00BD17CA">
        <w:rPr>
          <w:rFonts w:ascii="Arial" w:eastAsia="Arial" w:hAnsi="Arial" w:cs="Arial"/>
          <w:sz w:val="22"/>
          <w:szCs w:val="22"/>
        </w:rPr>
        <w:t>ern</w:t>
      </w:r>
      <w:r w:rsidRPr="0046695E">
        <w:rPr>
          <w:rFonts w:ascii="Arial" w:eastAsia="Arial" w:hAnsi="Arial" w:cs="Arial"/>
          <w:sz w:val="22"/>
          <w:szCs w:val="22"/>
        </w:rPr>
        <w:t>i</w:t>
      </w:r>
      <w:r w:rsidRPr="00BD17CA">
        <w:rPr>
          <w:rFonts w:ascii="Arial" w:eastAsia="Arial" w:hAnsi="Arial" w:cs="Arial"/>
          <w:sz w:val="22"/>
          <w:szCs w:val="22"/>
        </w:rPr>
        <w:t>ng</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i</w:t>
      </w:r>
      <w:r w:rsidRPr="00BD17CA">
        <w:rPr>
          <w:rFonts w:ascii="Arial" w:eastAsia="Arial" w:hAnsi="Arial" w:cs="Arial"/>
          <w:sz w:val="22"/>
          <w:szCs w:val="22"/>
        </w:rPr>
        <w:t>r</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p</w:t>
      </w:r>
      <w:r w:rsidRPr="00BD17CA">
        <w:rPr>
          <w:rFonts w:ascii="Arial" w:eastAsia="Arial" w:hAnsi="Arial" w:cs="Arial"/>
          <w:sz w:val="22"/>
          <w:szCs w:val="22"/>
        </w:rPr>
        <w:t>p</w:t>
      </w:r>
      <w:r w:rsidRPr="0046695E">
        <w:rPr>
          <w:rFonts w:ascii="Arial" w:eastAsia="Arial" w:hAnsi="Arial" w:cs="Arial"/>
          <w:sz w:val="22"/>
          <w:szCs w:val="22"/>
        </w:rPr>
        <w:t>oi</w:t>
      </w:r>
      <w:r w:rsidRPr="00BD17CA">
        <w:rPr>
          <w:rFonts w:ascii="Arial" w:eastAsia="Arial" w:hAnsi="Arial" w:cs="Arial"/>
          <w:sz w:val="22"/>
          <w:szCs w:val="22"/>
        </w:rPr>
        <w:t>nt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s</w:t>
      </w:r>
      <w:r w:rsidRPr="00BD17CA">
        <w:rPr>
          <w:rFonts w:ascii="Arial" w:eastAsia="Arial" w:hAnsi="Arial" w:cs="Arial"/>
          <w:sz w:val="22"/>
          <w:szCs w:val="22"/>
        </w:rPr>
        <w:t>.</w:t>
      </w:r>
      <w:r w:rsidRPr="0046695E">
        <w:rPr>
          <w:rFonts w:ascii="Arial" w:eastAsia="Arial" w:hAnsi="Arial" w:cs="Arial"/>
          <w:sz w:val="22"/>
          <w:szCs w:val="22"/>
        </w:rPr>
        <w:t xml:space="preserve"> Br</w:t>
      </w:r>
      <w:r w:rsidRPr="00BD17CA">
        <w:rPr>
          <w:rFonts w:ascii="Arial" w:eastAsia="Arial" w:hAnsi="Arial" w:cs="Arial"/>
          <w:sz w:val="22"/>
          <w:szCs w:val="22"/>
        </w:rPr>
        <w:t>o</w:t>
      </w:r>
      <w:r w:rsidRPr="0046695E">
        <w:rPr>
          <w:rFonts w:ascii="Arial" w:eastAsia="Arial" w:hAnsi="Arial" w:cs="Arial"/>
          <w:sz w:val="22"/>
          <w:szCs w:val="22"/>
        </w:rPr>
        <w:t>a</w:t>
      </w:r>
      <w:r w:rsidRPr="00BD17CA">
        <w:rPr>
          <w:rFonts w:ascii="Arial" w:eastAsia="Arial" w:hAnsi="Arial" w:cs="Arial"/>
          <w:sz w:val="22"/>
          <w:szCs w:val="22"/>
        </w:rPr>
        <w:t>d</w:t>
      </w:r>
      <w:r w:rsidRPr="0046695E">
        <w:rPr>
          <w:rFonts w:ascii="Arial" w:eastAsia="Arial" w:hAnsi="Arial" w:cs="Arial"/>
          <w:sz w:val="22"/>
          <w:szCs w:val="22"/>
        </w:rPr>
        <w:t>ly</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ase</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m</w:t>
      </w:r>
      <w:r w:rsidRPr="00BD17CA">
        <w:rPr>
          <w:rFonts w:ascii="Arial" w:eastAsia="Arial" w:hAnsi="Arial" w:cs="Arial"/>
          <w:sz w:val="22"/>
          <w:szCs w:val="22"/>
        </w:rPr>
        <w:t>a</w:t>
      </w:r>
      <w:r w:rsidRPr="0046695E">
        <w:rPr>
          <w:rFonts w:ascii="Arial" w:eastAsia="Arial" w:hAnsi="Arial" w:cs="Arial"/>
          <w:sz w:val="22"/>
          <w:szCs w:val="22"/>
        </w:rPr>
        <w:t>rk</w:t>
      </w:r>
      <w:r w:rsidRPr="00BD17CA">
        <w:rPr>
          <w:rFonts w:ascii="Arial" w:eastAsia="Arial" w:hAnsi="Arial" w:cs="Arial"/>
          <w:sz w:val="22"/>
          <w:szCs w:val="22"/>
        </w:rPr>
        <w:t>et</w:t>
      </w:r>
      <w:r w:rsidRPr="0046695E">
        <w:rPr>
          <w:rFonts w:ascii="Arial" w:eastAsia="Arial" w:hAnsi="Arial" w:cs="Arial"/>
          <w:sz w:val="22"/>
          <w:szCs w:val="22"/>
        </w:rPr>
        <w:t xml:space="preserve"> v</w:t>
      </w:r>
      <w:r w:rsidRPr="00BD17CA">
        <w:rPr>
          <w:rFonts w:ascii="Arial" w:eastAsia="Arial" w:hAnsi="Arial" w:cs="Arial"/>
          <w:sz w:val="22"/>
          <w:szCs w:val="22"/>
        </w:rPr>
        <w:t>a</w:t>
      </w:r>
      <w:r w:rsidRPr="0046695E">
        <w:rPr>
          <w:rFonts w:ascii="Arial" w:eastAsia="Arial" w:hAnsi="Arial" w:cs="Arial"/>
          <w:sz w:val="22"/>
          <w:szCs w:val="22"/>
        </w:rPr>
        <w:t>lu</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inv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ts</w:t>
      </w:r>
      <w:r w:rsidRPr="0046695E">
        <w:rPr>
          <w:rFonts w:ascii="Arial" w:eastAsia="Arial" w:hAnsi="Arial" w:cs="Arial"/>
          <w:sz w:val="22"/>
          <w:szCs w:val="22"/>
        </w:rPr>
        <w:t xml:space="preserve"> </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e</w:t>
      </w:r>
      <w:r w:rsidRPr="00BD17CA">
        <w:rPr>
          <w:rFonts w:ascii="Arial" w:eastAsia="Arial" w:hAnsi="Arial" w:cs="Arial"/>
          <w:sz w:val="22"/>
          <w:szCs w:val="22"/>
        </w:rPr>
        <w:t>r th</w:t>
      </w:r>
      <w:r w:rsidRPr="0046695E">
        <w:rPr>
          <w:rFonts w:ascii="Arial" w:eastAsia="Arial" w:hAnsi="Arial" w:cs="Arial"/>
          <w:sz w:val="22"/>
          <w:szCs w:val="22"/>
        </w:rPr>
        <w:t>ei</w:t>
      </w:r>
      <w:r w:rsidRPr="00BD17CA">
        <w:rPr>
          <w:rFonts w:ascii="Arial" w:eastAsia="Arial" w:hAnsi="Arial" w:cs="Arial"/>
          <w:sz w:val="22"/>
          <w:szCs w:val="22"/>
        </w:rPr>
        <w:t>r</w:t>
      </w:r>
      <w:r w:rsidRPr="0046695E">
        <w:rPr>
          <w:rFonts w:ascii="Arial" w:eastAsia="Arial" w:hAnsi="Arial" w:cs="Arial"/>
          <w:sz w:val="22"/>
          <w:szCs w:val="22"/>
        </w:rPr>
        <w:t xml:space="preserve"> m</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a</w:t>
      </w:r>
      <w:r w:rsidRPr="0046695E">
        <w:rPr>
          <w:rFonts w:ascii="Arial" w:eastAsia="Arial" w:hAnsi="Arial" w:cs="Arial"/>
          <w:sz w:val="22"/>
          <w:szCs w:val="22"/>
        </w:rPr>
        <w:t>g</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an</w:t>
      </w:r>
      <w:r w:rsidRPr="00BD17CA">
        <w:rPr>
          <w:rFonts w:ascii="Arial" w:eastAsia="Arial" w:hAnsi="Arial" w:cs="Arial"/>
          <w:sz w:val="22"/>
          <w:szCs w:val="22"/>
        </w:rPr>
        <w:t>d</w:t>
      </w:r>
      <w:r w:rsidRPr="0046695E">
        <w:rPr>
          <w:rFonts w:ascii="Arial" w:eastAsia="Arial" w:hAnsi="Arial" w:cs="Arial"/>
          <w:sz w:val="22"/>
          <w:szCs w:val="22"/>
        </w:rPr>
        <w:t xml:space="preserve"> t</w:t>
      </w:r>
      <w:r w:rsidRPr="00BD17CA">
        <w:rPr>
          <w:rFonts w:ascii="Arial" w:eastAsia="Arial" w:hAnsi="Arial" w:cs="Arial"/>
          <w:sz w:val="22"/>
          <w:szCs w:val="22"/>
        </w:rPr>
        <w:t>h</w:t>
      </w:r>
      <w:r w:rsidRPr="0046695E">
        <w:rPr>
          <w:rFonts w:ascii="Arial" w:eastAsia="Arial" w:hAnsi="Arial" w:cs="Arial"/>
          <w:sz w:val="22"/>
          <w:szCs w:val="22"/>
        </w:rPr>
        <w:t>er</w:t>
      </w:r>
      <w:r w:rsidRPr="00BD17CA">
        <w:rPr>
          <w:rFonts w:ascii="Arial" w:eastAsia="Arial" w:hAnsi="Arial" w:cs="Arial"/>
          <w:sz w:val="22"/>
          <w:szCs w:val="22"/>
        </w:rPr>
        <w:t>e</w:t>
      </w:r>
      <w:r w:rsidRPr="0046695E">
        <w:rPr>
          <w:rFonts w:ascii="Arial" w:eastAsia="Arial" w:hAnsi="Arial" w:cs="Arial"/>
          <w:sz w:val="22"/>
          <w:szCs w:val="22"/>
        </w:rPr>
        <w:t>f</w:t>
      </w:r>
      <w:r w:rsidRPr="00BD17CA">
        <w:rPr>
          <w:rFonts w:ascii="Arial" w:eastAsia="Arial" w:hAnsi="Arial" w:cs="Arial"/>
          <w:sz w:val="22"/>
          <w:szCs w:val="22"/>
        </w:rPr>
        <w:t>ore</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cr</w:t>
      </w:r>
      <w:r w:rsidRPr="00BD17CA">
        <w:rPr>
          <w:rFonts w:ascii="Arial" w:eastAsia="Arial" w:hAnsi="Arial" w:cs="Arial"/>
          <w:sz w:val="22"/>
          <w:szCs w:val="22"/>
        </w:rPr>
        <w:t>e</w:t>
      </w:r>
      <w:r w:rsidRPr="0046695E">
        <w:rPr>
          <w:rFonts w:ascii="Arial" w:eastAsia="Arial" w:hAnsi="Arial" w:cs="Arial"/>
          <w:sz w:val="22"/>
          <w:szCs w:val="22"/>
        </w:rPr>
        <w:t>as</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or</w:t>
      </w:r>
      <w:r w:rsidRPr="0046695E">
        <w:rPr>
          <w:rFonts w:ascii="Arial" w:eastAsia="Arial" w:hAnsi="Arial" w:cs="Arial"/>
          <w:sz w:val="22"/>
          <w:szCs w:val="22"/>
        </w:rPr>
        <w:t xml:space="preserve"> r</w:t>
      </w:r>
      <w:r w:rsidRPr="00BD17CA">
        <w:rPr>
          <w:rFonts w:ascii="Arial" w:eastAsia="Arial" w:hAnsi="Arial" w:cs="Arial"/>
          <w:sz w:val="22"/>
          <w:szCs w:val="22"/>
        </w:rPr>
        <w:t>e</w:t>
      </w:r>
      <w:r w:rsidRPr="0046695E">
        <w:rPr>
          <w:rFonts w:ascii="Arial" w:eastAsia="Arial" w:hAnsi="Arial" w:cs="Arial"/>
          <w:sz w:val="22"/>
          <w:szCs w:val="22"/>
        </w:rPr>
        <w:t>d</w:t>
      </w:r>
      <w:r w:rsidRPr="00BD17CA">
        <w:rPr>
          <w:rFonts w:ascii="Arial" w:eastAsia="Arial" w:hAnsi="Arial" w:cs="Arial"/>
          <w:sz w:val="22"/>
          <w:szCs w:val="22"/>
        </w:rPr>
        <w:t>u</w:t>
      </w:r>
      <w:r w:rsidRPr="0046695E">
        <w:rPr>
          <w:rFonts w:ascii="Arial" w:eastAsia="Arial" w:hAnsi="Arial" w:cs="Arial"/>
          <w:sz w:val="22"/>
          <w:szCs w:val="22"/>
        </w:rPr>
        <w:t>c</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val</w:t>
      </w:r>
      <w:r w:rsidRPr="00BD17CA">
        <w:rPr>
          <w:rFonts w:ascii="Arial" w:eastAsia="Arial" w:hAnsi="Arial" w:cs="Arial"/>
          <w:sz w:val="22"/>
          <w:szCs w:val="22"/>
        </w:rPr>
        <w:t>ue</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e</w:t>
      </w:r>
      <w:r w:rsidRPr="0046695E">
        <w:rPr>
          <w:rFonts w:ascii="Arial" w:eastAsia="Arial" w:hAnsi="Arial" w:cs="Arial"/>
          <w:sz w:val="22"/>
          <w:szCs w:val="22"/>
        </w:rPr>
        <w:t xml:space="preserve"> inv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ts</w:t>
      </w:r>
      <w:r w:rsidRPr="0046695E">
        <w:rPr>
          <w:rFonts w:ascii="Arial" w:eastAsia="Arial" w:hAnsi="Arial" w:cs="Arial"/>
          <w:sz w:val="22"/>
          <w:szCs w:val="22"/>
        </w:rPr>
        <w:t xml:space="preserve"> c</w:t>
      </w:r>
      <w:r w:rsidRPr="00BD17CA">
        <w:rPr>
          <w:rFonts w:ascii="Arial" w:eastAsia="Arial" w:hAnsi="Arial" w:cs="Arial"/>
          <w:sz w:val="22"/>
          <w:szCs w:val="22"/>
        </w:rPr>
        <w:t>h</w:t>
      </w:r>
      <w:r w:rsidRPr="0046695E">
        <w:rPr>
          <w:rFonts w:ascii="Arial" w:eastAsia="Arial" w:hAnsi="Arial" w:cs="Arial"/>
          <w:sz w:val="22"/>
          <w:szCs w:val="22"/>
        </w:rPr>
        <w:t>an</w:t>
      </w:r>
      <w:r w:rsidRPr="00BD17CA">
        <w:rPr>
          <w:rFonts w:ascii="Arial" w:eastAsia="Arial" w:hAnsi="Arial" w:cs="Arial"/>
          <w:sz w:val="22"/>
          <w:szCs w:val="22"/>
        </w:rPr>
        <w:t>g</w:t>
      </w:r>
      <w:r w:rsidRPr="0046695E">
        <w:rPr>
          <w:rFonts w:ascii="Arial" w:eastAsia="Arial" w:hAnsi="Arial" w:cs="Arial"/>
          <w:sz w:val="22"/>
          <w:szCs w:val="22"/>
        </w:rPr>
        <w:t>e</w:t>
      </w:r>
      <w:r w:rsidRPr="00BD17CA">
        <w:rPr>
          <w:rFonts w:ascii="Arial" w:eastAsia="Arial" w:hAnsi="Arial" w:cs="Arial"/>
          <w:sz w:val="22"/>
          <w:szCs w:val="22"/>
        </w:rPr>
        <w:t>.</w:t>
      </w:r>
    </w:p>
    <w:p w14:paraId="2C51774B" w14:textId="059BF2E4" w:rsidR="009C7422" w:rsidRPr="00BD17CA" w:rsidRDefault="001706EB" w:rsidP="0046695E">
      <w:pPr>
        <w:spacing w:after="200" w:line="276" w:lineRule="auto"/>
        <w:ind w:left="567" w:right="74"/>
        <w:jc w:val="both"/>
        <w:rPr>
          <w:rFonts w:ascii="Arial" w:eastAsia="Arial" w:hAnsi="Arial" w:cs="Arial"/>
          <w:sz w:val="22"/>
          <w:szCs w:val="22"/>
        </w:rPr>
      </w:pPr>
      <w:r w:rsidRPr="00BD17CA">
        <w:rPr>
          <w:rFonts w:ascii="Arial" w:eastAsia="Arial" w:hAnsi="Arial" w:cs="Arial"/>
          <w:sz w:val="22"/>
          <w:szCs w:val="22"/>
        </w:rPr>
        <w:t>In</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ddi</w:t>
      </w:r>
      <w:r w:rsidRPr="00BD17CA">
        <w:rPr>
          <w:rFonts w:ascii="Arial" w:eastAsia="Arial" w:hAnsi="Arial" w:cs="Arial"/>
          <w:sz w:val="22"/>
          <w:szCs w:val="22"/>
        </w:rPr>
        <w:t>t</w:t>
      </w:r>
      <w:r w:rsidRPr="0046695E">
        <w:rPr>
          <w:rFonts w:ascii="Arial" w:eastAsia="Arial" w:hAnsi="Arial" w:cs="Arial"/>
          <w:sz w:val="22"/>
          <w:szCs w:val="22"/>
        </w:rPr>
        <w:t>i</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n</w:t>
      </w:r>
      <w:r w:rsidRPr="0046695E">
        <w:rPr>
          <w:rFonts w:ascii="Arial" w:eastAsia="Arial" w:hAnsi="Arial" w:cs="Arial"/>
          <w:sz w:val="22"/>
          <w:szCs w:val="22"/>
        </w:rPr>
        <w:t>eg</w:t>
      </w:r>
      <w:r w:rsidRPr="00BD17CA">
        <w:rPr>
          <w:rFonts w:ascii="Arial" w:eastAsia="Arial" w:hAnsi="Arial" w:cs="Arial"/>
          <w:sz w:val="22"/>
          <w:szCs w:val="22"/>
        </w:rPr>
        <w:t>ot</w:t>
      </w:r>
      <w:r w:rsidRPr="0046695E">
        <w:rPr>
          <w:rFonts w:ascii="Arial" w:eastAsia="Arial" w:hAnsi="Arial" w:cs="Arial"/>
          <w:sz w:val="22"/>
          <w:szCs w:val="22"/>
        </w:rPr>
        <w:t>i</w:t>
      </w:r>
      <w:r w:rsidRPr="00BD17CA">
        <w:rPr>
          <w:rFonts w:ascii="Arial" w:eastAsia="Arial" w:hAnsi="Arial" w:cs="Arial"/>
          <w:sz w:val="22"/>
          <w:szCs w:val="22"/>
        </w:rPr>
        <w:t>at</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w</w:t>
      </w:r>
      <w:r w:rsidRPr="0046695E">
        <w:rPr>
          <w:rFonts w:ascii="Arial" w:eastAsia="Arial" w:hAnsi="Arial" w:cs="Arial"/>
          <w:sz w:val="22"/>
          <w:szCs w:val="22"/>
        </w:rPr>
        <w:t>i</w:t>
      </w:r>
      <w:r w:rsidRPr="00BD17CA">
        <w:rPr>
          <w:rFonts w:ascii="Arial" w:eastAsia="Arial" w:hAnsi="Arial" w:cs="Arial"/>
          <w:sz w:val="22"/>
          <w:szCs w:val="22"/>
        </w:rPr>
        <w:t>th</w:t>
      </w:r>
      <w:r w:rsidRPr="0046695E">
        <w:rPr>
          <w:rFonts w:ascii="Arial" w:eastAsia="Arial" w:hAnsi="Arial" w:cs="Arial"/>
          <w:sz w:val="22"/>
          <w:szCs w:val="22"/>
        </w:rPr>
        <w:t xml:space="preserve"> </w:t>
      </w:r>
      <w:r w:rsidRPr="00BD17CA">
        <w:rPr>
          <w:rFonts w:ascii="Arial" w:eastAsia="Arial" w:hAnsi="Arial" w:cs="Arial"/>
          <w:sz w:val="22"/>
          <w:szCs w:val="22"/>
        </w:rPr>
        <w:t>Da</w:t>
      </w:r>
      <w:r w:rsidRPr="0046695E">
        <w:rPr>
          <w:rFonts w:ascii="Arial" w:eastAsia="Arial" w:hAnsi="Arial" w:cs="Arial"/>
          <w:sz w:val="22"/>
          <w:szCs w:val="22"/>
        </w:rPr>
        <w:t>r</w:t>
      </w:r>
      <w:r w:rsidRPr="00BD17CA">
        <w:rPr>
          <w:rFonts w:ascii="Arial" w:eastAsia="Arial" w:hAnsi="Arial" w:cs="Arial"/>
          <w:sz w:val="22"/>
          <w:szCs w:val="22"/>
        </w:rPr>
        <w:t>w</w:t>
      </w:r>
      <w:r w:rsidRPr="0046695E">
        <w:rPr>
          <w:rFonts w:ascii="Arial" w:eastAsia="Arial" w:hAnsi="Arial" w:cs="Arial"/>
          <w:sz w:val="22"/>
          <w:szCs w:val="22"/>
        </w:rPr>
        <w:t>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L</w:t>
      </w:r>
      <w:r w:rsidRPr="0046695E">
        <w:rPr>
          <w:rFonts w:ascii="Arial" w:eastAsia="Arial" w:hAnsi="Arial" w:cs="Arial"/>
          <w:sz w:val="22"/>
          <w:szCs w:val="22"/>
        </w:rPr>
        <w:t>eis</w:t>
      </w:r>
      <w:r w:rsidRPr="00BD17CA">
        <w:rPr>
          <w:rFonts w:ascii="Arial" w:eastAsia="Arial" w:hAnsi="Arial" w:cs="Arial"/>
          <w:sz w:val="22"/>
          <w:szCs w:val="22"/>
        </w:rPr>
        <w:t>ure</w:t>
      </w:r>
      <w:r w:rsidRPr="0046695E">
        <w:rPr>
          <w:rFonts w:ascii="Arial" w:eastAsia="Arial" w:hAnsi="Arial" w:cs="Arial"/>
          <w:sz w:val="22"/>
          <w:szCs w:val="22"/>
        </w:rPr>
        <w:t xml:space="preserve"> Pr</w:t>
      </w:r>
      <w:r w:rsidRPr="00BD17CA">
        <w:rPr>
          <w:rFonts w:ascii="Arial" w:eastAsia="Arial" w:hAnsi="Arial" w:cs="Arial"/>
          <w:sz w:val="22"/>
          <w:szCs w:val="22"/>
        </w:rPr>
        <w:t>o</w:t>
      </w:r>
      <w:r w:rsidRPr="0046695E">
        <w:rPr>
          <w:rFonts w:ascii="Arial" w:eastAsia="Arial" w:hAnsi="Arial" w:cs="Arial"/>
          <w:sz w:val="22"/>
          <w:szCs w:val="22"/>
        </w:rPr>
        <w:t>p</w:t>
      </w:r>
      <w:r w:rsidRPr="00BD17CA">
        <w:rPr>
          <w:rFonts w:ascii="Arial" w:eastAsia="Arial" w:hAnsi="Arial" w:cs="Arial"/>
          <w:sz w:val="22"/>
          <w:szCs w:val="22"/>
        </w:rPr>
        <w:t>er</w:t>
      </w:r>
      <w:r w:rsidRPr="0046695E">
        <w:rPr>
          <w:rFonts w:ascii="Arial" w:eastAsia="Arial" w:hAnsi="Arial" w:cs="Arial"/>
          <w:sz w:val="22"/>
          <w:szCs w:val="22"/>
        </w:rPr>
        <w:t>t</w:t>
      </w:r>
      <w:r w:rsidRPr="00BD17CA">
        <w:rPr>
          <w:rFonts w:ascii="Arial" w:eastAsia="Arial" w:hAnsi="Arial" w:cs="Arial"/>
          <w:sz w:val="22"/>
          <w:szCs w:val="22"/>
        </w:rPr>
        <w:t>y F</w:t>
      </w:r>
      <w:r w:rsidRPr="0046695E">
        <w:rPr>
          <w:rFonts w:ascii="Arial" w:eastAsia="Arial" w:hAnsi="Arial" w:cs="Arial"/>
          <w:sz w:val="22"/>
          <w:szCs w:val="22"/>
        </w:rPr>
        <w:t>u</w:t>
      </w:r>
      <w:r w:rsidRPr="00BD17CA">
        <w:rPr>
          <w:rFonts w:ascii="Arial" w:eastAsia="Arial" w:hAnsi="Arial" w:cs="Arial"/>
          <w:sz w:val="22"/>
          <w:szCs w:val="22"/>
        </w:rPr>
        <w:t>n</w:t>
      </w:r>
      <w:r w:rsidRPr="0046695E">
        <w:rPr>
          <w:rFonts w:ascii="Arial" w:eastAsia="Arial" w:hAnsi="Arial" w:cs="Arial"/>
          <w:sz w:val="22"/>
          <w:szCs w:val="22"/>
        </w:rPr>
        <w:t>d</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C</w:t>
      </w:r>
      <w:r w:rsidRPr="0046695E">
        <w:rPr>
          <w:rFonts w:ascii="Arial" w:eastAsia="Arial" w:hAnsi="Arial" w:cs="Arial"/>
          <w:sz w:val="22"/>
          <w:szCs w:val="22"/>
        </w:rPr>
        <w:t>a</w:t>
      </w:r>
      <w:r w:rsidRPr="00BD17CA">
        <w:rPr>
          <w:rFonts w:ascii="Arial" w:eastAsia="Arial" w:hAnsi="Arial" w:cs="Arial"/>
          <w:sz w:val="22"/>
          <w:szCs w:val="22"/>
        </w:rPr>
        <w:t>p</w:t>
      </w:r>
      <w:r w:rsidRPr="0046695E">
        <w:rPr>
          <w:rFonts w:ascii="Arial" w:eastAsia="Arial" w:hAnsi="Arial" w:cs="Arial"/>
          <w:sz w:val="22"/>
          <w:szCs w:val="22"/>
        </w:rPr>
        <w:t>it</w:t>
      </w:r>
      <w:r w:rsidRPr="00BD17CA">
        <w:rPr>
          <w:rFonts w:ascii="Arial" w:eastAsia="Arial" w:hAnsi="Arial" w:cs="Arial"/>
          <w:sz w:val="22"/>
          <w:szCs w:val="22"/>
        </w:rPr>
        <w:t>al</w:t>
      </w:r>
      <w:r w:rsidRPr="0046695E">
        <w:rPr>
          <w:rFonts w:ascii="Arial" w:eastAsia="Arial" w:hAnsi="Arial" w:cs="Arial"/>
          <w:sz w:val="22"/>
          <w:szCs w:val="22"/>
        </w:rPr>
        <w:t xml:space="preserve"> Dyn</w:t>
      </w:r>
      <w:r w:rsidRPr="00BD17CA">
        <w:rPr>
          <w:rFonts w:ascii="Arial" w:eastAsia="Arial" w:hAnsi="Arial" w:cs="Arial"/>
          <w:sz w:val="22"/>
          <w:szCs w:val="22"/>
        </w:rPr>
        <w:t>a</w:t>
      </w:r>
      <w:r w:rsidRPr="0046695E">
        <w:rPr>
          <w:rFonts w:ascii="Arial" w:eastAsia="Arial" w:hAnsi="Arial" w:cs="Arial"/>
          <w:sz w:val="22"/>
          <w:szCs w:val="22"/>
        </w:rPr>
        <w:t>mics</w:t>
      </w:r>
      <w:r w:rsidRPr="00BD17CA">
        <w:rPr>
          <w:rFonts w:ascii="Arial" w:eastAsia="Arial" w:hAnsi="Arial" w:cs="Arial"/>
          <w:sz w:val="22"/>
          <w:szCs w:val="22"/>
        </w:rPr>
        <w:t>,</w:t>
      </w:r>
      <w:r w:rsidRPr="0046695E">
        <w:rPr>
          <w:rFonts w:ascii="Arial" w:eastAsia="Arial" w:hAnsi="Arial" w:cs="Arial"/>
          <w:sz w:val="22"/>
          <w:szCs w:val="22"/>
        </w:rPr>
        <w:t xml:space="preserve"> Gl</w:t>
      </w:r>
      <w:r w:rsidRPr="00BD17CA">
        <w:rPr>
          <w:rFonts w:ascii="Arial" w:eastAsia="Arial" w:hAnsi="Arial" w:cs="Arial"/>
          <w:sz w:val="22"/>
          <w:szCs w:val="22"/>
        </w:rPr>
        <w:t>o</w:t>
      </w:r>
      <w:r w:rsidRPr="0046695E">
        <w:rPr>
          <w:rFonts w:ascii="Arial" w:eastAsia="Arial" w:hAnsi="Arial" w:cs="Arial"/>
          <w:sz w:val="22"/>
          <w:szCs w:val="22"/>
        </w:rPr>
        <w:t>b</w:t>
      </w:r>
      <w:r w:rsidRPr="00BD17CA">
        <w:rPr>
          <w:rFonts w:ascii="Arial" w:eastAsia="Arial" w:hAnsi="Arial" w:cs="Arial"/>
          <w:sz w:val="22"/>
          <w:szCs w:val="22"/>
        </w:rPr>
        <w:t>al</w:t>
      </w:r>
      <w:r w:rsidRPr="0046695E">
        <w:rPr>
          <w:rFonts w:ascii="Arial" w:eastAsia="Arial" w:hAnsi="Arial" w:cs="Arial"/>
          <w:sz w:val="22"/>
          <w:szCs w:val="22"/>
        </w:rPr>
        <w:t xml:space="preserve"> </w:t>
      </w:r>
      <w:r w:rsidRPr="00BD17CA">
        <w:rPr>
          <w:rFonts w:ascii="Arial" w:eastAsia="Arial" w:hAnsi="Arial" w:cs="Arial"/>
          <w:sz w:val="22"/>
          <w:szCs w:val="22"/>
        </w:rPr>
        <w:t>In</w:t>
      </w:r>
      <w:r w:rsidRPr="0046695E">
        <w:rPr>
          <w:rFonts w:ascii="Arial" w:eastAsia="Arial" w:hAnsi="Arial" w:cs="Arial"/>
          <w:sz w:val="22"/>
          <w:szCs w:val="22"/>
        </w:rPr>
        <w:t>fr</w:t>
      </w:r>
      <w:r w:rsidRPr="00BD17CA">
        <w:rPr>
          <w:rFonts w:ascii="Arial" w:eastAsia="Arial" w:hAnsi="Arial" w:cs="Arial"/>
          <w:sz w:val="22"/>
          <w:szCs w:val="22"/>
        </w:rPr>
        <w:t>a</w:t>
      </w:r>
      <w:r w:rsidRPr="0046695E">
        <w:rPr>
          <w:rFonts w:ascii="Arial" w:eastAsia="Arial" w:hAnsi="Arial" w:cs="Arial"/>
          <w:sz w:val="22"/>
          <w:szCs w:val="22"/>
        </w:rPr>
        <w:t>s</w:t>
      </w:r>
      <w:r w:rsidRPr="00BD17CA">
        <w:rPr>
          <w:rFonts w:ascii="Arial" w:eastAsia="Arial" w:hAnsi="Arial" w:cs="Arial"/>
          <w:sz w:val="22"/>
          <w:szCs w:val="22"/>
        </w:rPr>
        <w:t>tru</w:t>
      </w:r>
      <w:r w:rsidRPr="0046695E">
        <w:rPr>
          <w:rFonts w:ascii="Arial" w:eastAsia="Arial" w:hAnsi="Arial" w:cs="Arial"/>
          <w:sz w:val="22"/>
          <w:szCs w:val="22"/>
        </w:rPr>
        <w:t>c</w:t>
      </w:r>
      <w:r w:rsidRPr="00BD17CA">
        <w:rPr>
          <w:rFonts w:ascii="Arial" w:eastAsia="Arial" w:hAnsi="Arial" w:cs="Arial"/>
          <w:sz w:val="22"/>
          <w:szCs w:val="22"/>
        </w:rPr>
        <w:t>ture</w:t>
      </w:r>
      <w:r w:rsidRPr="0046695E">
        <w:rPr>
          <w:rFonts w:ascii="Arial" w:eastAsia="Arial" w:hAnsi="Arial" w:cs="Arial"/>
          <w:sz w:val="22"/>
          <w:szCs w:val="22"/>
        </w:rPr>
        <w:t xml:space="preserve"> Par</w:t>
      </w:r>
      <w:r w:rsidRPr="00BD17CA">
        <w:rPr>
          <w:rFonts w:ascii="Arial" w:eastAsia="Arial" w:hAnsi="Arial" w:cs="Arial"/>
          <w:sz w:val="22"/>
          <w:szCs w:val="22"/>
        </w:rPr>
        <w:t>tn</w:t>
      </w:r>
      <w:r w:rsidRPr="0046695E">
        <w:rPr>
          <w:rFonts w:ascii="Arial" w:eastAsia="Arial" w:hAnsi="Arial" w:cs="Arial"/>
          <w:sz w:val="22"/>
          <w:szCs w:val="22"/>
        </w:rPr>
        <w:t>ers</w:t>
      </w:r>
      <w:r w:rsidRPr="00BD17CA">
        <w:rPr>
          <w:rFonts w:ascii="Arial" w:eastAsia="Arial" w:hAnsi="Arial" w:cs="Arial"/>
          <w:sz w:val="22"/>
          <w:szCs w:val="22"/>
        </w:rPr>
        <w:t>,</w:t>
      </w:r>
      <w:r w:rsidRPr="0046695E">
        <w:rPr>
          <w:rFonts w:ascii="Arial" w:eastAsia="Arial" w:hAnsi="Arial" w:cs="Arial"/>
          <w:sz w:val="22"/>
          <w:szCs w:val="22"/>
        </w:rPr>
        <w:t xml:space="preserve"> IV</w:t>
      </w:r>
      <w:r w:rsidRPr="00BD17CA">
        <w:rPr>
          <w:rFonts w:ascii="Arial" w:eastAsia="Arial" w:hAnsi="Arial" w:cs="Arial"/>
          <w:sz w:val="22"/>
          <w:szCs w:val="22"/>
        </w:rPr>
        <w:t>UK</w:t>
      </w:r>
      <w:r w:rsidRPr="0046695E">
        <w:rPr>
          <w:rFonts w:ascii="Arial" w:eastAsia="Arial" w:hAnsi="Arial" w:cs="Arial"/>
          <w:sz w:val="22"/>
          <w:szCs w:val="22"/>
        </w:rPr>
        <w:t xml:space="preserve"> a</w:t>
      </w:r>
      <w:r w:rsidRPr="00BD17CA">
        <w:rPr>
          <w:rFonts w:ascii="Arial" w:eastAsia="Arial" w:hAnsi="Arial" w:cs="Arial"/>
          <w:sz w:val="22"/>
          <w:szCs w:val="22"/>
        </w:rPr>
        <w:t>nd</w:t>
      </w:r>
      <w:r w:rsidRPr="0046695E">
        <w:rPr>
          <w:rFonts w:ascii="Arial" w:eastAsia="Arial" w:hAnsi="Arial" w:cs="Arial"/>
          <w:sz w:val="22"/>
          <w:szCs w:val="22"/>
        </w:rPr>
        <w:t xml:space="preserve"> </w:t>
      </w:r>
      <w:r w:rsidRPr="00BD17CA">
        <w:rPr>
          <w:rFonts w:ascii="Arial" w:eastAsia="Arial" w:hAnsi="Arial" w:cs="Arial"/>
          <w:sz w:val="22"/>
          <w:szCs w:val="22"/>
        </w:rPr>
        <w:t>I</w:t>
      </w:r>
      <w:r w:rsidRPr="0046695E">
        <w:rPr>
          <w:rFonts w:ascii="Arial" w:eastAsia="Arial" w:hAnsi="Arial" w:cs="Arial"/>
          <w:sz w:val="22"/>
          <w:szCs w:val="22"/>
        </w:rPr>
        <w:t>nv</w:t>
      </w:r>
      <w:r w:rsidRPr="00BD17CA">
        <w:rPr>
          <w:rFonts w:ascii="Arial" w:eastAsia="Arial" w:hAnsi="Arial" w:cs="Arial"/>
          <w:sz w:val="22"/>
          <w:szCs w:val="22"/>
        </w:rPr>
        <w:t>e</w:t>
      </w:r>
      <w:r w:rsidRPr="0046695E">
        <w:rPr>
          <w:rFonts w:ascii="Arial" w:eastAsia="Arial" w:hAnsi="Arial" w:cs="Arial"/>
          <w:sz w:val="22"/>
          <w:szCs w:val="22"/>
        </w:rPr>
        <w:t>sc</w:t>
      </w:r>
      <w:r w:rsidRPr="00BD17CA">
        <w:rPr>
          <w:rFonts w:ascii="Arial" w:eastAsia="Arial" w:hAnsi="Arial" w:cs="Arial"/>
          <w:sz w:val="22"/>
          <w:szCs w:val="22"/>
        </w:rPr>
        <w:t>o</w:t>
      </w:r>
      <w:r w:rsidRPr="0046695E">
        <w:rPr>
          <w:rFonts w:ascii="Arial" w:eastAsia="Arial" w:hAnsi="Arial" w:cs="Arial"/>
          <w:sz w:val="22"/>
          <w:szCs w:val="22"/>
        </w:rPr>
        <w:t xml:space="preserve"> a</w:t>
      </w:r>
      <w:r w:rsidRPr="00BD17CA">
        <w:rPr>
          <w:rFonts w:ascii="Arial" w:eastAsia="Arial" w:hAnsi="Arial" w:cs="Arial"/>
          <w:sz w:val="22"/>
          <w:szCs w:val="22"/>
        </w:rPr>
        <w:t>n</w:t>
      </w:r>
      <w:r w:rsidRPr="0046695E">
        <w:rPr>
          <w:rFonts w:ascii="Arial" w:eastAsia="Arial" w:hAnsi="Arial" w:cs="Arial"/>
          <w:sz w:val="22"/>
          <w:szCs w:val="22"/>
        </w:rPr>
        <w:t xml:space="preserve"> el</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t</w:t>
      </w:r>
      <w:r w:rsidRPr="00BD17CA">
        <w:rPr>
          <w:rFonts w:ascii="Arial" w:eastAsia="Arial" w:hAnsi="Arial" w:cs="Arial"/>
          <w:sz w:val="22"/>
          <w:szCs w:val="22"/>
        </w:rPr>
        <w:t>h</w:t>
      </w:r>
      <w:r w:rsidRPr="0046695E">
        <w:rPr>
          <w:rFonts w:ascii="Arial" w:eastAsia="Arial" w:hAnsi="Arial" w:cs="Arial"/>
          <w:sz w:val="22"/>
          <w:szCs w:val="22"/>
        </w:rPr>
        <w:t>ei</w:t>
      </w:r>
      <w:r w:rsidRPr="00BD17CA">
        <w:rPr>
          <w:rFonts w:ascii="Arial" w:eastAsia="Arial" w:hAnsi="Arial" w:cs="Arial"/>
          <w:sz w:val="22"/>
          <w:szCs w:val="22"/>
        </w:rPr>
        <w:t>r</w:t>
      </w:r>
      <w:r w:rsidRPr="0046695E">
        <w:rPr>
          <w:rFonts w:ascii="Arial" w:eastAsia="Arial" w:hAnsi="Arial" w:cs="Arial"/>
          <w:sz w:val="22"/>
          <w:szCs w:val="22"/>
        </w:rPr>
        <w:t xml:space="preserve"> f</w:t>
      </w:r>
      <w:r w:rsidRPr="00BD17CA">
        <w:rPr>
          <w:rFonts w:ascii="Arial" w:eastAsia="Arial" w:hAnsi="Arial" w:cs="Arial"/>
          <w:sz w:val="22"/>
          <w:szCs w:val="22"/>
        </w:rPr>
        <w:t>ee be</w:t>
      </w:r>
      <w:r w:rsidRPr="0046695E">
        <w:rPr>
          <w:rFonts w:ascii="Arial" w:eastAsia="Arial" w:hAnsi="Arial" w:cs="Arial"/>
          <w:sz w:val="22"/>
          <w:szCs w:val="22"/>
        </w:rPr>
        <w:t xml:space="preserve"> p</w:t>
      </w:r>
      <w:r w:rsidRPr="00BD17CA">
        <w:rPr>
          <w:rFonts w:ascii="Arial" w:eastAsia="Arial" w:hAnsi="Arial" w:cs="Arial"/>
          <w:sz w:val="22"/>
          <w:szCs w:val="22"/>
        </w:rPr>
        <w:t>er</w:t>
      </w:r>
      <w:r w:rsidRPr="0046695E">
        <w:rPr>
          <w:rFonts w:ascii="Arial" w:eastAsia="Arial" w:hAnsi="Arial" w:cs="Arial"/>
          <w:sz w:val="22"/>
          <w:szCs w:val="22"/>
        </w:rPr>
        <w:t>f</w:t>
      </w:r>
      <w:r w:rsidRPr="00BD17CA">
        <w:rPr>
          <w:rFonts w:ascii="Arial" w:eastAsia="Arial" w:hAnsi="Arial" w:cs="Arial"/>
          <w:sz w:val="22"/>
          <w:szCs w:val="22"/>
        </w:rPr>
        <w:t>o</w:t>
      </w:r>
      <w:r w:rsidRPr="0046695E">
        <w:rPr>
          <w:rFonts w:ascii="Arial" w:eastAsia="Arial" w:hAnsi="Arial" w:cs="Arial"/>
          <w:sz w:val="22"/>
          <w:szCs w:val="22"/>
        </w:rPr>
        <w:t>rm</w:t>
      </w:r>
      <w:r w:rsidRPr="00BD17CA">
        <w:rPr>
          <w:rFonts w:ascii="Arial" w:eastAsia="Arial" w:hAnsi="Arial" w:cs="Arial"/>
          <w:sz w:val="22"/>
          <w:szCs w:val="22"/>
        </w:rPr>
        <w:t>a</w:t>
      </w:r>
      <w:r w:rsidRPr="0046695E">
        <w:rPr>
          <w:rFonts w:ascii="Arial" w:eastAsia="Arial" w:hAnsi="Arial" w:cs="Arial"/>
          <w:sz w:val="22"/>
          <w:szCs w:val="22"/>
        </w:rPr>
        <w:t>nc</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re</w:t>
      </w:r>
      <w:r w:rsidRPr="0046695E">
        <w:rPr>
          <w:rFonts w:ascii="Arial" w:eastAsia="Arial" w:hAnsi="Arial" w:cs="Arial"/>
          <w:sz w:val="22"/>
          <w:szCs w:val="22"/>
        </w:rPr>
        <w:t>l</w:t>
      </w:r>
      <w:r w:rsidRPr="00BD17CA">
        <w:rPr>
          <w:rFonts w:ascii="Arial" w:eastAsia="Arial" w:hAnsi="Arial" w:cs="Arial"/>
          <w:sz w:val="22"/>
          <w:szCs w:val="22"/>
        </w:rPr>
        <w:t>at</w:t>
      </w:r>
      <w:r w:rsidRPr="0046695E">
        <w:rPr>
          <w:rFonts w:ascii="Arial" w:eastAsia="Arial" w:hAnsi="Arial" w:cs="Arial"/>
          <w:sz w:val="22"/>
          <w:szCs w:val="22"/>
        </w:rPr>
        <w:t>e</w:t>
      </w:r>
      <w:r w:rsidRPr="00BD17CA">
        <w:rPr>
          <w:rFonts w:ascii="Arial" w:eastAsia="Arial" w:hAnsi="Arial" w:cs="Arial"/>
          <w:sz w:val="22"/>
          <w:szCs w:val="22"/>
        </w:rPr>
        <w:t>d.</w:t>
      </w:r>
    </w:p>
    <w:p w14:paraId="3B829BEA" w14:textId="77777777" w:rsidR="009C7422" w:rsidRPr="00BD17CA" w:rsidRDefault="001706EB" w:rsidP="0046695E">
      <w:pPr>
        <w:spacing w:after="200" w:line="276" w:lineRule="auto"/>
        <w:ind w:left="567" w:right="74"/>
        <w:jc w:val="both"/>
        <w:rPr>
          <w:rFonts w:ascii="Arial" w:eastAsia="Arial" w:hAnsi="Arial" w:cs="Arial"/>
          <w:sz w:val="22"/>
          <w:szCs w:val="22"/>
        </w:rPr>
      </w:pPr>
      <w:r w:rsidRPr="0046695E">
        <w:rPr>
          <w:rFonts w:ascii="Arial" w:eastAsia="Arial" w:hAnsi="Arial" w:cs="Arial"/>
          <w:sz w:val="22"/>
          <w:szCs w:val="22"/>
        </w:rPr>
        <w:t>Wh</w:t>
      </w:r>
      <w:r w:rsidRPr="00BD17CA">
        <w:rPr>
          <w:rFonts w:ascii="Arial" w:eastAsia="Arial" w:hAnsi="Arial" w:cs="Arial"/>
          <w:sz w:val="22"/>
          <w:szCs w:val="22"/>
        </w:rPr>
        <w:t>ere</w:t>
      </w:r>
      <w:r w:rsidRPr="0046695E">
        <w:rPr>
          <w:rFonts w:ascii="Arial" w:eastAsia="Arial" w:hAnsi="Arial" w:cs="Arial"/>
          <w:sz w:val="22"/>
          <w:szCs w:val="22"/>
        </w:rPr>
        <w:t xml:space="preserve"> </w:t>
      </w:r>
      <w:r w:rsidRPr="00BD17CA">
        <w:rPr>
          <w:rFonts w:ascii="Arial" w:eastAsia="Arial" w:hAnsi="Arial" w:cs="Arial"/>
          <w:sz w:val="22"/>
          <w:szCs w:val="22"/>
        </w:rPr>
        <w:t>an</w:t>
      </w:r>
      <w:r w:rsidRPr="0046695E">
        <w:rPr>
          <w:rFonts w:ascii="Arial" w:eastAsia="Arial" w:hAnsi="Arial" w:cs="Arial"/>
          <w:sz w:val="22"/>
          <w:szCs w:val="22"/>
        </w:rPr>
        <w:t xml:space="preserve"> inv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m</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a</w:t>
      </w:r>
      <w:r w:rsidRPr="0046695E">
        <w:rPr>
          <w:rFonts w:ascii="Arial" w:eastAsia="Arial" w:hAnsi="Arial" w:cs="Arial"/>
          <w:sz w:val="22"/>
          <w:szCs w:val="22"/>
        </w:rPr>
        <w:t>g</w:t>
      </w:r>
      <w:r w:rsidRPr="00BD17CA">
        <w:rPr>
          <w:rFonts w:ascii="Arial" w:eastAsia="Arial" w:hAnsi="Arial" w:cs="Arial"/>
          <w:sz w:val="22"/>
          <w:szCs w:val="22"/>
        </w:rPr>
        <w:t>er</w:t>
      </w:r>
      <w:r w:rsidRPr="0046695E">
        <w:rPr>
          <w:rFonts w:ascii="Arial" w:eastAsia="Arial" w:hAnsi="Arial" w:cs="Arial"/>
          <w:sz w:val="22"/>
          <w:szCs w:val="22"/>
        </w:rPr>
        <w:t>'</w:t>
      </w:r>
      <w:r w:rsidRPr="00BD17CA">
        <w:rPr>
          <w:rFonts w:ascii="Arial" w:eastAsia="Arial" w:hAnsi="Arial" w:cs="Arial"/>
          <w:sz w:val="22"/>
          <w:szCs w:val="22"/>
        </w:rPr>
        <w:t>s</w:t>
      </w:r>
      <w:r w:rsidRPr="0046695E">
        <w:rPr>
          <w:rFonts w:ascii="Arial" w:eastAsia="Arial" w:hAnsi="Arial" w:cs="Arial"/>
          <w:sz w:val="22"/>
          <w:szCs w:val="22"/>
        </w:rPr>
        <w:t xml:space="preserve"> f</w:t>
      </w:r>
      <w:r w:rsidRPr="00BD17CA">
        <w:rPr>
          <w:rFonts w:ascii="Arial" w:eastAsia="Arial" w:hAnsi="Arial" w:cs="Arial"/>
          <w:sz w:val="22"/>
          <w:szCs w:val="22"/>
        </w:rPr>
        <w:t>ee</w:t>
      </w:r>
      <w:r w:rsidRPr="0046695E">
        <w:rPr>
          <w:rFonts w:ascii="Arial" w:eastAsia="Arial" w:hAnsi="Arial" w:cs="Arial"/>
          <w:sz w:val="22"/>
          <w:szCs w:val="22"/>
        </w:rPr>
        <w:t xml:space="preserve"> n</w:t>
      </w:r>
      <w:r w:rsidRPr="00BD17CA">
        <w:rPr>
          <w:rFonts w:ascii="Arial" w:eastAsia="Arial" w:hAnsi="Arial" w:cs="Arial"/>
          <w:sz w:val="22"/>
          <w:szCs w:val="22"/>
        </w:rPr>
        <w:t>ote</w:t>
      </w:r>
      <w:r w:rsidRPr="0046695E">
        <w:rPr>
          <w:rFonts w:ascii="Arial" w:eastAsia="Arial" w:hAnsi="Arial" w:cs="Arial"/>
          <w:sz w:val="22"/>
          <w:szCs w:val="22"/>
        </w:rPr>
        <w:t xml:space="preserve"> h</w:t>
      </w:r>
      <w:r w:rsidRPr="00BD17CA">
        <w:rPr>
          <w:rFonts w:ascii="Arial" w:eastAsia="Arial" w:hAnsi="Arial" w:cs="Arial"/>
          <w:sz w:val="22"/>
          <w:szCs w:val="22"/>
        </w:rPr>
        <w:t>as</w:t>
      </w:r>
      <w:r w:rsidRPr="0046695E">
        <w:rPr>
          <w:rFonts w:ascii="Arial" w:eastAsia="Arial" w:hAnsi="Arial" w:cs="Arial"/>
          <w:sz w:val="22"/>
          <w:szCs w:val="22"/>
        </w:rPr>
        <w:t xml:space="preserve"> n</w:t>
      </w:r>
      <w:r w:rsidRPr="00BD17CA">
        <w:rPr>
          <w:rFonts w:ascii="Arial" w:eastAsia="Arial" w:hAnsi="Arial" w:cs="Arial"/>
          <w:sz w:val="22"/>
          <w:szCs w:val="22"/>
        </w:rPr>
        <w:t>ot</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ee</w:t>
      </w:r>
      <w:r w:rsidRPr="00BD17CA">
        <w:rPr>
          <w:rFonts w:ascii="Arial" w:eastAsia="Arial" w:hAnsi="Arial" w:cs="Arial"/>
          <w:sz w:val="22"/>
          <w:szCs w:val="22"/>
        </w:rPr>
        <w:t>n</w:t>
      </w:r>
      <w:r w:rsidRPr="0046695E">
        <w:rPr>
          <w:rFonts w:ascii="Arial" w:eastAsia="Arial" w:hAnsi="Arial" w:cs="Arial"/>
          <w:sz w:val="22"/>
          <w:szCs w:val="22"/>
        </w:rPr>
        <w:t xml:space="preserve"> 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e</w:t>
      </w:r>
      <w:r w:rsidRPr="0046695E">
        <w:rPr>
          <w:rFonts w:ascii="Arial" w:eastAsia="Arial" w:hAnsi="Arial" w:cs="Arial"/>
          <w:sz w:val="22"/>
          <w:szCs w:val="22"/>
        </w:rPr>
        <w:t>iv</w:t>
      </w:r>
      <w:r w:rsidRPr="00BD17CA">
        <w:rPr>
          <w:rFonts w:ascii="Arial" w:eastAsia="Arial" w:hAnsi="Arial" w:cs="Arial"/>
          <w:sz w:val="22"/>
          <w:szCs w:val="22"/>
        </w:rPr>
        <w:t>ed</w:t>
      </w:r>
      <w:r w:rsidRPr="0046695E">
        <w:rPr>
          <w:rFonts w:ascii="Arial" w:eastAsia="Arial" w:hAnsi="Arial" w:cs="Arial"/>
          <w:sz w:val="22"/>
          <w:szCs w:val="22"/>
        </w:rPr>
        <w:t xml:space="preserve"> b</w:t>
      </w:r>
      <w:r w:rsidRPr="00BD17CA">
        <w:rPr>
          <w:rFonts w:ascii="Arial" w:eastAsia="Arial" w:hAnsi="Arial" w:cs="Arial"/>
          <w:sz w:val="22"/>
          <w:szCs w:val="22"/>
        </w:rPr>
        <w:t>y</w:t>
      </w:r>
      <w:r w:rsidRPr="0046695E">
        <w:rPr>
          <w:rFonts w:ascii="Arial" w:eastAsia="Arial" w:hAnsi="Arial" w:cs="Arial"/>
          <w:sz w:val="22"/>
          <w:szCs w:val="22"/>
        </w:rPr>
        <w:t xml:space="preserve"> ye</w:t>
      </w:r>
      <w:r w:rsidRPr="00BD17CA">
        <w:rPr>
          <w:rFonts w:ascii="Arial" w:eastAsia="Arial" w:hAnsi="Arial" w:cs="Arial"/>
          <w:sz w:val="22"/>
          <w:szCs w:val="22"/>
        </w:rPr>
        <w:t>a</w:t>
      </w:r>
      <w:r w:rsidRPr="0046695E">
        <w:rPr>
          <w:rFonts w:ascii="Arial" w:eastAsia="Arial" w:hAnsi="Arial" w:cs="Arial"/>
          <w:sz w:val="22"/>
          <w:szCs w:val="22"/>
        </w:rPr>
        <w:t>r-</w:t>
      </w:r>
      <w:r w:rsidRPr="00BD17CA">
        <w:rPr>
          <w:rFonts w:ascii="Arial" w:eastAsia="Arial" w:hAnsi="Arial" w:cs="Arial"/>
          <w:sz w:val="22"/>
          <w:szCs w:val="22"/>
        </w:rPr>
        <w:t>end,</w:t>
      </w:r>
      <w:r w:rsidRPr="0046695E">
        <w:rPr>
          <w:rFonts w:ascii="Arial" w:eastAsia="Arial" w:hAnsi="Arial" w:cs="Arial"/>
          <w:sz w:val="22"/>
          <w:szCs w:val="22"/>
        </w:rPr>
        <w:t xml:space="preserve"> a</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im</w:t>
      </w:r>
      <w:r w:rsidRPr="00BD17CA">
        <w:rPr>
          <w:rFonts w:ascii="Arial" w:eastAsia="Arial" w:hAnsi="Arial" w:cs="Arial"/>
          <w:sz w:val="22"/>
          <w:szCs w:val="22"/>
        </w:rPr>
        <w:t>ate</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ase</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 xml:space="preserve">the </w:t>
      </w:r>
      <w:r w:rsidRPr="0046695E">
        <w:rPr>
          <w:rFonts w:ascii="Arial" w:eastAsia="Arial" w:hAnsi="Arial" w:cs="Arial"/>
          <w:sz w:val="22"/>
          <w:szCs w:val="22"/>
        </w:rPr>
        <w:t>m</w:t>
      </w:r>
      <w:r w:rsidRPr="00BD17CA">
        <w:rPr>
          <w:rFonts w:ascii="Arial" w:eastAsia="Arial" w:hAnsi="Arial" w:cs="Arial"/>
          <w:sz w:val="22"/>
          <w:szCs w:val="22"/>
        </w:rPr>
        <w:t>a</w:t>
      </w:r>
      <w:r w:rsidRPr="0046695E">
        <w:rPr>
          <w:rFonts w:ascii="Arial" w:eastAsia="Arial" w:hAnsi="Arial" w:cs="Arial"/>
          <w:sz w:val="22"/>
          <w:szCs w:val="22"/>
        </w:rPr>
        <w:t>rk</w:t>
      </w:r>
      <w:r w:rsidRPr="00BD17CA">
        <w:rPr>
          <w:rFonts w:ascii="Arial" w:eastAsia="Arial" w:hAnsi="Arial" w:cs="Arial"/>
          <w:sz w:val="22"/>
          <w:szCs w:val="22"/>
        </w:rPr>
        <w:t>et</w:t>
      </w:r>
      <w:r w:rsidRPr="0046695E">
        <w:rPr>
          <w:rFonts w:ascii="Arial" w:eastAsia="Arial" w:hAnsi="Arial" w:cs="Arial"/>
          <w:sz w:val="22"/>
          <w:szCs w:val="22"/>
        </w:rPr>
        <w:t xml:space="preserve"> v</w:t>
      </w:r>
      <w:r w:rsidRPr="00BD17CA">
        <w:rPr>
          <w:rFonts w:ascii="Arial" w:eastAsia="Arial" w:hAnsi="Arial" w:cs="Arial"/>
          <w:sz w:val="22"/>
          <w:szCs w:val="22"/>
        </w:rPr>
        <w:t>a</w:t>
      </w:r>
      <w:r w:rsidRPr="0046695E">
        <w:rPr>
          <w:rFonts w:ascii="Arial" w:eastAsia="Arial" w:hAnsi="Arial" w:cs="Arial"/>
          <w:sz w:val="22"/>
          <w:szCs w:val="22"/>
        </w:rPr>
        <w:t>l</w:t>
      </w:r>
      <w:r w:rsidRPr="00BD17CA">
        <w:rPr>
          <w:rFonts w:ascii="Arial" w:eastAsia="Arial" w:hAnsi="Arial" w:cs="Arial"/>
          <w:sz w:val="22"/>
          <w:szCs w:val="22"/>
        </w:rPr>
        <w:t>ue</w:t>
      </w:r>
      <w:r w:rsidRPr="0046695E">
        <w:rPr>
          <w:rFonts w:ascii="Arial" w:eastAsia="Arial" w:hAnsi="Arial" w:cs="Arial"/>
          <w:sz w:val="22"/>
          <w:szCs w:val="22"/>
        </w:rPr>
        <w:t xml:space="preserve"> </w:t>
      </w:r>
      <w:r w:rsidRPr="00BD17CA">
        <w:rPr>
          <w:rFonts w:ascii="Arial" w:eastAsia="Arial" w:hAnsi="Arial" w:cs="Arial"/>
          <w:sz w:val="22"/>
          <w:szCs w:val="22"/>
        </w:rPr>
        <w:t>of 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i</w:t>
      </w:r>
      <w:r w:rsidRPr="00BD17CA">
        <w:rPr>
          <w:rFonts w:ascii="Arial" w:eastAsia="Arial" w:hAnsi="Arial" w:cs="Arial"/>
          <w:sz w:val="22"/>
          <w:szCs w:val="22"/>
        </w:rPr>
        <w:t>r</w:t>
      </w:r>
      <w:r w:rsidRPr="0046695E">
        <w:rPr>
          <w:rFonts w:ascii="Arial" w:eastAsia="Arial" w:hAnsi="Arial" w:cs="Arial"/>
          <w:sz w:val="22"/>
          <w:szCs w:val="22"/>
        </w:rPr>
        <w:t xml:space="preserve"> m</w:t>
      </w:r>
      <w:r w:rsidRPr="00BD17CA">
        <w:rPr>
          <w:rFonts w:ascii="Arial" w:eastAsia="Arial" w:hAnsi="Arial" w:cs="Arial"/>
          <w:sz w:val="22"/>
          <w:szCs w:val="22"/>
        </w:rPr>
        <w:t>a</w:t>
      </w:r>
      <w:r w:rsidRPr="0046695E">
        <w:rPr>
          <w:rFonts w:ascii="Arial" w:eastAsia="Arial" w:hAnsi="Arial" w:cs="Arial"/>
          <w:sz w:val="22"/>
          <w:szCs w:val="22"/>
        </w:rPr>
        <w:t>nd</w:t>
      </w:r>
      <w:r w:rsidRPr="00BD17CA">
        <w:rPr>
          <w:rFonts w:ascii="Arial" w:eastAsia="Arial" w:hAnsi="Arial" w:cs="Arial"/>
          <w:sz w:val="22"/>
          <w:szCs w:val="22"/>
        </w:rPr>
        <w:t>ate</w:t>
      </w:r>
      <w:r w:rsidRPr="0046695E">
        <w:rPr>
          <w:rFonts w:ascii="Arial" w:eastAsia="Arial" w:hAnsi="Arial" w:cs="Arial"/>
          <w:sz w:val="22"/>
          <w:szCs w:val="22"/>
        </w:rPr>
        <w:t xml:space="preserve"> a</w:t>
      </w:r>
      <w:r w:rsidRPr="00BD17CA">
        <w:rPr>
          <w:rFonts w:ascii="Arial" w:eastAsia="Arial" w:hAnsi="Arial" w:cs="Arial"/>
          <w:sz w:val="22"/>
          <w:szCs w:val="22"/>
        </w:rPr>
        <w:t>t</w:t>
      </w:r>
      <w:r w:rsidRPr="0046695E">
        <w:rPr>
          <w:rFonts w:ascii="Arial" w:eastAsia="Arial" w:hAnsi="Arial" w:cs="Arial"/>
          <w:sz w:val="22"/>
          <w:szCs w:val="22"/>
        </w:rPr>
        <w:t xml:space="preserve"> 3</w:t>
      </w:r>
      <w:r w:rsidRPr="00BD17CA">
        <w:rPr>
          <w:rFonts w:ascii="Arial" w:eastAsia="Arial" w:hAnsi="Arial" w:cs="Arial"/>
          <w:sz w:val="22"/>
          <w:szCs w:val="22"/>
        </w:rPr>
        <w:t>1 M</w:t>
      </w:r>
      <w:r w:rsidRPr="0046695E">
        <w:rPr>
          <w:rFonts w:ascii="Arial" w:eastAsia="Arial" w:hAnsi="Arial" w:cs="Arial"/>
          <w:sz w:val="22"/>
          <w:szCs w:val="22"/>
        </w:rPr>
        <w:t>arc</w:t>
      </w:r>
      <w:r w:rsidRPr="00BD17CA">
        <w:rPr>
          <w:rFonts w:ascii="Arial" w:eastAsia="Arial" w:hAnsi="Arial" w:cs="Arial"/>
          <w:sz w:val="22"/>
          <w:szCs w:val="22"/>
        </w:rPr>
        <w:t>h</w:t>
      </w:r>
      <w:r w:rsidRPr="0046695E">
        <w:rPr>
          <w:rFonts w:ascii="Arial" w:eastAsia="Arial" w:hAnsi="Arial" w:cs="Arial"/>
          <w:sz w:val="22"/>
          <w:szCs w:val="22"/>
        </w:rPr>
        <w:t xml:space="preserve"> i</w:t>
      </w:r>
      <w:r w:rsidRPr="00BD17CA">
        <w:rPr>
          <w:rFonts w:ascii="Arial" w:eastAsia="Arial" w:hAnsi="Arial" w:cs="Arial"/>
          <w:sz w:val="22"/>
          <w:szCs w:val="22"/>
        </w:rPr>
        <w:t>s used</w:t>
      </w:r>
      <w:r w:rsidRPr="0046695E">
        <w:rPr>
          <w:rFonts w:ascii="Arial" w:eastAsia="Arial" w:hAnsi="Arial" w:cs="Arial"/>
          <w:sz w:val="22"/>
          <w:szCs w:val="22"/>
        </w:rPr>
        <w:t xml:space="preserve"> f</w:t>
      </w:r>
      <w:r w:rsidRPr="00BD17CA">
        <w:rPr>
          <w:rFonts w:ascii="Arial" w:eastAsia="Arial" w:hAnsi="Arial" w:cs="Arial"/>
          <w:sz w:val="22"/>
          <w:szCs w:val="22"/>
        </w:rPr>
        <w:t>or</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cl</w:t>
      </w:r>
      <w:r w:rsidRPr="00BD17CA">
        <w:rPr>
          <w:rFonts w:ascii="Arial" w:eastAsia="Arial" w:hAnsi="Arial" w:cs="Arial"/>
          <w:sz w:val="22"/>
          <w:szCs w:val="22"/>
        </w:rPr>
        <w:t>u</w:t>
      </w:r>
      <w:r w:rsidRPr="0046695E">
        <w:rPr>
          <w:rFonts w:ascii="Arial" w:eastAsia="Arial" w:hAnsi="Arial" w:cs="Arial"/>
          <w:sz w:val="22"/>
          <w:szCs w:val="22"/>
        </w:rPr>
        <w:t>si</w:t>
      </w:r>
      <w:r w:rsidRPr="00BD17CA">
        <w:rPr>
          <w:rFonts w:ascii="Arial" w:eastAsia="Arial" w:hAnsi="Arial" w:cs="Arial"/>
          <w:sz w:val="22"/>
          <w:szCs w:val="22"/>
        </w:rPr>
        <w:t>on</w:t>
      </w:r>
      <w:r w:rsidRPr="0046695E">
        <w:rPr>
          <w:rFonts w:ascii="Arial" w:eastAsia="Arial" w:hAnsi="Arial" w:cs="Arial"/>
          <w:sz w:val="22"/>
          <w:szCs w:val="22"/>
        </w:rPr>
        <w:t xml:space="preserve"> i</w:t>
      </w:r>
      <w:r w:rsidRPr="00BD17CA">
        <w:rPr>
          <w:rFonts w:ascii="Arial" w:eastAsia="Arial" w:hAnsi="Arial" w:cs="Arial"/>
          <w:sz w:val="22"/>
          <w:szCs w:val="22"/>
        </w:rPr>
        <w:t>n the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acc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w:t>
      </w:r>
    </w:p>
    <w:p w14:paraId="53C14039" w14:textId="56D858BC" w:rsidR="0046695E" w:rsidRDefault="001706EB" w:rsidP="00933FA8">
      <w:pPr>
        <w:spacing w:after="200" w:line="276" w:lineRule="auto"/>
        <w:ind w:left="567" w:right="74"/>
        <w:jc w:val="both"/>
        <w:rPr>
          <w:rFonts w:ascii="Arial" w:eastAsia="Arial" w:hAnsi="Arial" w:cs="Arial"/>
          <w:b/>
          <w:sz w:val="22"/>
          <w:szCs w:val="22"/>
        </w:rPr>
      </w:pPr>
      <w:r w:rsidRPr="0046695E">
        <w:rPr>
          <w:rFonts w:ascii="Arial" w:eastAsia="Arial" w:hAnsi="Arial" w:cs="Arial"/>
          <w:sz w:val="22"/>
          <w:szCs w:val="22"/>
        </w:rPr>
        <w:t>T</w:t>
      </w:r>
      <w:r w:rsidRPr="00BD17CA">
        <w:rPr>
          <w:rFonts w:ascii="Arial" w:eastAsia="Arial" w:hAnsi="Arial" w:cs="Arial"/>
          <w:sz w:val="22"/>
          <w:szCs w:val="22"/>
        </w:rPr>
        <w:t>he</w:t>
      </w:r>
      <w:r w:rsidRPr="0046695E">
        <w:rPr>
          <w:rFonts w:ascii="Arial" w:eastAsia="Arial" w:hAnsi="Arial" w:cs="Arial"/>
          <w:sz w:val="22"/>
          <w:szCs w:val="22"/>
        </w:rPr>
        <w:t xml:space="preserve"> c</w:t>
      </w:r>
      <w:r w:rsidRPr="00BD17CA">
        <w:rPr>
          <w:rFonts w:ascii="Arial" w:eastAsia="Arial" w:hAnsi="Arial" w:cs="Arial"/>
          <w:sz w:val="22"/>
          <w:szCs w:val="22"/>
        </w:rPr>
        <w:t>o</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a propor</w:t>
      </w:r>
      <w:r w:rsidRPr="0046695E">
        <w:rPr>
          <w:rFonts w:ascii="Arial" w:eastAsia="Arial" w:hAnsi="Arial" w:cs="Arial"/>
          <w:sz w:val="22"/>
          <w:szCs w:val="22"/>
        </w:rPr>
        <w:t>ti</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of 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tim</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sp</w:t>
      </w:r>
      <w:r w:rsidRPr="0046695E">
        <w:rPr>
          <w:rFonts w:ascii="Arial" w:eastAsia="Arial" w:hAnsi="Arial" w:cs="Arial"/>
          <w:sz w:val="22"/>
          <w:szCs w:val="22"/>
        </w:rPr>
        <w:t>e</w:t>
      </w:r>
      <w:r w:rsidRPr="00BD17CA">
        <w:rPr>
          <w:rFonts w:ascii="Arial" w:eastAsia="Arial" w:hAnsi="Arial" w:cs="Arial"/>
          <w:sz w:val="22"/>
          <w:szCs w:val="22"/>
        </w:rPr>
        <w:t>nt</w:t>
      </w:r>
      <w:r w:rsidRPr="0046695E">
        <w:rPr>
          <w:rFonts w:ascii="Arial" w:eastAsia="Arial" w:hAnsi="Arial" w:cs="Arial"/>
          <w:sz w:val="22"/>
          <w:szCs w:val="22"/>
        </w:rPr>
        <w:t xml:space="preserve"> b</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o</w:t>
      </w:r>
      <w:r w:rsidRPr="0046695E">
        <w:rPr>
          <w:rFonts w:ascii="Arial" w:eastAsia="Arial" w:hAnsi="Arial" w:cs="Arial"/>
          <w:sz w:val="22"/>
          <w:szCs w:val="22"/>
        </w:rPr>
        <w:t>ffic</w:t>
      </w:r>
      <w:r w:rsidRPr="00BD17CA">
        <w:rPr>
          <w:rFonts w:ascii="Arial" w:eastAsia="Arial" w:hAnsi="Arial" w:cs="Arial"/>
          <w:sz w:val="22"/>
          <w:szCs w:val="22"/>
        </w:rPr>
        <w:t>ers</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m</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a</w:t>
      </w:r>
      <w:r w:rsidRPr="0046695E">
        <w:rPr>
          <w:rFonts w:ascii="Arial" w:eastAsia="Arial" w:hAnsi="Arial" w:cs="Arial"/>
          <w:sz w:val="22"/>
          <w:szCs w:val="22"/>
        </w:rPr>
        <w:t>g</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ac</w:t>
      </w:r>
      <w:r w:rsidRPr="00BD17CA">
        <w:rPr>
          <w:rFonts w:ascii="Arial" w:eastAsia="Arial" w:hAnsi="Arial" w:cs="Arial"/>
          <w:sz w:val="22"/>
          <w:szCs w:val="22"/>
        </w:rPr>
        <w:t>t</w:t>
      </w:r>
      <w:r w:rsidRPr="0046695E">
        <w:rPr>
          <w:rFonts w:ascii="Arial" w:eastAsia="Arial" w:hAnsi="Arial" w:cs="Arial"/>
          <w:sz w:val="22"/>
          <w:szCs w:val="22"/>
        </w:rPr>
        <w:t>ivity</w:t>
      </w:r>
      <w:r w:rsidR="00247116">
        <w:rPr>
          <w:rFonts w:ascii="Arial" w:eastAsia="Arial" w:hAnsi="Arial" w:cs="Arial"/>
          <w:sz w:val="22"/>
          <w:szCs w:val="22"/>
        </w:rPr>
        <w:t xml:space="preserve"> is charged to the fund</w:t>
      </w:r>
      <w:r w:rsidRPr="00BD17CA">
        <w:rPr>
          <w:rFonts w:ascii="Arial" w:eastAsia="Arial" w:hAnsi="Arial" w:cs="Arial"/>
          <w:sz w:val="22"/>
          <w:szCs w:val="22"/>
        </w:rPr>
        <w:t>.</w:t>
      </w:r>
    </w:p>
    <w:p w14:paraId="4595DD67" w14:textId="215BA477" w:rsid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Net</w:t>
      </w:r>
      <w:r w:rsidRPr="0046695E">
        <w:rPr>
          <w:rFonts w:ascii="Arial" w:eastAsia="Arial" w:hAnsi="Arial" w:cs="Arial"/>
          <w:b/>
          <w:sz w:val="22"/>
          <w:szCs w:val="22"/>
        </w:rPr>
        <w:t xml:space="preserve"> A</w:t>
      </w:r>
      <w:r w:rsidRPr="00BD17CA">
        <w:rPr>
          <w:rFonts w:ascii="Arial" w:eastAsia="Arial" w:hAnsi="Arial" w:cs="Arial"/>
          <w:b/>
          <w:sz w:val="22"/>
          <w:szCs w:val="22"/>
        </w:rPr>
        <w:t>s</w:t>
      </w:r>
      <w:r w:rsidRPr="0046695E">
        <w:rPr>
          <w:rFonts w:ascii="Arial" w:eastAsia="Arial" w:hAnsi="Arial" w:cs="Arial"/>
          <w:b/>
          <w:sz w:val="22"/>
          <w:szCs w:val="22"/>
        </w:rPr>
        <w:t>s</w:t>
      </w:r>
      <w:r w:rsidRPr="00BD17CA">
        <w:rPr>
          <w:rFonts w:ascii="Arial" w:eastAsia="Arial" w:hAnsi="Arial" w:cs="Arial"/>
          <w:b/>
          <w:sz w:val="22"/>
          <w:szCs w:val="22"/>
        </w:rPr>
        <w:t>ets</w:t>
      </w:r>
      <w:r w:rsidRPr="0046695E">
        <w:rPr>
          <w:rFonts w:ascii="Arial" w:eastAsia="Arial" w:hAnsi="Arial" w:cs="Arial"/>
          <w:b/>
          <w:sz w:val="22"/>
          <w:szCs w:val="22"/>
        </w:rPr>
        <w:t xml:space="preserve"> St</w:t>
      </w:r>
      <w:r w:rsidRPr="00BD17CA">
        <w:rPr>
          <w:rFonts w:ascii="Arial" w:eastAsia="Arial" w:hAnsi="Arial" w:cs="Arial"/>
          <w:b/>
          <w:sz w:val="22"/>
          <w:szCs w:val="22"/>
        </w:rPr>
        <w:t xml:space="preserve">atement </w:t>
      </w:r>
    </w:p>
    <w:p w14:paraId="35044B96" w14:textId="286F0169" w:rsidR="009C7422" w:rsidRPr="0046695E" w:rsidRDefault="001706EB" w:rsidP="0046695E">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g)</w:t>
      </w:r>
      <w:r w:rsidRPr="0046695E">
        <w:rPr>
          <w:rFonts w:ascii="Arial" w:eastAsia="Arial" w:hAnsi="Arial" w:cs="Arial"/>
          <w:b/>
          <w:sz w:val="22"/>
          <w:szCs w:val="22"/>
        </w:rPr>
        <w:t xml:space="preserve"> </w:t>
      </w:r>
      <w:r w:rsidRPr="00BD17CA">
        <w:rPr>
          <w:rFonts w:ascii="Arial" w:eastAsia="Arial" w:hAnsi="Arial" w:cs="Arial"/>
          <w:b/>
          <w:sz w:val="22"/>
          <w:szCs w:val="22"/>
        </w:rPr>
        <w:t>Fi</w:t>
      </w:r>
      <w:r w:rsidRPr="0046695E">
        <w:rPr>
          <w:rFonts w:ascii="Arial" w:eastAsia="Arial" w:hAnsi="Arial" w:cs="Arial"/>
          <w:b/>
          <w:sz w:val="22"/>
          <w:szCs w:val="22"/>
        </w:rPr>
        <w:t>n</w:t>
      </w:r>
      <w:r w:rsidRPr="00BD17CA">
        <w:rPr>
          <w:rFonts w:ascii="Arial" w:eastAsia="Arial" w:hAnsi="Arial" w:cs="Arial"/>
          <w:b/>
          <w:sz w:val="22"/>
          <w:szCs w:val="22"/>
        </w:rPr>
        <w:t>ancial</w:t>
      </w:r>
      <w:r w:rsidRPr="0046695E">
        <w:rPr>
          <w:rFonts w:ascii="Arial" w:eastAsia="Arial" w:hAnsi="Arial" w:cs="Arial"/>
          <w:b/>
          <w:sz w:val="22"/>
          <w:szCs w:val="22"/>
        </w:rPr>
        <w:t xml:space="preserve"> </w:t>
      </w:r>
      <w:r w:rsidRPr="00BD17CA">
        <w:rPr>
          <w:rFonts w:ascii="Arial" w:eastAsia="Arial" w:hAnsi="Arial" w:cs="Arial"/>
          <w:b/>
          <w:sz w:val="22"/>
          <w:szCs w:val="22"/>
        </w:rPr>
        <w:t>a</w:t>
      </w:r>
      <w:r w:rsidRPr="0046695E">
        <w:rPr>
          <w:rFonts w:ascii="Arial" w:eastAsia="Arial" w:hAnsi="Arial" w:cs="Arial"/>
          <w:b/>
          <w:sz w:val="22"/>
          <w:szCs w:val="22"/>
        </w:rPr>
        <w:t>ss</w:t>
      </w:r>
      <w:r w:rsidRPr="00BD17CA">
        <w:rPr>
          <w:rFonts w:ascii="Arial" w:eastAsia="Arial" w:hAnsi="Arial" w:cs="Arial"/>
          <w:b/>
          <w:sz w:val="22"/>
          <w:szCs w:val="22"/>
        </w:rPr>
        <w:t>ets</w:t>
      </w:r>
    </w:p>
    <w:p w14:paraId="00D4852D" w14:textId="777D294A" w:rsidR="009C7422" w:rsidRPr="00BD17CA" w:rsidRDefault="001706EB" w:rsidP="0046695E">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Inve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 a</w:t>
      </w:r>
      <w:r w:rsidRPr="0046695E">
        <w:rPr>
          <w:rFonts w:ascii="Arial" w:eastAsia="Arial" w:hAnsi="Arial" w:cs="Arial"/>
          <w:sz w:val="22"/>
          <w:szCs w:val="22"/>
        </w:rPr>
        <w:t>ss</w:t>
      </w:r>
      <w:r w:rsidRPr="00BD17CA">
        <w:rPr>
          <w:rFonts w:ascii="Arial" w:eastAsia="Arial" w:hAnsi="Arial" w:cs="Arial"/>
          <w:sz w:val="22"/>
          <w:szCs w:val="22"/>
        </w:rPr>
        <w:t>ets</w:t>
      </w:r>
      <w:r w:rsidRPr="0046695E">
        <w:rPr>
          <w:rFonts w:ascii="Arial" w:eastAsia="Arial" w:hAnsi="Arial" w:cs="Arial"/>
          <w:sz w:val="22"/>
          <w:szCs w:val="22"/>
        </w:rPr>
        <w:t xml:space="preserve"> </w:t>
      </w:r>
      <w:r w:rsidRPr="00BD17CA">
        <w:rPr>
          <w:rFonts w:ascii="Arial" w:eastAsia="Arial" w:hAnsi="Arial" w:cs="Arial"/>
          <w:sz w:val="22"/>
          <w:szCs w:val="22"/>
        </w:rPr>
        <w:t>are</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cl</w:t>
      </w:r>
      <w:r w:rsidRPr="00BD17CA">
        <w:rPr>
          <w:rFonts w:ascii="Arial" w:eastAsia="Arial" w:hAnsi="Arial" w:cs="Arial"/>
          <w:sz w:val="22"/>
          <w:szCs w:val="22"/>
        </w:rPr>
        <w:t>u</w:t>
      </w:r>
      <w:r w:rsidRPr="0046695E">
        <w:rPr>
          <w:rFonts w:ascii="Arial" w:eastAsia="Arial" w:hAnsi="Arial" w:cs="Arial"/>
          <w:sz w:val="22"/>
          <w:szCs w:val="22"/>
        </w:rPr>
        <w:t>d</w:t>
      </w:r>
      <w:r w:rsidRPr="00BD17CA">
        <w:rPr>
          <w:rFonts w:ascii="Arial" w:eastAsia="Arial" w:hAnsi="Arial" w:cs="Arial"/>
          <w:sz w:val="22"/>
          <w:szCs w:val="22"/>
        </w:rPr>
        <w:t>ed</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n</w:t>
      </w:r>
      <w:r w:rsidRPr="0046695E">
        <w:rPr>
          <w:rFonts w:ascii="Arial" w:eastAsia="Arial" w:hAnsi="Arial" w:cs="Arial"/>
          <w:sz w:val="22"/>
          <w:szCs w:val="22"/>
        </w:rPr>
        <w:t>e</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ss</w:t>
      </w:r>
      <w:r w:rsidRPr="00BD17CA">
        <w:rPr>
          <w:rFonts w:ascii="Arial" w:eastAsia="Arial" w:hAnsi="Arial" w:cs="Arial"/>
          <w:sz w:val="22"/>
          <w:szCs w:val="22"/>
        </w:rPr>
        <w:t>ets</w:t>
      </w:r>
      <w:r w:rsidRPr="0046695E">
        <w:rPr>
          <w:rFonts w:ascii="Arial" w:eastAsia="Arial" w:hAnsi="Arial" w:cs="Arial"/>
          <w:sz w:val="22"/>
          <w:szCs w:val="22"/>
        </w:rPr>
        <w:t xml:space="preserve"> s</w:t>
      </w:r>
      <w:r w:rsidRPr="00BD17CA">
        <w:rPr>
          <w:rFonts w:ascii="Arial" w:eastAsia="Arial" w:hAnsi="Arial" w:cs="Arial"/>
          <w:sz w:val="22"/>
          <w:szCs w:val="22"/>
        </w:rPr>
        <w:t>ta</w:t>
      </w:r>
      <w:r w:rsidRPr="0046695E">
        <w:rPr>
          <w:rFonts w:ascii="Arial" w:eastAsia="Arial" w:hAnsi="Arial" w:cs="Arial"/>
          <w:sz w:val="22"/>
          <w:szCs w:val="22"/>
        </w:rPr>
        <w:t>t</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 xml:space="preserve"> f</w:t>
      </w:r>
      <w:r w:rsidRPr="00BD17CA">
        <w:rPr>
          <w:rFonts w:ascii="Arial" w:eastAsia="Arial" w:hAnsi="Arial" w:cs="Arial"/>
          <w:sz w:val="22"/>
          <w:szCs w:val="22"/>
        </w:rPr>
        <w:t>a</w:t>
      </w:r>
      <w:r w:rsidRPr="0046695E">
        <w:rPr>
          <w:rFonts w:ascii="Arial" w:eastAsia="Arial" w:hAnsi="Arial" w:cs="Arial"/>
          <w:sz w:val="22"/>
          <w:szCs w:val="22"/>
        </w:rPr>
        <w:t>i</w:t>
      </w:r>
      <w:r w:rsidRPr="00BD17CA">
        <w:rPr>
          <w:rFonts w:ascii="Arial" w:eastAsia="Arial" w:hAnsi="Arial" w:cs="Arial"/>
          <w:sz w:val="22"/>
          <w:szCs w:val="22"/>
        </w:rPr>
        <w:t>r</w:t>
      </w:r>
      <w:r w:rsidRPr="0046695E">
        <w:rPr>
          <w:rFonts w:ascii="Arial" w:eastAsia="Arial" w:hAnsi="Arial" w:cs="Arial"/>
          <w:sz w:val="22"/>
          <w:szCs w:val="22"/>
        </w:rPr>
        <w:t xml:space="preserve"> v</w:t>
      </w:r>
      <w:r w:rsidRPr="00BD17CA">
        <w:rPr>
          <w:rFonts w:ascii="Arial" w:eastAsia="Arial" w:hAnsi="Arial" w:cs="Arial"/>
          <w:sz w:val="22"/>
          <w:szCs w:val="22"/>
        </w:rPr>
        <w:t>a</w:t>
      </w:r>
      <w:r w:rsidRPr="0046695E">
        <w:rPr>
          <w:rFonts w:ascii="Arial" w:eastAsia="Arial" w:hAnsi="Arial" w:cs="Arial"/>
          <w:sz w:val="22"/>
          <w:szCs w:val="22"/>
        </w:rPr>
        <w:t>lu</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asi</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as</w:t>
      </w:r>
      <w:r w:rsidRPr="0046695E">
        <w:rPr>
          <w:rFonts w:ascii="Arial" w:eastAsia="Arial" w:hAnsi="Arial" w:cs="Arial"/>
          <w:sz w:val="22"/>
          <w:szCs w:val="22"/>
        </w:rPr>
        <w:t xml:space="preserve"> </w:t>
      </w:r>
      <w:r w:rsidRPr="00BD17CA">
        <w:rPr>
          <w:rFonts w:ascii="Arial" w:eastAsia="Arial" w:hAnsi="Arial" w:cs="Arial"/>
          <w:sz w:val="22"/>
          <w:szCs w:val="22"/>
        </w:rPr>
        <w:t>at</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r</w:t>
      </w:r>
      <w:r w:rsidRPr="00BD17CA">
        <w:rPr>
          <w:rFonts w:ascii="Arial" w:eastAsia="Arial" w:hAnsi="Arial" w:cs="Arial"/>
          <w:sz w:val="22"/>
          <w:szCs w:val="22"/>
        </w:rPr>
        <w:t>e</w:t>
      </w:r>
      <w:r w:rsidRPr="0046695E">
        <w:rPr>
          <w:rFonts w:ascii="Arial" w:eastAsia="Arial" w:hAnsi="Arial" w:cs="Arial"/>
          <w:sz w:val="22"/>
          <w:szCs w:val="22"/>
        </w:rPr>
        <w:t>p</w:t>
      </w:r>
      <w:r w:rsidRPr="00BD17CA">
        <w:rPr>
          <w:rFonts w:ascii="Arial" w:eastAsia="Arial" w:hAnsi="Arial" w:cs="Arial"/>
          <w:sz w:val="22"/>
          <w:szCs w:val="22"/>
        </w:rPr>
        <w:t>ort</w:t>
      </w:r>
      <w:r w:rsidRPr="0046695E">
        <w:rPr>
          <w:rFonts w:ascii="Arial" w:eastAsia="Arial" w:hAnsi="Arial" w:cs="Arial"/>
          <w:sz w:val="22"/>
          <w:szCs w:val="22"/>
        </w:rPr>
        <w:t>i</w:t>
      </w:r>
      <w:r w:rsidRPr="00BD17CA">
        <w:rPr>
          <w:rFonts w:ascii="Arial" w:eastAsia="Arial" w:hAnsi="Arial" w:cs="Arial"/>
          <w:sz w:val="22"/>
          <w:szCs w:val="22"/>
        </w:rPr>
        <w:t>ng</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a</w:t>
      </w:r>
      <w:r w:rsidRPr="00BD17CA">
        <w:rPr>
          <w:rFonts w:ascii="Arial" w:eastAsia="Arial" w:hAnsi="Arial" w:cs="Arial"/>
          <w:sz w:val="22"/>
          <w:szCs w:val="22"/>
        </w:rPr>
        <w:t xml:space="preserve">te. </w:t>
      </w:r>
      <w:r w:rsidRPr="0046695E">
        <w:rPr>
          <w:rFonts w:ascii="Arial" w:eastAsia="Arial" w:hAnsi="Arial" w:cs="Arial"/>
          <w:sz w:val="22"/>
          <w:szCs w:val="22"/>
        </w:rPr>
        <w:t xml:space="preserve"> </w:t>
      </w:r>
      <w:r w:rsidRPr="00BD17CA">
        <w:rPr>
          <w:rFonts w:ascii="Arial" w:eastAsia="Arial" w:hAnsi="Arial" w:cs="Arial"/>
          <w:sz w:val="22"/>
          <w:szCs w:val="22"/>
        </w:rPr>
        <w:t xml:space="preserve">A </w:t>
      </w:r>
      <w:r w:rsidRPr="0046695E">
        <w:rPr>
          <w:rFonts w:ascii="Arial" w:eastAsia="Arial" w:hAnsi="Arial" w:cs="Arial"/>
          <w:sz w:val="22"/>
          <w:szCs w:val="22"/>
        </w:rPr>
        <w:t>fi</w:t>
      </w:r>
      <w:r w:rsidRPr="00BD17CA">
        <w:rPr>
          <w:rFonts w:ascii="Arial" w:eastAsia="Arial" w:hAnsi="Arial" w:cs="Arial"/>
          <w:sz w:val="22"/>
          <w:szCs w:val="22"/>
        </w:rPr>
        <w:t>n</w:t>
      </w:r>
      <w:r w:rsidRPr="0046695E">
        <w:rPr>
          <w:rFonts w:ascii="Arial" w:eastAsia="Arial" w:hAnsi="Arial" w:cs="Arial"/>
          <w:sz w:val="22"/>
          <w:szCs w:val="22"/>
        </w:rPr>
        <w:t>a</w:t>
      </w:r>
      <w:r w:rsidRPr="00BD17CA">
        <w:rPr>
          <w:rFonts w:ascii="Arial" w:eastAsia="Arial" w:hAnsi="Arial" w:cs="Arial"/>
          <w:sz w:val="22"/>
          <w:szCs w:val="22"/>
        </w:rPr>
        <w:t>n</w:t>
      </w:r>
      <w:r w:rsidRPr="0046695E">
        <w:rPr>
          <w:rFonts w:ascii="Arial" w:eastAsia="Arial" w:hAnsi="Arial" w:cs="Arial"/>
          <w:sz w:val="22"/>
          <w:szCs w:val="22"/>
        </w:rPr>
        <w:t>cia</w:t>
      </w:r>
      <w:r w:rsidRPr="00BD17CA">
        <w:rPr>
          <w:rFonts w:ascii="Arial" w:eastAsia="Arial" w:hAnsi="Arial" w:cs="Arial"/>
          <w:sz w:val="22"/>
          <w:szCs w:val="22"/>
        </w:rPr>
        <w:t>l</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ss</w:t>
      </w:r>
      <w:r w:rsidRPr="00BD17CA">
        <w:rPr>
          <w:rFonts w:ascii="Arial" w:eastAsia="Arial" w:hAnsi="Arial" w:cs="Arial"/>
          <w:sz w:val="22"/>
          <w:szCs w:val="22"/>
        </w:rPr>
        <w:t>et</w:t>
      </w:r>
      <w:r w:rsidRPr="0046695E">
        <w:rPr>
          <w:rFonts w:ascii="Arial" w:eastAsia="Arial" w:hAnsi="Arial" w:cs="Arial"/>
          <w:sz w:val="22"/>
          <w:szCs w:val="22"/>
        </w:rPr>
        <w:t xml:space="preserve"> i</w:t>
      </w:r>
      <w:r w:rsidRPr="00BD17CA">
        <w:rPr>
          <w:rFonts w:ascii="Arial" w:eastAsia="Arial" w:hAnsi="Arial" w:cs="Arial"/>
          <w:sz w:val="22"/>
          <w:szCs w:val="22"/>
        </w:rPr>
        <w:t>s</w:t>
      </w:r>
      <w:r w:rsidRPr="0046695E">
        <w:rPr>
          <w:rFonts w:ascii="Arial" w:eastAsia="Arial" w:hAnsi="Arial" w:cs="Arial"/>
          <w:sz w:val="22"/>
          <w:szCs w:val="22"/>
        </w:rPr>
        <w:t xml:space="preserve"> </w:t>
      </w:r>
      <w:proofErr w:type="spellStart"/>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gnise</w:t>
      </w:r>
      <w:r w:rsidRPr="00BD17CA">
        <w:rPr>
          <w:rFonts w:ascii="Arial" w:eastAsia="Arial" w:hAnsi="Arial" w:cs="Arial"/>
          <w:sz w:val="22"/>
          <w:szCs w:val="22"/>
        </w:rPr>
        <w:t>d</w:t>
      </w:r>
      <w:proofErr w:type="spellEnd"/>
      <w:r w:rsidRPr="0046695E">
        <w:rPr>
          <w:rFonts w:ascii="Arial" w:eastAsia="Arial" w:hAnsi="Arial" w:cs="Arial"/>
          <w:sz w:val="22"/>
          <w:szCs w:val="22"/>
        </w:rPr>
        <w:t xml:space="preserve"> i</w:t>
      </w:r>
      <w:r w:rsidRPr="00BD17CA">
        <w:rPr>
          <w:rFonts w:ascii="Arial" w:eastAsia="Arial" w:hAnsi="Arial" w:cs="Arial"/>
          <w:sz w:val="22"/>
          <w:szCs w:val="22"/>
        </w:rPr>
        <w:t>n 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n</w:t>
      </w:r>
      <w:r w:rsidRPr="0046695E">
        <w:rPr>
          <w:rFonts w:ascii="Arial" w:eastAsia="Arial" w:hAnsi="Arial" w:cs="Arial"/>
          <w:sz w:val="22"/>
          <w:szCs w:val="22"/>
        </w:rPr>
        <w:t>e</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ss</w:t>
      </w:r>
      <w:r w:rsidRPr="00BD17CA">
        <w:rPr>
          <w:rFonts w:ascii="Arial" w:eastAsia="Arial" w:hAnsi="Arial" w:cs="Arial"/>
          <w:sz w:val="22"/>
          <w:szCs w:val="22"/>
        </w:rPr>
        <w:t>ets</w:t>
      </w:r>
      <w:r w:rsidRPr="0046695E">
        <w:rPr>
          <w:rFonts w:ascii="Arial" w:eastAsia="Arial" w:hAnsi="Arial" w:cs="Arial"/>
          <w:sz w:val="22"/>
          <w:szCs w:val="22"/>
        </w:rPr>
        <w:t xml:space="preserve"> s</w:t>
      </w:r>
      <w:r w:rsidRPr="00BD17CA">
        <w:rPr>
          <w:rFonts w:ascii="Arial" w:eastAsia="Arial" w:hAnsi="Arial" w:cs="Arial"/>
          <w:sz w:val="22"/>
          <w:szCs w:val="22"/>
        </w:rPr>
        <w:t>ta</w:t>
      </w:r>
      <w:r w:rsidRPr="0046695E">
        <w:rPr>
          <w:rFonts w:ascii="Arial" w:eastAsia="Arial" w:hAnsi="Arial" w:cs="Arial"/>
          <w:sz w:val="22"/>
          <w:szCs w:val="22"/>
        </w:rPr>
        <w:t>t</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at</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b</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m</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art</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to</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c</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tra</w:t>
      </w:r>
      <w:r w:rsidRPr="0046695E">
        <w:rPr>
          <w:rFonts w:ascii="Arial" w:eastAsia="Arial" w:hAnsi="Arial" w:cs="Arial"/>
          <w:sz w:val="22"/>
          <w:szCs w:val="22"/>
        </w:rPr>
        <w:t>c</w:t>
      </w:r>
      <w:r w:rsidRPr="00BD17CA">
        <w:rPr>
          <w:rFonts w:ascii="Arial" w:eastAsia="Arial" w:hAnsi="Arial" w:cs="Arial"/>
          <w:sz w:val="22"/>
          <w:szCs w:val="22"/>
        </w:rPr>
        <w:t>t</w:t>
      </w:r>
      <w:r w:rsidRPr="0046695E">
        <w:rPr>
          <w:rFonts w:ascii="Arial" w:eastAsia="Arial" w:hAnsi="Arial" w:cs="Arial"/>
          <w:sz w:val="22"/>
          <w:szCs w:val="22"/>
        </w:rPr>
        <w:t>u</w:t>
      </w:r>
      <w:r w:rsidRPr="00BD17CA">
        <w:rPr>
          <w:rFonts w:ascii="Arial" w:eastAsia="Arial" w:hAnsi="Arial" w:cs="Arial"/>
          <w:sz w:val="22"/>
          <w:szCs w:val="22"/>
        </w:rPr>
        <w:t>al a</w:t>
      </w:r>
      <w:r w:rsidRPr="0046695E">
        <w:rPr>
          <w:rFonts w:ascii="Arial" w:eastAsia="Arial" w:hAnsi="Arial" w:cs="Arial"/>
          <w:sz w:val="22"/>
          <w:szCs w:val="22"/>
        </w:rPr>
        <w:t>c</w:t>
      </w:r>
      <w:r w:rsidRPr="00BD17CA">
        <w:rPr>
          <w:rFonts w:ascii="Arial" w:eastAsia="Arial" w:hAnsi="Arial" w:cs="Arial"/>
          <w:sz w:val="22"/>
          <w:szCs w:val="22"/>
        </w:rPr>
        <w:t>q</w:t>
      </w:r>
      <w:r w:rsidRPr="0046695E">
        <w:rPr>
          <w:rFonts w:ascii="Arial" w:eastAsia="Arial" w:hAnsi="Arial" w:cs="Arial"/>
          <w:sz w:val="22"/>
          <w:szCs w:val="22"/>
        </w:rPr>
        <w:t>uisi</w:t>
      </w:r>
      <w:r w:rsidRPr="00BD17CA">
        <w:rPr>
          <w:rFonts w:ascii="Arial" w:eastAsia="Arial" w:hAnsi="Arial" w:cs="Arial"/>
          <w:sz w:val="22"/>
          <w:szCs w:val="22"/>
        </w:rPr>
        <w:t>t</w:t>
      </w:r>
      <w:r w:rsidRPr="0046695E">
        <w:rPr>
          <w:rFonts w:ascii="Arial" w:eastAsia="Arial" w:hAnsi="Arial" w:cs="Arial"/>
          <w:sz w:val="22"/>
          <w:szCs w:val="22"/>
        </w:rPr>
        <w:t>io</w:t>
      </w:r>
      <w:r w:rsidRPr="00BD17CA">
        <w:rPr>
          <w:rFonts w:ascii="Arial" w:eastAsia="Arial" w:hAnsi="Arial" w:cs="Arial"/>
          <w:sz w:val="22"/>
          <w:szCs w:val="22"/>
        </w:rPr>
        <w:t>n</w:t>
      </w:r>
      <w:r w:rsidRPr="0046695E">
        <w:rPr>
          <w:rFonts w:ascii="Arial" w:eastAsia="Arial" w:hAnsi="Arial" w:cs="Arial"/>
          <w:sz w:val="22"/>
          <w:szCs w:val="22"/>
        </w:rPr>
        <w:t xml:space="preserve"> o</w:t>
      </w:r>
      <w:r w:rsidRPr="00BD17CA">
        <w:rPr>
          <w:rFonts w:ascii="Arial" w:eastAsia="Arial" w:hAnsi="Arial" w:cs="Arial"/>
          <w:sz w:val="22"/>
          <w:szCs w:val="22"/>
        </w:rPr>
        <w:t>f 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ss</w:t>
      </w:r>
      <w:r w:rsidRPr="00BD17CA">
        <w:rPr>
          <w:rFonts w:ascii="Arial" w:eastAsia="Arial" w:hAnsi="Arial" w:cs="Arial"/>
          <w:sz w:val="22"/>
          <w:szCs w:val="22"/>
        </w:rPr>
        <w:t>et.</w:t>
      </w:r>
      <w:r w:rsidRPr="0046695E">
        <w:rPr>
          <w:rFonts w:ascii="Arial" w:eastAsia="Arial" w:hAnsi="Arial" w:cs="Arial"/>
          <w:sz w:val="22"/>
          <w:szCs w:val="22"/>
        </w:rPr>
        <w:t xml:space="preserve"> </w:t>
      </w:r>
      <w:r w:rsidRPr="00BD17CA">
        <w:rPr>
          <w:rFonts w:ascii="Arial" w:eastAsia="Arial" w:hAnsi="Arial" w:cs="Arial"/>
          <w:sz w:val="22"/>
          <w:szCs w:val="22"/>
        </w:rPr>
        <w:t>F</w:t>
      </w:r>
      <w:r w:rsidRPr="0046695E">
        <w:rPr>
          <w:rFonts w:ascii="Arial" w:eastAsia="Arial" w:hAnsi="Arial" w:cs="Arial"/>
          <w:sz w:val="22"/>
          <w:szCs w:val="22"/>
        </w:rPr>
        <w:t>r</w:t>
      </w:r>
      <w:r w:rsidRPr="00BD17CA">
        <w:rPr>
          <w:rFonts w:ascii="Arial" w:eastAsia="Arial" w:hAnsi="Arial" w:cs="Arial"/>
          <w:sz w:val="22"/>
          <w:szCs w:val="22"/>
        </w:rPr>
        <w:t>om</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hi</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a</w:t>
      </w:r>
      <w:r w:rsidRPr="00BD17CA">
        <w:rPr>
          <w:rFonts w:ascii="Arial" w:eastAsia="Arial" w:hAnsi="Arial" w:cs="Arial"/>
          <w:sz w:val="22"/>
          <w:szCs w:val="22"/>
        </w:rPr>
        <w:t>te</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n</w:t>
      </w:r>
      <w:r w:rsidRPr="00BD17CA">
        <w:rPr>
          <w:rFonts w:ascii="Arial" w:eastAsia="Arial" w:hAnsi="Arial" w:cs="Arial"/>
          <w:sz w:val="22"/>
          <w:szCs w:val="22"/>
        </w:rPr>
        <w:t>y</w:t>
      </w:r>
      <w:r w:rsidRPr="0046695E">
        <w:rPr>
          <w:rFonts w:ascii="Arial" w:eastAsia="Arial" w:hAnsi="Arial" w:cs="Arial"/>
          <w:sz w:val="22"/>
          <w:szCs w:val="22"/>
        </w:rPr>
        <w:t xml:space="preserve"> </w:t>
      </w:r>
      <w:r w:rsidRPr="00BD17CA">
        <w:rPr>
          <w:rFonts w:ascii="Arial" w:eastAsia="Arial" w:hAnsi="Arial" w:cs="Arial"/>
          <w:sz w:val="22"/>
          <w:szCs w:val="22"/>
        </w:rPr>
        <w:t>g</w:t>
      </w:r>
      <w:r w:rsidRPr="0046695E">
        <w:rPr>
          <w:rFonts w:ascii="Arial" w:eastAsia="Arial" w:hAnsi="Arial" w:cs="Arial"/>
          <w:sz w:val="22"/>
          <w:szCs w:val="22"/>
        </w:rPr>
        <w:t>ai</w:t>
      </w:r>
      <w:r w:rsidRPr="00BD17CA">
        <w:rPr>
          <w:rFonts w:ascii="Arial" w:eastAsia="Arial" w:hAnsi="Arial" w:cs="Arial"/>
          <w:sz w:val="22"/>
          <w:szCs w:val="22"/>
        </w:rPr>
        <w:t>ns</w:t>
      </w:r>
      <w:r w:rsidRPr="0046695E">
        <w:rPr>
          <w:rFonts w:ascii="Arial" w:eastAsia="Arial" w:hAnsi="Arial" w:cs="Arial"/>
          <w:sz w:val="22"/>
          <w:szCs w:val="22"/>
        </w:rPr>
        <w:t xml:space="preserve"> </w:t>
      </w:r>
      <w:r w:rsidRPr="00BD17CA">
        <w:rPr>
          <w:rFonts w:ascii="Arial" w:eastAsia="Arial" w:hAnsi="Arial" w:cs="Arial"/>
          <w:sz w:val="22"/>
          <w:szCs w:val="22"/>
        </w:rPr>
        <w:t>or</w:t>
      </w:r>
      <w:r w:rsidRPr="0046695E">
        <w:rPr>
          <w:rFonts w:ascii="Arial" w:eastAsia="Arial" w:hAnsi="Arial" w:cs="Arial"/>
          <w:sz w:val="22"/>
          <w:szCs w:val="22"/>
        </w:rPr>
        <w:t xml:space="preserve"> loss</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ar</w:t>
      </w:r>
      <w:r w:rsidRPr="0046695E">
        <w:rPr>
          <w:rFonts w:ascii="Arial" w:eastAsia="Arial" w:hAnsi="Arial" w:cs="Arial"/>
          <w:sz w:val="22"/>
          <w:szCs w:val="22"/>
        </w:rPr>
        <w:t>isi</w:t>
      </w:r>
      <w:r w:rsidRPr="00BD17CA">
        <w:rPr>
          <w:rFonts w:ascii="Arial" w:eastAsia="Arial" w:hAnsi="Arial" w:cs="Arial"/>
          <w:sz w:val="22"/>
          <w:szCs w:val="22"/>
        </w:rPr>
        <w:t>ng</w:t>
      </w:r>
      <w:r w:rsidRPr="0046695E">
        <w:rPr>
          <w:rFonts w:ascii="Arial" w:eastAsia="Arial" w:hAnsi="Arial" w:cs="Arial"/>
          <w:sz w:val="22"/>
          <w:szCs w:val="22"/>
        </w:rPr>
        <w:t xml:space="preserve"> fr</w:t>
      </w:r>
      <w:r w:rsidRPr="00BD17CA">
        <w:rPr>
          <w:rFonts w:ascii="Arial" w:eastAsia="Arial" w:hAnsi="Arial" w:cs="Arial"/>
          <w:sz w:val="22"/>
          <w:szCs w:val="22"/>
        </w:rPr>
        <w:t>om</w:t>
      </w:r>
      <w:r w:rsidRPr="0046695E">
        <w:rPr>
          <w:rFonts w:ascii="Arial" w:eastAsia="Arial" w:hAnsi="Arial" w:cs="Arial"/>
          <w:sz w:val="22"/>
          <w:szCs w:val="22"/>
        </w:rPr>
        <w:t xml:space="preserve"> c</w:t>
      </w:r>
      <w:r w:rsidRPr="00BD17CA">
        <w:rPr>
          <w:rFonts w:ascii="Arial" w:eastAsia="Arial" w:hAnsi="Arial" w:cs="Arial"/>
          <w:sz w:val="22"/>
          <w:szCs w:val="22"/>
        </w:rPr>
        <w:t>h</w:t>
      </w:r>
      <w:r w:rsidRPr="0046695E">
        <w:rPr>
          <w:rFonts w:ascii="Arial" w:eastAsia="Arial" w:hAnsi="Arial" w:cs="Arial"/>
          <w:sz w:val="22"/>
          <w:szCs w:val="22"/>
        </w:rPr>
        <w:t>a</w:t>
      </w:r>
      <w:r w:rsidRPr="00BD17CA">
        <w:rPr>
          <w:rFonts w:ascii="Arial" w:eastAsia="Arial" w:hAnsi="Arial" w:cs="Arial"/>
          <w:sz w:val="22"/>
          <w:szCs w:val="22"/>
        </w:rPr>
        <w:t>n</w:t>
      </w:r>
      <w:r w:rsidRPr="0046695E">
        <w:rPr>
          <w:rFonts w:ascii="Arial" w:eastAsia="Arial" w:hAnsi="Arial" w:cs="Arial"/>
          <w:sz w:val="22"/>
          <w:szCs w:val="22"/>
        </w:rPr>
        <w:t>g</w:t>
      </w:r>
      <w:r w:rsidRPr="00BD17CA">
        <w:rPr>
          <w:rFonts w:ascii="Arial" w:eastAsia="Arial" w:hAnsi="Arial" w:cs="Arial"/>
          <w:sz w:val="22"/>
          <w:szCs w:val="22"/>
        </w:rPr>
        <w:t>es</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f</w:t>
      </w:r>
      <w:r w:rsidRPr="00BD17CA">
        <w:rPr>
          <w:rFonts w:ascii="Arial" w:eastAsia="Arial" w:hAnsi="Arial" w:cs="Arial"/>
          <w:sz w:val="22"/>
          <w:szCs w:val="22"/>
        </w:rPr>
        <w:t>a</w:t>
      </w:r>
      <w:r w:rsidRPr="0046695E">
        <w:rPr>
          <w:rFonts w:ascii="Arial" w:eastAsia="Arial" w:hAnsi="Arial" w:cs="Arial"/>
          <w:sz w:val="22"/>
          <w:szCs w:val="22"/>
        </w:rPr>
        <w:t>i</w:t>
      </w:r>
      <w:r w:rsidRPr="00BD17CA">
        <w:rPr>
          <w:rFonts w:ascii="Arial" w:eastAsia="Arial" w:hAnsi="Arial" w:cs="Arial"/>
          <w:sz w:val="22"/>
          <w:szCs w:val="22"/>
        </w:rPr>
        <w:t xml:space="preserve">r </w:t>
      </w:r>
      <w:r w:rsidRPr="0046695E">
        <w:rPr>
          <w:rFonts w:ascii="Arial" w:eastAsia="Arial" w:hAnsi="Arial" w:cs="Arial"/>
          <w:sz w:val="22"/>
          <w:szCs w:val="22"/>
        </w:rPr>
        <w:t>val</w:t>
      </w:r>
      <w:r w:rsidRPr="00BD17CA">
        <w:rPr>
          <w:rFonts w:ascii="Arial" w:eastAsia="Arial" w:hAnsi="Arial" w:cs="Arial"/>
          <w:sz w:val="22"/>
          <w:szCs w:val="22"/>
        </w:rPr>
        <w:t>ue</w:t>
      </w:r>
      <w:r w:rsidRPr="0046695E">
        <w:rPr>
          <w:rFonts w:ascii="Arial" w:eastAsia="Arial" w:hAnsi="Arial" w:cs="Arial"/>
          <w:sz w:val="22"/>
          <w:szCs w:val="22"/>
        </w:rPr>
        <w:t xml:space="preserve"> </w:t>
      </w:r>
      <w:r w:rsidRPr="00BD17CA">
        <w:rPr>
          <w:rFonts w:ascii="Arial" w:eastAsia="Arial" w:hAnsi="Arial" w:cs="Arial"/>
          <w:sz w:val="22"/>
          <w:szCs w:val="22"/>
        </w:rPr>
        <w:t>of a</w:t>
      </w:r>
      <w:r w:rsidRPr="0046695E">
        <w:rPr>
          <w:rFonts w:ascii="Arial" w:eastAsia="Arial" w:hAnsi="Arial" w:cs="Arial"/>
          <w:sz w:val="22"/>
          <w:szCs w:val="22"/>
        </w:rPr>
        <w:t>ss</w:t>
      </w:r>
      <w:r w:rsidRPr="00BD17CA">
        <w:rPr>
          <w:rFonts w:ascii="Arial" w:eastAsia="Arial" w:hAnsi="Arial" w:cs="Arial"/>
          <w:sz w:val="22"/>
          <w:szCs w:val="22"/>
        </w:rPr>
        <w:t>ets</w:t>
      </w:r>
      <w:r w:rsidRPr="0046695E">
        <w:rPr>
          <w:rFonts w:ascii="Arial" w:eastAsia="Arial" w:hAnsi="Arial" w:cs="Arial"/>
          <w:sz w:val="22"/>
          <w:szCs w:val="22"/>
        </w:rPr>
        <w:t xml:space="preserve"> </w:t>
      </w:r>
      <w:r w:rsidRPr="00BD17CA">
        <w:rPr>
          <w:rFonts w:ascii="Arial" w:eastAsia="Arial" w:hAnsi="Arial" w:cs="Arial"/>
          <w:sz w:val="22"/>
          <w:szCs w:val="22"/>
        </w:rPr>
        <w:t xml:space="preserve">are </w:t>
      </w:r>
      <w:proofErr w:type="spellStart"/>
      <w:r w:rsidRPr="0046695E">
        <w:rPr>
          <w:rFonts w:ascii="Arial" w:eastAsia="Arial" w:hAnsi="Arial" w:cs="Arial"/>
          <w:sz w:val="22"/>
          <w:szCs w:val="22"/>
        </w:rPr>
        <w:t>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g</w:t>
      </w:r>
      <w:r w:rsidRPr="00BD17CA">
        <w:rPr>
          <w:rFonts w:ascii="Arial" w:eastAsia="Arial" w:hAnsi="Arial" w:cs="Arial"/>
          <w:sz w:val="22"/>
          <w:szCs w:val="22"/>
        </w:rPr>
        <w:t>n</w:t>
      </w:r>
      <w:r w:rsidRPr="0046695E">
        <w:rPr>
          <w:rFonts w:ascii="Arial" w:eastAsia="Arial" w:hAnsi="Arial" w:cs="Arial"/>
          <w:sz w:val="22"/>
          <w:szCs w:val="22"/>
        </w:rPr>
        <w:t>ise</w:t>
      </w:r>
      <w:r w:rsidRPr="00BD17CA">
        <w:rPr>
          <w:rFonts w:ascii="Arial" w:eastAsia="Arial" w:hAnsi="Arial" w:cs="Arial"/>
          <w:sz w:val="22"/>
          <w:szCs w:val="22"/>
        </w:rPr>
        <w:t>d</w:t>
      </w:r>
      <w:proofErr w:type="spellEnd"/>
      <w:r w:rsidRPr="0046695E">
        <w:rPr>
          <w:rFonts w:ascii="Arial" w:eastAsia="Arial" w:hAnsi="Arial" w:cs="Arial"/>
          <w:sz w:val="22"/>
          <w:szCs w:val="22"/>
        </w:rPr>
        <w:t xml:space="preserve"> th</w:t>
      </w:r>
      <w:r w:rsidRPr="00BD17CA">
        <w:rPr>
          <w:rFonts w:ascii="Arial" w:eastAsia="Arial" w:hAnsi="Arial" w:cs="Arial"/>
          <w:sz w:val="22"/>
          <w:szCs w:val="22"/>
        </w:rPr>
        <w:t>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cc</w:t>
      </w:r>
      <w:r w:rsidRPr="00BD17CA">
        <w:rPr>
          <w:rFonts w:ascii="Arial" w:eastAsia="Arial" w:hAnsi="Arial" w:cs="Arial"/>
          <w:sz w:val="22"/>
          <w:szCs w:val="22"/>
        </w:rPr>
        <w:t>o</w:t>
      </w:r>
      <w:r w:rsidRPr="0046695E">
        <w:rPr>
          <w:rFonts w:ascii="Arial" w:eastAsia="Arial" w:hAnsi="Arial" w:cs="Arial"/>
          <w:sz w:val="22"/>
          <w:szCs w:val="22"/>
        </w:rPr>
        <w:t>u</w:t>
      </w:r>
      <w:r w:rsidRPr="00BD17CA">
        <w:rPr>
          <w:rFonts w:ascii="Arial" w:eastAsia="Arial" w:hAnsi="Arial" w:cs="Arial"/>
          <w:sz w:val="22"/>
          <w:szCs w:val="22"/>
        </w:rPr>
        <w:t>nt.</w:t>
      </w:r>
    </w:p>
    <w:p w14:paraId="18F0CE48" w14:textId="2A565181" w:rsidR="009C7422" w:rsidRPr="00BD17CA" w:rsidRDefault="001706EB" w:rsidP="0046695E">
      <w:pPr>
        <w:spacing w:after="200" w:line="276" w:lineRule="auto"/>
        <w:ind w:right="74"/>
        <w:jc w:val="both"/>
        <w:rPr>
          <w:rFonts w:ascii="Arial" w:eastAsia="Arial" w:hAnsi="Arial" w:cs="Arial"/>
          <w:sz w:val="22"/>
          <w:szCs w:val="22"/>
        </w:rPr>
      </w:pPr>
      <w:r w:rsidRPr="0046695E">
        <w:rPr>
          <w:rFonts w:ascii="Arial" w:eastAsia="Arial" w:hAnsi="Arial" w:cs="Arial"/>
          <w:sz w:val="22"/>
          <w:szCs w:val="22"/>
        </w:rPr>
        <w:t>T</w:t>
      </w:r>
      <w:r w:rsidRPr="00BD17CA">
        <w:rPr>
          <w:rFonts w:ascii="Arial" w:eastAsia="Arial" w:hAnsi="Arial" w:cs="Arial"/>
          <w:sz w:val="22"/>
          <w:szCs w:val="22"/>
        </w:rPr>
        <w:t>he</w:t>
      </w:r>
      <w:r w:rsidRPr="0046695E">
        <w:rPr>
          <w:rFonts w:ascii="Arial" w:eastAsia="Arial" w:hAnsi="Arial" w:cs="Arial"/>
          <w:sz w:val="22"/>
          <w:szCs w:val="22"/>
        </w:rPr>
        <w:t xml:space="preserve"> val</w:t>
      </w:r>
      <w:r w:rsidRPr="00BD17CA">
        <w:rPr>
          <w:rFonts w:ascii="Arial" w:eastAsia="Arial" w:hAnsi="Arial" w:cs="Arial"/>
          <w:sz w:val="22"/>
          <w:szCs w:val="22"/>
        </w:rPr>
        <w:t>u</w:t>
      </w:r>
      <w:r w:rsidRPr="0046695E">
        <w:rPr>
          <w:rFonts w:ascii="Arial" w:eastAsia="Arial" w:hAnsi="Arial" w:cs="Arial"/>
          <w:sz w:val="22"/>
          <w:szCs w:val="22"/>
        </w:rPr>
        <w:t>e</w:t>
      </w:r>
      <w:r w:rsidRPr="00BD17CA">
        <w:rPr>
          <w:rFonts w:ascii="Arial" w:eastAsia="Arial" w:hAnsi="Arial" w:cs="Arial"/>
          <w:sz w:val="22"/>
          <w:szCs w:val="22"/>
        </w:rPr>
        <w:t>s</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inv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ts as</w:t>
      </w:r>
      <w:r w:rsidRPr="0046695E">
        <w:rPr>
          <w:rFonts w:ascii="Arial" w:eastAsia="Arial" w:hAnsi="Arial" w:cs="Arial"/>
          <w:sz w:val="22"/>
          <w:szCs w:val="22"/>
        </w:rPr>
        <w:t xml:space="preserve"> s</w:t>
      </w:r>
      <w:r w:rsidRPr="00BD17CA">
        <w:rPr>
          <w:rFonts w:ascii="Arial" w:eastAsia="Arial" w:hAnsi="Arial" w:cs="Arial"/>
          <w:sz w:val="22"/>
          <w:szCs w:val="22"/>
        </w:rPr>
        <w:t>h</w:t>
      </w:r>
      <w:r w:rsidRPr="0046695E">
        <w:rPr>
          <w:rFonts w:ascii="Arial" w:eastAsia="Arial" w:hAnsi="Arial" w:cs="Arial"/>
          <w:sz w:val="22"/>
          <w:szCs w:val="22"/>
        </w:rPr>
        <w:t>o</w:t>
      </w:r>
      <w:r w:rsidRPr="00BD17CA">
        <w:rPr>
          <w:rFonts w:ascii="Arial" w:eastAsia="Arial" w:hAnsi="Arial" w:cs="Arial"/>
          <w:sz w:val="22"/>
          <w:szCs w:val="22"/>
        </w:rPr>
        <w:t>wn</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n</w:t>
      </w:r>
      <w:r w:rsidRPr="0046695E">
        <w:rPr>
          <w:rFonts w:ascii="Arial" w:eastAsia="Arial" w:hAnsi="Arial" w:cs="Arial"/>
          <w:sz w:val="22"/>
          <w:szCs w:val="22"/>
        </w:rPr>
        <w:t>e</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a</w:t>
      </w:r>
      <w:r w:rsidRPr="0046695E">
        <w:rPr>
          <w:rFonts w:ascii="Arial" w:eastAsia="Arial" w:hAnsi="Arial" w:cs="Arial"/>
          <w:sz w:val="22"/>
          <w:szCs w:val="22"/>
        </w:rPr>
        <w:t>ss</w:t>
      </w:r>
      <w:r w:rsidRPr="00BD17CA">
        <w:rPr>
          <w:rFonts w:ascii="Arial" w:eastAsia="Arial" w:hAnsi="Arial" w:cs="Arial"/>
          <w:sz w:val="22"/>
          <w:szCs w:val="22"/>
        </w:rPr>
        <w:t>ets</w:t>
      </w:r>
      <w:r w:rsidRPr="0046695E">
        <w:rPr>
          <w:rFonts w:ascii="Arial" w:eastAsia="Arial" w:hAnsi="Arial" w:cs="Arial"/>
          <w:sz w:val="22"/>
          <w:szCs w:val="22"/>
        </w:rPr>
        <w:t xml:space="preserve"> s</w:t>
      </w:r>
      <w:r w:rsidRPr="00BD17CA">
        <w:rPr>
          <w:rFonts w:ascii="Arial" w:eastAsia="Arial" w:hAnsi="Arial" w:cs="Arial"/>
          <w:sz w:val="22"/>
          <w:szCs w:val="22"/>
        </w:rPr>
        <w:t>ta</w:t>
      </w:r>
      <w:r w:rsidRPr="0046695E">
        <w:rPr>
          <w:rFonts w:ascii="Arial" w:eastAsia="Arial" w:hAnsi="Arial" w:cs="Arial"/>
          <w:sz w:val="22"/>
          <w:szCs w:val="22"/>
        </w:rPr>
        <w:t>t</w:t>
      </w:r>
      <w:r w:rsidRPr="00BD17CA">
        <w:rPr>
          <w:rFonts w:ascii="Arial" w:eastAsia="Arial" w:hAnsi="Arial" w:cs="Arial"/>
          <w:sz w:val="22"/>
          <w:szCs w:val="22"/>
        </w:rPr>
        <w:t>e</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h</w:t>
      </w:r>
      <w:r w:rsidRPr="0046695E">
        <w:rPr>
          <w:rFonts w:ascii="Arial" w:eastAsia="Arial" w:hAnsi="Arial" w:cs="Arial"/>
          <w:sz w:val="22"/>
          <w:szCs w:val="22"/>
        </w:rPr>
        <w:t>av</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b</w:t>
      </w:r>
      <w:r w:rsidRPr="0046695E">
        <w:rPr>
          <w:rFonts w:ascii="Arial" w:eastAsia="Arial" w:hAnsi="Arial" w:cs="Arial"/>
          <w:sz w:val="22"/>
          <w:szCs w:val="22"/>
        </w:rPr>
        <w:t>ee</w:t>
      </w:r>
      <w:r w:rsidRPr="00BD17CA">
        <w:rPr>
          <w:rFonts w:ascii="Arial" w:eastAsia="Arial" w:hAnsi="Arial" w:cs="Arial"/>
          <w:sz w:val="22"/>
          <w:szCs w:val="22"/>
        </w:rPr>
        <w:t>n</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e</w:t>
      </w:r>
      <w:r w:rsidRPr="00BD17CA">
        <w:rPr>
          <w:rFonts w:ascii="Arial" w:eastAsia="Arial" w:hAnsi="Arial" w:cs="Arial"/>
          <w:sz w:val="22"/>
          <w:szCs w:val="22"/>
        </w:rPr>
        <w:t>ter</w:t>
      </w:r>
      <w:r w:rsidRPr="0046695E">
        <w:rPr>
          <w:rFonts w:ascii="Arial" w:eastAsia="Arial" w:hAnsi="Arial" w:cs="Arial"/>
          <w:sz w:val="22"/>
          <w:szCs w:val="22"/>
        </w:rPr>
        <w:t>mi</w:t>
      </w:r>
      <w:r w:rsidRPr="00BD17CA">
        <w:rPr>
          <w:rFonts w:ascii="Arial" w:eastAsia="Arial" w:hAnsi="Arial" w:cs="Arial"/>
          <w:sz w:val="22"/>
          <w:szCs w:val="22"/>
        </w:rPr>
        <w:t>n</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at</w:t>
      </w:r>
      <w:r w:rsidRPr="0046695E">
        <w:rPr>
          <w:rFonts w:ascii="Arial" w:eastAsia="Arial" w:hAnsi="Arial" w:cs="Arial"/>
          <w:sz w:val="22"/>
          <w:szCs w:val="22"/>
        </w:rPr>
        <w:t xml:space="preserve"> f</w:t>
      </w:r>
      <w:r w:rsidRPr="00BD17CA">
        <w:rPr>
          <w:rFonts w:ascii="Arial" w:eastAsia="Arial" w:hAnsi="Arial" w:cs="Arial"/>
          <w:sz w:val="22"/>
          <w:szCs w:val="22"/>
        </w:rPr>
        <w:t>a</w:t>
      </w:r>
      <w:r w:rsidRPr="0046695E">
        <w:rPr>
          <w:rFonts w:ascii="Arial" w:eastAsia="Arial" w:hAnsi="Arial" w:cs="Arial"/>
          <w:sz w:val="22"/>
          <w:szCs w:val="22"/>
        </w:rPr>
        <w:t>i</w:t>
      </w:r>
      <w:r w:rsidRPr="00BD17CA">
        <w:rPr>
          <w:rFonts w:ascii="Arial" w:eastAsia="Arial" w:hAnsi="Arial" w:cs="Arial"/>
          <w:sz w:val="22"/>
          <w:szCs w:val="22"/>
        </w:rPr>
        <w:t>r</w:t>
      </w:r>
      <w:r w:rsidRPr="0046695E">
        <w:rPr>
          <w:rFonts w:ascii="Arial" w:eastAsia="Arial" w:hAnsi="Arial" w:cs="Arial"/>
          <w:sz w:val="22"/>
          <w:szCs w:val="22"/>
        </w:rPr>
        <w:t xml:space="preserve"> v</w:t>
      </w:r>
      <w:r w:rsidRPr="00BD17CA">
        <w:rPr>
          <w:rFonts w:ascii="Arial" w:eastAsia="Arial" w:hAnsi="Arial" w:cs="Arial"/>
          <w:sz w:val="22"/>
          <w:szCs w:val="22"/>
        </w:rPr>
        <w:t>a</w:t>
      </w:r>
      <w:r w:rsidRPr="0046695E">
        <w:rPr>
          <w:rFonts w:ascii="Arial" w:eastAsia="Arial" w:hAnsi="Arial" w:cs="Arial"/>
          <w:sz w:val="22"/>
          <w:szCs w:val="22"/>
        </w:rPr>
        <w:t>l</w:t>
      </w:r>
      <w:r w:rsidRPr="00BD17CA">
        <w:rPr>
          <w:rFonts w:ascii="Arial" w:eastAsia="Arial" w:hAnsi="Arial" w:cs="Arial"/>
          <w:sz w:val="22"/>
          <w:szCs w:val="22"/>
        </w:rPr>
        <w:t>ue</w:t>
      </w:r>
      <w:r w:rsidRPr="0046695E">
        <w:rPr>
          <w:rFonts w:ascii="Arial" w:eastAsia="Arial" w:hAnsi="Arial" w:cs="Arial"/>
          <w:sz w:val="22"/>
          <w:szCs w:val="22"/>
        </w:rPr>
        <w:t xml:space="preserve"> i</w:t>
      </w:r>
      <w:r w:rsidRPr="00BD17CA">
        <w:rPr>
          <w:rFonts w:ascii="Arial" w:eastAsia="Arial" w:hAnsi="Arial" w:cs="Arial"/>
          <w:sz w:val="22"/>
          <w:szCs w:val="22"/>
        </w:rPr>
        <w:t>n a</w:t>
      </w:r>
      <w:r w:rsidRPr="0046695E">
        <w:rPr>
          <w:rFonts w:ascii="Arial" w:eastAsia="Arial" w:hAnsi="Arial" w:cs="Arial"/>
          <w:sz w:val="22"/>
          <w:szCs w:val="22"/>
        </w:rPr>
        <w:t>cc</w:t>
      </w:r>
      <w:r w:rsidRPr="00BD17CA">
        <w:rPr>
          <w:rFonts w:ascii="Arial" w:eastAsia="Arial" w:hAnsi="Arial" w:cs="Arial"/>
          <w:sz w:val="22"/>
          <w:szCs w:val="22"/>
        </w:rPr>
        <w:t>ordance</w:t>
      </w:r>
      <w:r w:rsidRPr="0046695E">
        <w:rPr>
          <w:rFonts w:ascii="Arial" w:eastAsia="Arial" w:hAnsi="Arial" w:cs="Arial"/>
          <w:sz w:val="22"/>
          <w:szCs w:val="22"/>
        </w:rPr>
        <w:t xml:space="preserve"> </w:t>
      </w:r>
      <w:r w:rsidRPr="00BD17CA">
        <w:rPr>
          <w:rFonts w:ascii="Arial" w:eastAsia="Arial" w:hAnsi="Arial" w:cs="Arial"/>
          <w:sz w:val="22"/>
          <w:szCs w:val="22"/>
        </w:rPr>
        <w:t>w</w:t>
      </w:r>
      <w:r w:rsidRPr="0046695E">
        <w:rPr>
          <w:rFonts w:ascii="Arial" w:eastAsia="Arial" w:hAnsi="Arial" w:cs="Arial"/>
          <w:sz w:val="22"/>
          <w:szCs w:val="22"/>
        </w:rPr>
        <w:t>i</w:t>
      </w:r>
      <w:r w:rsidRPr="00BD17CA">
        <w:rPr>
          <w:rFonts w:ascii="Arial" w:eastAsia="Arial" w:hAnsi="Arial" w:cs="Arial"/>
          <w:sz w:val="22"/>
          <w:szCs w:val="22"/>
        </w:rPr>
        <w:t>th</w:t>
      </w:r>
      <w:r w:rsidRPr="0046695E">
        <w:rPr>
          <w:rFonts w:ascii="Arial" w:eastAsia="Arial" w:hAnsi="Arial" w:cs="Arial"/>
          <w:sz w:val="22"/>
          <w:szCs w:val="22"/>
        </w:rPr>
        <w:t xml:space="preserve"> t</w:t>
      </w:r>
      <w:r w:rsidRPr="00BD17CA">
        <w:rPr>
          <w:rFonts w:ascii="Arial" w:eastAsia="Arial" w:hAnsi="Arial" w:cs="Arial"/>
          <w:sz w:val="22"/>
          <w:szCs w:val="22"/>
        </w:rPr>
        <w:t>he</w:t>
      </w:r>
      <w:r w:rsidRPr="0046695E">
        <w:rPr>
          <w:rFonts w:ascii="Arial" w:eastAsia="Arial" w:hAnsi="Arial" w:cs="Arial"/>
          <w:sz w:val="22"/>
          <w:szCs w:val="22"/>
        </w:rPr>
        <w:t xml:space="preserve"> re</w:t>
      </w:r>
      <w:r w:rsidRPr="00BD17CA">
        <w:rPr>
          <w:rFonts w:ascii="Arial" w:eastAsia="Arial" w:hAnsi="Arial" w:cs="Arial"/>
          <w:sz w:val="22"/>
          <w:szCs w:val="22"/>
        </w:rPr>
        <w:t>q</w:t>
      </w:r>
      <w:r w:rsidRPr="0046695E">
        <w:rPr>
          <w:rFonts w:ascii="Arial" w:eastAsia="Arial" w:hAnsi="Arial" w:cs="Arial"/>
          <w:sz w:val="22"/>
          <w:szCs w:val="22"/>
        </w:rPr>
        <w:t>uirem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ts</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w:t>
      </w:r>
      <w:r w:rsidRPr="00BD17CA">
        <w:rPr>
          <w:rFonts w:ascii="Arial" w:eastAsia="Arial" w:hAnsi="Arial" w:cs="Arial"/>
          <w:sz w:val="22"/>
          <w:szCs w:val="22"/>
        </w:rPr>
        <w:t>Code</w:t>
      </w:r>
      <w:r w:rsidRPr="0046695E">
        <w:rPr>
          <w:rFonts w:ascii="Arial" w:eastAsia="Arial" w:hAnsi="Arial" w:cs="Arial"/>
          <w:sz w:val="22"/>
          <w:szCs w:val="22"/>
        </w:rPr>
        <w:t xml:space="preserve"> a</w:t>
      </w:r>
      <w:r w:rsidRPr="00BD17CA">
        <w:rPr>
          <w:rFonts w:ascii="Arial" w:eastAsia="Arial" w:hAnsi="Arial" w:cs="Arial"/>
          <w:sz w:val="22"/>
          <w:szCs w:val="22"/>
        </w:rPr>
        <w:t>nd</w:t>
      </w:r>
      <w:r w:rsidRPr="0046695E">
        <w:rPr>
          <w:rFonts w:ascii="Arial" w:eastAsia="Arial" w:hAnsi="Arial" w:cs="Arial"/>
          <w:sz w:val="22"/>
          <w:szCs w:val="22"/>
        </w:rPr>
        <w:t xml:space="preserve"> </w:t>
      </w:r>
      <w:r w:rsidRPr="00BD17CA">
        <w:rPr>
          <w:rFonts w:ascii="Arial" w:eastAsia="Arial" w:hAnsi="Arial" w:cs="Arial"/>
          <w:sz w:val="22"/>
          <w:szCs w:val="22"/>
        </w:rPr>
        <w:t>IF</w:t>
      </w:r>
      <w:r w:rsidRPr="0046695E">
        <w:rPr>
          <w:rFonts w:ascii="Arial" w:eastAsia="Arial" w:hAnsi="Arial" w:cs="Arial"/>
          <w:sz w:val="22"/>
          <w:szCs w:val="22"/>
        </w:rPr>
        <w:t>RS</w:t>
      </w:r>
      <w:r w:rsidRPr="00BD17CA">
        <w:rPr>
          <w:rFonts w:ascii="Arial" w:eastAsia="Arial" w:hAnsi="Arial" w:cs="Arial"/>
          <w:sz w:val="22"/>
          <w:szCs w:val="22"/>
        </w:rPr>
        <w:t>13</w:t>
      </w:r>
      <w:r w:rsidRPr="0046695E">
        <w:rPr>
          <w:rFonts w:ascii="Arial" w:eastAsia="Arial" w:hAnsi="Arial" w:cs="Arial"/>
          <w:sz w:val="22"/>
          <w:szCs w:val="22"/>
        </w:rPr>
        <w:t xml:space="preserve"> (se</w:t>
      </w:r>
      <w:r w:rsidRPr="00BD17CA">
        <w:rPr>
          <w:rFonts w:ascii="Arial" w:eastAsia="Arial" w:hAnsi="Arial" w:cs="Arial"/>
          <w:sz w:val="22"/>
          <w:szCs w:val="22"/>
        </w:rPr>
        <w:t>e</w:t>
      </w:r>
      <w:r w:rsidRPr="0046695E">
        <w:rPr>
          <w:rFonts w:ascii="Arial" w:eastAsia="Arial" w:hAnsi="Arial" w:cs="Arial"/>
          <w:sz w:val="22"/>
          <w:szCs w:val="22"/>
        </w:rPr>
        <w:t xml:space="preserve"> Note </w:t>
      </w:r>
      <w:r w:rsidR="00247116" w:rsidRPr="0046695E">
        <w:rPr>
          <w:rFonts w:ascii="Arial" w:eastAsia="Arial" w:hAnsi="Arial" w:cs="Arial"/>
          <w:sz w:val="22"/>
          <w:szCs w:val="22"/>
        </w:rPr>
        <w:t>1</w:t>
      </w:r>
      <w:r w:rsidR="00247116">
        <w:rPr>
          <w:rFonts w:ascii="Arial" w:eastAsia="Arial" w:hAnsi="Arial" w:cs="Arial"/>
          <w:sz w:val="22"/>
          <w:szCs w:val="22"/>
        </w:rPr>
        <w:t>4</w:t>
      </w:r>
      <w:r w:rsidRPr="0046695E">
        <w:rPr>
          <w:rFonts w:ascii="Arial" w:eastAsia="Arial" w:hAnsi="Arial" w:cs="Arial"/>
          <w:sz w:val="22"/>
          <w:szCs w:val="22"/>
        </w:rPr>
        <w:t>)</w:t>
      </w:r>
      <w:r w:rsidRPr="00BD17CA">
        <w:rPr>
          <w:rFonts w:ascii="Arial" w:eastAsia="Arial" w:hAnsi="Arial" w:cs="Arial"/>
          <w:sz w:val="22"/>
          <w:szCs w:val="22"/>
        </w:rPr>
        <w:t>.</w:t>
      </w:r>
      <w:r w:rsidRPr="0046695E">
        <w:rPr>
          <w:rFonts w:ascii="Arial" w:eastAsia="Arial" w:hAnsi="Arial" w:cs="Arial"/>
          <w:sz w:val="22"/>
          <w:szCs w:val="22"/>
        </w:rPr>
        <w:t xml:space="preserve"> </w:t>
      </w:r>
      <w:r w:rsidRPr="00BD17CA">
        <w:rPr>
          <w:rFonts w:ascii="Arial" w:eastAsia="Arial" w:hAnsi="Arial" w:cs="Arial"/>
          <w:sz w:val="22"/>
          <w:szCs w:val="22"/>
        </w:rPr>
        <w:t>For</w:t>
      </w:r>
      <w:r w:rsidRPr="0046695E">
        <w:rPr>
          <w:rFonts w:ascii="Arial" w:eastAsia="Arial" w:hAnsi="Arial" w:cs="Arial"/>
          <w:sz w:val="22"/>
          <w:szCs w:val="22"/>
        </w:rPr>
        <w:t xml:space="preserve"> </w:t>
      </w:r>
      <w:r w:rsidRPr="00BD17CA">
        <w:rPr>
          <w:rFonts w:ascii="Arial" w:eastAsia="Arial" w:hAnsi="Arial" w:cs="Arial"/>
          <w:sz w:val="22"/>
          <w:szCs w:val="22"/>
        </w:rPr>
        <w:t>t</w:t>
      </w:r>
      <w:r w:rsidRPr="0046695E">
        <w:rPr>
          <w:rFonts w:ascii="Arial" w:eastAsia="Arial" w:hAnsi="Arial" w:cs="Arial"/>
          <w:sz w:val="22"/>
          <w:szCs w:val="22"/>
        </w:rPr>
        <w:t>h</w:t>
      </w:r>
      <w:r w:rsidRPr="00BD17CA">
        <w:rPr>
          <w:rFonts w:ascii="Arial" w:eastAsia="Arial" w:hAnsi="Arial" w:cs="Arial"/>
          <w:sz w:val="22"/>
          <w:szCs w:val="22"/>
        </w:rPr>
        <w:t>e</w:t>
      </w:r>
      <w:r w:rsidRPr="0046695E">
        <w:rPr>
          <w:rFonts w:ascii="Arial" w:eastAsia="Arial" w:hAnsi="Arial" w:cs="Arial"/>
          <w:sz w:val="22"/>
          <w:szCs w:val="22"/>
        </w:rPr>
        <w:t xml:space="preserve"> </w:t>
      </w:r>
      <w:r w:rsidRPr="00BD17CA">
        <w:rPr>
          <w:rFonts w:ascii="Arial" w:eastAsia="Arial" w:hAnsi="Arial" w:cs="Arial"/>
          <w:sz w:val="22"/>
          <w:szCs w:val="22"/>
        </w:rPr>
        <w:t>p</w:t>
      </w:r>
      <w:r w:rsidRPr="0046695E">
        <w:rPr>
          <w:rFonts w:ascii="Arial" w:eastAsia="Arial" w:hAnsi="Arial" w:cs="Arial"/>
          <w:sz w:val="22"/>
          <w:szCs w:val="22"/>
        </w:rPr>
        <w:t>ur</w:t>
      </w:r>
      <w:r w:rsidRPr="00BD17CA">
        <w:rPr>
          <w:rFonts w:ascii="Arial" w:eastAsia="Arial" w:hAnsi="Arial" w:cs="Arial"/>
          <w:sz w:val="22"/>
          <w:szCs w:val="22"/>
        </w:rPr>
        <w:t>p</w:t>
      </w:r>
      <w:r w:rsidRPr="0046695E">
        <w:rPr>
          <w:rFonts w:ascii="Arial" w:eastAsia="Arial" w:hAnsi="Arial" w:cs="Arial"/>
          <w:sz w:val="22"/>
          <w:szCs w:val="22"/>
        </w:rPr>
        <w:t>os</w:t>
      </w:r>
      <w:r w:rsidRPr="00BD17CA">
        <w:rPr>
          <w:rFonts w:ascii="Arial" w:eastAsia="Arial" w:hAnsi="Arial" w:cs="Arial"/>
          <w:sz w:val="22"/>
          <w:szCs w:val="22"/>
        </w:rPr>
        <w:t>es</w:t>
      </w:r>
      <w:r w:rsidRPr="0046695E">
        <w:rPr>
          <w:rFonts w:ascii="Arial" w:eastAsia="Arial" w:hAnsi="Arial" w:cs="Arial"/>
          <w:sz w:val="22"/>
          <w:szCs w:val="22"/>
        </w:rPr>
        <w:t xml:space="preserve"> </w:t>
      </w:r>
      <w:r w:rsidRPr="00BD17CA">
        <w:rPr>
          <w:rFonts w:ascii="Arial" w:eastAsia="Arial" w:hAnsi="Arial" w:cs="Arial"/>
          <w:sz w:val="22"/>
          <w:szCs w:val="22"/>
        </w:rPr>
        <w:t>of</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iscl</w:t>
      </w:r>
      <w:r w:rsidRPr="00BD17CA">
        <w:rPr>
          <w:rFonts w:ascii="Arial" w:eastAsia="Arial" w:hAnsi="Arial" w:cs="Arial"/>
          <w:sz w:val="22"/>
          <w:szCs w:val="22"/>
        </w:rPr>
        <w:t>o</w:t>
      </w:r>
      <w:r w:rsidRPr="0046695E">
        <w:rPr>
          <w:rFonts w:ascii="Arial" w:eastAsia="Arial" w:hAnsi="Arial" w:cs="Arial"/>
          <w:sz w:val="22"/>
          <w:szCs w:val="22"/>
        </w:rPr>
        <w:t>sin</w:t>
      </w:r>
      <w:r w:rsidRPr="00BD17CA">
        <w:rPr>
          <w:rFonts w:ascii="Arial" w:eastAsia="Arial" w:hAnsi="Arial" w:cs="Arial"/>
          <w:sz w:val="22"/>
          <w:szCs w:val="22"/>
        </w:rPr>
        <w:t>g</w:t>
      </w:r>
      <w:r w:rsidRPr="0046695E">
        <w:rPr>
          <w:rFonts w:ascii="Arial" w:eastAsia="Arial" w:hAnsi="Arial" w:cs="Arial"/>
          <w:sz w:val="22"/>
          <w:szCs w:val="22"/>
        </w:rPr>
        <w:t xml:space="preserve"> lev</w:t>
      </w:r>
      <w:r w:rsidRPr="00BD17CA">
        <w:rPr>
          <w:rFonts w:ascii="Arial" w:eastAsia="Arial" w:hAnsi="Arial" w:cs="Arial"/>
          <w:sz w:val="22"/>
          <w:szCs w:val="22"/>
        </w:rPr>
        <w:t>e</w:t>
      </w:r>
      <w:r w:rsidRPr="0046695E">
        <w:rPr>
          <w:rFonts w:ascii="Arial" w:eastAsia="Arial" w:hAnsi="Arial" w:cs="Arial"/>
          <w:sz w:val="22"/>
          <w:szCs w:val="22"/>
        </w:rPr>
        <w:t>l</w:t>
      </w:r>
      <w:r w:rsidRPr="00BD17CA">
        <w:rPr>
          <w:rFonts w:ascii="Arial" w:eastAsia="Arial" w:hAnsi="Arial" w:cs="Arial"/>
          <w:sz w:val="22"/>
          <w:szCs w:val="22"/>
        </w:rPr>
        <w:t>s of</w:t>
      </w:r>
      <w:r w:rsidRPr="0046695E">
        <w:rPr>
          <w:rFonts w:ascii="Arial" w:eastAsia="Arial" w:hAnsi="Arial" w:cs="Arial"/>
          <w:sz w:val="22"/>
          <w:szCs w:val="22"/>
        </w:rPr>
        <w:t xml:space="preserve"> fai</w:t>
      </w:r>
      <w:r w:rsidRPr="00BD17CA">
        <w:rPr>
          <w:rFonts w:ascii="Arial" w:eastAsia="Arial" w:hAnsi="Arial" w:cs="Arial"/>
          <w:sz w:val="22"/>
          <w:szCs w:val="22"/>
        </w:rPr>
        <w:t>r</w:t>
      </w:r>
      <w:r w:rsidRPr="0046695E">
        <w:rPr>
          <w:rFonts w:ascii="Arial" w:eastAsia="Arial" w:hAnsi="Arial" w:cs="Arial"/>
          <w:sz w:val="22"/>
          <w:szCs w:val="22"/>
        </w:rPr>
        <w:t xml:space="preserve"> v</w:t>
      </w:r>
      <w:r w:rsidRPr="00BD17CA">
        <w:rPr>
          <w:rFonts w:ascii="Arial" w:eastAsia="Arial" w:hAnsi="Arial" w:cs="Arial"/>
          <w:sz w:val="22"/>
          <w:szCs w:val="22"/>
        </w:rPr>
        <w:t>a</w:t>
      </w:r>
      <w:r w:rsidRPr="0046695E">
        <w:rPr>
          <w:rFonts w:ascii="Arial" w:eastAsia="Arial" w:hAnsi="Arial" w:cs="Arial"/>
          <w:sz w:val="22"/>
          <w:szCs w:val="22"/>
        </w:rPr>
        <w:t>l</w:t>
      </w:r>
      <w:r w:rsidRPr="00BD17CA">
        <w:rPr>
          <w:rFonts w:ascii="Arial" w:eastAsia="Arial" w:hAnsi="Arial" w:cs="Arial"/>
          <w:sz w:val="22"/>
          <w:szCs w:val="22"/>
        </w:rPr>
        <w:t>ue</w:t>
      </w:r>
      <w:r w:rsidRPr="0046695E">
        <w:rPr>
          <w:rFonts w:ascii="Arial" w:eastAsia="Arial" w:hAnsi="Arial" w:cs="Arial"/>
          <w:sz w:val="22"/>
          <w:szCs w:val="22"/>
        </w:rPr>
        <w:t xml:space="preserve"> </w:t>
      </w:r>
      <w:r w:rsidRPr="00BD17CA">
        <w:rPr>
          <w:rFonts w:ascii="Arial" w:eastAsia="Arial" w:hAnsi="Arial" w:cs="Arial"/>
          <w:sz w:val="22"/>
          <w:szCs w:val="22"/>
        </w:rPr>
        <w:t>h</w:t>
      </w:r>
      <w:r w:rsidRPr="0046695E">
        <w:rPr>
          <w:rFonts w:ascii="Arial" w:eastAsia="Arial" w:hAnsi="Arial" w:cs="Arial"/>
          <w:sz w:val="22"/>
          <w:szCs w:val="22"/>
        </w:rPr>
        <w:t>i</w:t>
      </w:r>
      <w:r w:rsidRPr="00BD17CA">
        <w:rPr>
          <w:rFonts w:ascii="Arial" w:eastAsia="Arial" w:hAnsi="Arial" w:cs="Arial"/>
          <w:sz w:val="22"/>
          <w:szCs w:val="22"/>
        </w:rPr>
        <w:t>era</w:t>
      </w:r>
      <w:r w:rsidRPr="0046695E">
        <w:rPr>
          <w:rFonts w:ascii="Arial" w:eastAsia="Arial" w:hAnsi="Arial" w:cs="Arial"/>
          <w:sz w:val="22"/>
          <w:szCs w:val="22"/>
        </w:rPr>
        <w:t>rchy</w:t>
      </w:r>
      <w:r w:rsidRPr="00BD17CA">
        <w:rPr>
          <w:rFonts w:ascii="Arial" w:eastAsia="Arial" w:hAnsi="Arial" w:cs="Arial"/>
          <w:sz w:val="22"/>
          <w:szCs w:val="22"/>
        </w:rPr>
        <w:t>, the</w:t>
      </w:r>
      <w:r w:rsidRPr="0046695E">
        <w:rPr>
          <w:rFonts w:ascii="Arial" w:eastAsia="Arial" w:hAnsi="Arial" w:cs="Arial"/>
          <w:sz w:val="22"/>
          <w:szCs w:val="22"/>
        </w:rPr>
        <w:t xml:space="preserve"> f</w:t>
      </w:r>
      <w:r w:rsidRPr="00BD17CA">
        <w:rPr>
          <w:rFonts w:ascii="Arial" w:eastAsia="Arial" w:hAnsi="Arial" w:cs="Arial"/>
          <w:sz w:val="22"/>
          <w:szCs w:val="22"/>
        </w:rPr>
        <w:t>u</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 xml:space="preserve"> </w:t>
      </w:r>
      <w:r w:rsidRPr="00BD17CA">
        <w:rPr>
          <w:rFonts w:ascii="Arial" w:eastAsia="Arial" w:hAnsi="Arial" w:cs="Arial"/>
          <w:sz w:val="22"/>
          <w:szCs w:val="22"/>
        </w:rPr>
        <w:t>h</w:t>
      </w:r>
      <w:r w:rsidRPr="0046695E">
        <w:rPr>
          <w:rFonts w:ascii="Arial" w:eastAsia="Arial" w:hAnsi="Arial" w:cs="Arial"/>
          <w:sz w:val="22"/>
          <w:szCs w:val="22"/>
        </w:rPr>
        <w:t>a</w:t>
      </w:r>
      <w:r w:rsidRPr="00BD17CA">
        <w:rPr>
          <w:rFonts w:ascii="Arial" w:eastAsia="Arial" w:hAnsi="Arial" w:cs="Arial"/>
          <w:sz w:val="22"/>
          <w:szCs w:val="22"/>
        </w:rPr>
        <w:t>s</w:t>
      </w:r>
      <w:r w:rsidRPr="0046695E">
        <w:rPr>
          <w:rFonts w:ascii="Arial" w:eastAsia="Arial" w:hAnsi="Arial" w:cs="Arial"/>
          <w:sz w:val="22"/>
          <w:szCs w:val="22"/>
        </w:rPr>
        <w:t xml:space="preserve"> a</w:t>
      </w:r>
      <w:r w:rsidRPr="00BD17CA">
        <w:rPr>
          <w:rFonts w:ascii="Arial" w:eastAsia="Arial" w:hAnsi="Arial" w:cs="Arial"/>
          <w:sz w:val="22"/>
          <w:szCs w:val="22"/>
        </w:rPr>
        <w:t>d</w:t>
      </w:r>
      <w:r w:rsidRPr="0046695E">
        <w:rPr>
          <w:rFonts w:ascii="Arial" w:eastAsia="Arial" w:hAnsi="Arial" w:cs="Arial"/>
          <w:sz w:val="22"/>
          <w:szCs w:val="22"/>
        </w:rPr>
        <w:t>op</w:t>
      </w:r>
      <w:r w:rsidRPr="00BD17CA">
        <w:rPr>
          <w:rFonts w:ascii="Arial" w:eastAsia="Arial" w:hAnsi="Arial" w:cs="Arial"/>
          <w:sz w:val="22"/>
          <w:szCs w:val="22"/>
        </w:rPr>
        <w:t>ted</w:t>
      </w:r>
      <w:r w:rsidRPr="0046695E">
        <w:rPr>
          <w:rFonts w:ascii="Arial" w:eastAsia="Arial" w:hAnsi="Arial" w:cs="Arial"/>
          <w:sz w:val="22"/>
          <w:szCs w:val="22"/>
        </w:rPr>
        <w:t xml:space="preserve"> </w:t>
      </w:r>
      <w:r w:rsidRPr="00BD17CA">
        <w:rPr>
          <w:rFonts w:ascii="Arial" w:eastAsia="Arial" w:hAnsi="Arial" w:cs="Arial"/>
          <w:sz w:val="22"/>
          <w:szCs w:val="22"/>
        </w:rPr>
        <w:t>the</w:t>
      </w:r>
      <w:r w:rsidRPr="0046695E">
        <w:rPr>
          <w:rFonts w:ascii="Arial" w:eastAsia="Arial" w:hAnsi="Arial" w:cs="Arial"/>
          <w:sz w:val="22"/>
          <w:szCs w:val="22"/>
        </w:rPr>
        <w:t xml:space="preserve"> cl</w:t>
      </w:r>
      <w:r w:rsidRPr="00BD17CA">
        <w:rPr>
          <w:rFonts w:ascii="Arial" w:eastAsia="Arial" w:hAnsi="Arial" w:cs="Arial"/>
          <w:sz w:val="22"/>
          <w:szCs w:val="22"/>
        </w:rPr>
        <w:t>a</w:t>
      </w:r>
      <w:r w:rsidRPr="0046695E">
        <w:rPr>
          <w:rFonts w:ascii="Arial" w:eastAsia="Arial" w:hAnsi="Arial" w:cs="Arial"/>
          <w:sz w:val="22"/>
          <w:szCs w:val="22"/>
        </w:rPr>
        <w:t>ssific</w:t>
      </w:r>
      <w:r w:rsidRPr="00BD17CA">
        <w:rPr>
          <w:rFonts w:ascii="Arial" w:eastAsia="Arial" w:hAnsi="Arial" w:cs="Arial"/>
          <w:sz w:val="22"/>
          <w:szCs w:val="22"/>
        </w:rPr>
        <w:t>at</w:t>
      </w:r>
      <w:r w:rsidRPr="0046695E">
        <w:rPr>
          <w:rFonts w:ascii="Arial" w:eastAsia="Arial" w:hAnsi="Arial" w:cs="Arial"/>
          <w:sz w:val="22"/>
          <w:szCs w:val="22"/>
        </w:rPr>
        <w:t>i</w:t>
      </w:r>
      <w:r w:rsidRPr="00BD17CA">
        <w:rPr>
          <w:rFonts w:ascii="Arial" w:eastAsia="Arial" w:hAnsi="Arial" w:cs="Arial"/>
          <w:sz w:val="22"/>
          <w:szCs w:val="22"/>
        </w:rPr>
        <w:t>on</w:t>
      </w:r>
      <w:r w:rsidRPr="0046695E">
        <w:rPr>
          <w:rFonts w:ascii="Arial" w:eastAsia="Arial" w:hAnsi="Arial" w:cs="Arial"/>
          <w:sz w:val="22"/>
          <w:szCs w:val="22"/>
        </w:rPr>
        <w:t xml:space="preserve"> </w:t>
      </w:r>
      <w:r w:rsidRPr="00BD17CA">
        <w:rPr>
          <w:rFonts w:ascii="Arial" w:eastAsia="Arial" w:hAnsi="Arial" w:cs="Arial"/>
          <w:sz w:val="22"/>
          <w:szCs w:val="22"/>
        </w:rPr>
        <w:t>g</w:t>
      </w:r>
      <w:r w:rsidRPr="0046695E">
        <w:rPr>
          <w:rFonts w:ascii="Arial" w:eastAsia="Arial" w:hAnsi="Arial" w:cs="Arial"/>
          <w:sz w:val="22"/>
          <w:szCs w:val="22"/>
        </w:rPr>
        <w:t>ui</w:t>
      </w:r>
      <w:r w:rsidRPr="00BD17CA">
        <w:rPr>
          <w:rFonts w:ascii="Arial" w:eastAsia="Arial" w:hAnsi="Arial" w:cs="Arial"/>
          <w:sz w:val="22"/>
          <w:szCs w:val="22"/>
        </w:rPr>
        <w:t>d</w:t>
      </w:r>
      <w:r w:rsidRPr="0046695E">
        <w:rPr>
          <w:rFonts w:ascii="Arial" w:eastAsia="Arial" w:hAnsi="Arial" w:cs="Arial"/>
          <w:sz w:val="22"/>
          <w:szCs w:val="22"/>
        </w:rPr>
        <w:t>eli</w:t>
      </w:r>
      <w:r w:rsidRPr="00BD17CA">
        <w:rPr>
          <w:rFonts w:ascii="Arial" w:eastAsia="Arial" w:hAnsi="Arial" w:cs="Arial"/>
          <w:sz w:val="22"/>
          <w:szCs w:val="22"/>
        </w:rPr>
        <w:t>n</w:t>
      </w:r>
      <w:r w:rsidRPr="0046695E">
        <w:rPr>
          <w:rFonts w:ascii="Arial" w:eastAsia="Arial" w:hAnsi="Arial" w:cs="Arial"/>
          <w:sz w:val="22"/>
          <w:szCs w:val="22"/>
        </w:rPr>
        <w:t>e</w:t>
      </w:r>
      <w:r w:rsidRPr="00BD17CA">
        <w:rPr>
          <w:rFonts w:ascii="Arial" w:eastAsia="Arial" w:hAnsi="Arial" w:cs="Arial"/>
          <w:sz w:val="22"/>
          <w:szCs w:val="22"/>
        </w:rPr>
        <w:t>s</w:t>
      </w:r>
      <w:r w:rsidRPr="0046695E">
        <w:rPr>
          <w:rFonts w:ascii="Arial" w:eastAsia="Arial" w:hAnsi="Arial" w:cs="Arial"/>
          <w:sz w:val="22"/>
          <w:szCs w:val="22"/>
        </w:rPr>
        <w:t xml:space="preserve"> r</w:t>
      </w:r>
      <w:r w:rsidRPr="00BD17CA">
        <w:rPr>
          <w:rFonts w:ascii="Arial" w:eastAsia="Arial" w:hAnsi="Arial" w:cs="Arial"/>
          <w:sz w:val="22"/>
          <w:szCs w:val="22"/>
        </w:rPr>
        <w:t>e</w:t>
      </w:r>
      <w:r w:rsidRPr="0046695E">
        <w:rPr>
          <w:rFonts w:ascii="Arial" w:eastAsia="Arial" w:hAnsi="Arial" w:cs="Arial"/>
          <w:sz w:val="22"/>
          <w:szCs w:val="22"/>
        </w:rPr>
        <w:t>c</w:t>
      </w:r>
      <w:r w:rsidRPr="00BD17CA">
        <w:rPr>
          <w:rFonts w:ascii="Arial" w:eastAsia="Arial" w:hAnsi="Arial" w:cs="Arial"/>
          <w:sz w:val="22"/>
          <w:szCs w:val="22"/>
        </w:rPr>
        <w:t>o</w:t>
      </w:r>
      <w:r w:rsidRPr="0046695E">
        <w:rPr>
          <w:rFonts w:ascii="Arial" w:eastAsia="Arial" w:hAnsi="Arial" w:cs="Arial"/>
          <w:sz w:val="22"/>
          <w:szCs w:val="22"/>
        </w:rPr>
        <w:t>mm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d</w:t>
      </w:r>
      <w:r w:rsidRPr="0046695E">
        <w:rPr>
          <w:rFonts w:ascii="Arial" w:eastAsia="Arial" w:hAnsi="Arial" w:cs="Arial"/>
          <w:sz w:val="22"/>
          <w:szCs w:val="22"/>
        </w:rPr>
        <w:t>e</w:t>
      </w:r>
      <w:r w:rsidRPr="00BD17CA">
        <w:rPr>
          <w:rFonts w:ascii="Arial" w:eastAsia="Arial" w:hAnsi="Arial" w:cs="Arial"/>
          <w:sz w:val="22"/>
          <w:szCs w:val="22"/>
        </w:rPr>
        <w:t>d</w:t>
      </w:r>
      <w:r w:rsidRPr="0046695E">
        <w:rPr>
          <w:rFonts w:ascii="Arial" w:eastAsia="Arial" w:hAnsi="Arial" w:cs="Arial"/>
          <w:sz w:val="22"/>
          <w:szCs w:val="22"/>
        </w:rPr>
        <w:t xml:space="preserve"> i</w:t>
      </w:r>
      <w:r w:rsidRPr="00BD17CA">
        <w:rPr>
          <w:rFonts w:ascii="Arial" w:eastAsia="Arial" w:hAnsi="Arial" w:cs="Arial"/>
          <w:sz w:val="22"/>
          <w:szCs w:val="22"/>
        </w:rPr>
        <w:t>n</w:t>
      </w:r>
      <w:r w:rsidRPr="0046695E">
        <w:rPr>
          <w:rFonts w:ascii="Arial" w:eastAsia="Arial" w:hAnsi="Arial" w:cs="Arial"/>
          <w:sz w:val="22"/>
          <w:szCs w:val="22"/>
        </w:rPr>
        <w:t xml:space="preserve"> Pr</w:t>
      </w:r>
      <w:r w:rsidRPr="00BD17CA">
        <w:rPr>
          <w:rFonts w:ascii="Arial" w:eastAsia="Arial" w:hAnsi="Arial" w:cs="Arial"/>
          <w:sz w:val="22"/>
          <w:szCs w:val="22"/>
        </w:rPr>
        <w:t>a</w:t>
      </w:r>
      <w:r w:rsidRPr="0046695E">
        <w:rPr>
          <w:rFonts w:ascii="Arial" w:eastAsia="Arial" w:hAnsi="Arial" w:cs="Arial"/>
          <w:sz w:val="22"/>
          <w:szCs w:val="22"/>
        </w:rPr>
        <w:t>c</w:t>
      </w:r>
      <w:r w:rsidRPr="00BD17CA">
        <w:rPr>
          <w:rFonts w:ascii="Arial" w:eastAsia="Arial" w:hAnsi="Arial" w:cs="Arial"/>
          <w:sz w:val="22"/>
          <w:szCs w:val="22"/>
        </w:rPr>
        <w:t>t</w:t>
      </w:r>
      <w:r w:rsidRPr="0046695E">
        <w:rPr>
          <w:rFonts w:ascii="Arial" w:eastAsia="Arial" w:hAnsi="Arial" w:cs="Arial"/>
          <w:sz w:val="22"/>
          <w:szCs w:val="22"/>
        </w:rPr>
        <w:t>ica</w:t>
      </w:r>
      <w:r w:rsidRPr="00BD17CA">
        <w:rPr>
          <w:rFonts w:ascii="Arial" w:eastAsia="Arial" w:hAnsi="Arial" w:cs="Arial"/>
          <w:sz w:val="22"/>
          <w:szCs w:val="22"/>
        </w:rPr>
        <w:t>l</w:t>
      </w:r>
      <w:r w:rsidRPr="0046695E">
        <w:rPr>
          <w:rFonts w:ascii="Arial" w:eastAsia="Arial" w:hAnsi="Arial" w:cs="Arial"/>
          <w:sz w:val="22"/>
          <w:szCs w:val="22"/>
        </w:rPr>
        <w:t xml:space="preserve"> Gui</w:t>
      </w:r>
      <w:r w:rsidRPr="00BD17CA">
        <w:rPr>
          <w:rFonts w:ascii="Arial" w:eastAsia="Arial" w:hAnsi="Arial" w:cs="Arial"/>
          <w:sz w:val="22"/>
          <w:szCs w:val="22"/>
        </w:rPr>
        <w:t>d</w:t>
      </w:r>
      <w:r w:rsidRPr="0046695E">
        <w:rPr>
          <w:rFonts w:ascii="Arial" w:eastAsia="Arial" w:hAnsi="Arial" w:cs="Arial"/>
          <w:sz w:val="22"/>
          <w:szCs w:val="22"/>
        </w:rPr>
        <w:t>a</w:t>
      </w:r>
      <w:r w:rsidRPr="00BD17CA">
        <w:rPr>
          <w:rFonts w:ascii="Arial" w:eastAsia="Arial" w:hAnsi="Arial" w:cs="Arial"/>
          <w:sz w:val="22"/>
          <w:szCs w:val="22"/>
        </w:rPr>
        <w:t>n</w:t>
      </w:r>
      <w:r w:rsidRPr="0046695E">
        <w:rPr>
          <w:rFonts w:ascii="Arial" w:eastAsia="Arial" w:hAnsi="Arial" w:cs="Arial"/>
          <w:sz w:val="22"/>
          <w:szCs w:val="22"/>
        </w:rPr>
        <w:t>c</w:t>
      </w:r>
      <w:r w:rsidRPr="00BD17CA">
        <w:rPr>
          <w:rFonts w:ascii="Arial" w:eastAsia="Arial" w:hAnsi="Arial" w:cs="Arial"/>
          <w:sz w:val="22"/>
          <w:szCs w:val="22"/>
        </w:rPr>
        <w:t>e on</w:t>
      </w:r>
      <w:r w:rsidRPr="0046695E">
        <w:rPr>
          <w:rFonts w:ascii="Arial" w:eastAsia="Arial" w:hAnsi="Arial" w:cs="Arial"/>
          <w:sz w:val="22"/>
          <w:szCs w:val="22"/>
        </w:rPr>
        <w:t xml:space="preserve"> </w:t>
      </w:r>
      <w:r w:rsidRPr="00BD17CA">
        <w:rPr>
          <w:rFonts w:ascii="Arial" w:eastAsia="Arial" w:hAnsi="Arial" w:cs="Arial"/>
          <w:sz w:val="22"/>
          <w:szCs w:val="22"/>
        </w:rPr>
        <w:t>I</w:t>
      </w:r>
      <w:r w:rsidRPr="0046695E">
        <w:rPr>
          <w:rFonts w:ascii="Arial" w:eastAsia="Arial" w:hAnsi="Arial" w:cs="Arial"/>
          <w:sz w:val="22"/>
          <w:szCs w:val="22"/>
        </w:rPr>
        <w:t>nv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w:t>
      </w:r>
      <w:r w:rsidRPr="00BD17CA">
        <w:rPr>
          <w:rFonts w:ascii="Arial" w:eastAsia="Arial" w:hAnsi="Arial" w:cs="Arial"/>
          <w:sz w:val="22"/>
          <w:szCs w:val="22"/>
        </w:rPr>
        <w:t>D</w:t>
      </w:r>
      <w:r w:rsidRPr="0046695E">
        <w:rPr>
          <w:rFonts w:ascii="Arial" w:eastAsia="Arial" w:hAnsi="Arial" w:cs="Arial"/>
          <w:sz w:val="22"/>
          <w:szCs w:val="22"/>
        </w:rPr>
        <w:t>iscl</w:t>
      </w:r>
      <w:r w:rsidRPr="00BD17CA">
        <w:rPr>
          <w:rFonts w:ascii="Arial" w:eastAsia="Arial" w:hAnsi="Arial" w:cs="Arial"/>
          <w:sz w:val="22"/>
          <w:szCs w:val="22"/>
        </w:rPr>
        <w:t>o</w:t>
      </w:r>
      <w:r w:rsidRPr="0046695E">
        <w:rPr>
          <w:rFonts w:ascii="Arial" w:eastAsia="Arial" w:hAnsi="Arial" w:cs="Arial"/>
          <w:sz w:val="22"/>
          <w:szCs w:val="22"/>
        </w:rPr>
        <w:t>s</w:t>
      </w:r>
      <w:r w:rsidRPr="00BD17CA">
        <w:rPr>
          <w:rFonts w:ascii="Arial" w:eastAsia="Arial" w:hAnsi="Arial" w:cs="Arial"/>
          <w:sz w:val="22"/>
          <w:szCs w:val="22"/>
        </w:rPr>
        <w:t>ures</w:t>
      </w:r>
      <w:r w:rsidRPr="0046695E">
        <w:rPr>
          <w:rFonts w:ascii="Arial" w:eastAsia="Arial" w:hAnsi="Arial" w:cs="Arial"/>
          <w:sz w:val="22"/>
          <w:szCs w:val="22"/>
        </w:rPr>
        <w:t xml:space="preserve"> </w:t>
      </w:r>
      <w:r w:rsidRPr="00BD17CA">
        <w:rPr>
          <w:rFonts w:ascii="Arial" w:eastAsia="Arial" w:hAnsi="Arial" w:cs="Arial"/>
          <w:sz w:val="22"/>
          <w:szCs w:val="22"/>
        </w:rPr>
        <w:t>(</w:t>
      </w:r>
      <w:r w:rsidRPr="0046695E">
        <w:rPr>
          <w:rFonts w:ascii="Arial" w:eastAsia="Arial" w:hAnsi="Arial" w:cs="Arial"/>
          <w:sz w:val="22"/>
          <w:szCs w:val="22"/>
        </w:rPr>
        <w:t>P</w:t>
      </w:r>
      <w:r w:rsidRPr="00BD17CA">
        <w:rPr>
          <w:rFonts w:ascii="Arial" w:eastAsia="Arial" w:hAnsi="Arial" w:cs="Arial"/>
          <w:sz w:val="22"/>
          <w:szCs w:val="22"/>
        </w:rPr>
        <w:t>R</w:t>
      </w:r>
      <w:r w:rsidRPr="0046695E">
        <w:rPr>
          <w:rFonts w:ascii="Arial" w:eastAsia="Arial" w:hAnsi="Arial" w:cs="Arial"/>
          <w:sz w:val="22"/>
          <w:szCs w:val="22"/>
        </w:rPr>
        <w:t>AG</w:t>
      </w:r>
      <w:r w:rsidRPr="00BD17CA">
        <w:rPr>
          <w:rFonts w:ascii="Arial" w:eastAsia="Arial" w:hAnsi="Arial" w:cs="Arial"/>
          <w:sz w:val="22"/>
          <w:szCs w:val="22"/>
        </w:rPr>
        <w:t>/</w:t>
      </w:r>
      <w:r w:rsidRPr="0046695E">
        <w:rPr>
          <w:rFonts w:ascii="Arial" w:eastAsia="Arial" w:hAnsi="Arial" w:cs="Arial"/>
          <w:sz w:val="22"/>
          <w:szCs w:val="22"/>
        </w:rPr>
        <w:t>I</w:t>
      </w:r>
      <w:r w:rsidRPr="00BD17CA">
        <w:rPr>
          <w:rFonts w:ascii="Arial" w:eastAsia="Arial" w:hAnsi="Arial" w:cs="Arial"/>
          <w:sz w:val="22"/>
          <w:szCs w:val="22"/>
        </w:rPr>
        <w:t>n</w:t>
      </w:r>
      <w:r w:rsidRPr="0046695E">
        <w:rPr>
          <w:rFonts w:ascii="Arial" w:eastAsia="Arial" w:hAnsi="Arial" w:cs="Arial"/>
          <w:sz w:val="22"/>
          <w:szCs w:val="22"/>
        </w:rPr>
        <w:t>v</w:t>
      </w:r>
      <w:r w:rsidRPr="00BD17CA">
        <w:rPr>
          <w:rFonts w:ascii="Arial" w:eastAsia="Arial" w:hAnsi="Arial" w:cs="Arial"/>
          <w:sz w:val="22"/>
          <w:szCs w:val="22"/>
        </w:rPr>
        <w:t>e</w:t>
      </w:r>
      <w:r w:rsidRPr="0046695E">
        <w:rPr>
          <w:rFonts w:ascii="Arial" w:eastAsia="Arial" w:hAnsi="Arial" w:cs="Arial"/>
          <w:sz w:val="22"/>
          <w:szCs w:val="22"/>
        </w:rPr>
        <w:t>s</w:t>
      </w:r>
      <w:r w:rsidRPr="00BD17CA">
        <w:rPr>
          <w:rFonts w:ascii="Arial" w:eastAsia="Arial" w:hAnsi="Arial" w:cs="Arial"/>
          <w:sz w:val="22"/>
          <w:szCs w:val="22"/>
        </w:rPr>
        <w:t>t</w:t>
      </w:r>
      <w:r w:rsidRPr="0046695E">
        <w:rPr>
          <w:rFonts w:ascii="Arial" w:eastAsia="Arial" w:hAnsi="Arial" w:cs="Arial"/>
          <w:sz w:val="22"/>
          <w:szCs w:val="22"/>
        </w:rPr>
        <w:t>m</w:t>
      </w:r>
      <w:r w:rsidRPr="00BD17CA">
        <w:rPr>
          <w:rFonts w:ascii="Arial" w:eastAsia="Arial" w:hAnsi="Arial" w:cs="Arial"/>
          <w:sz w:val="22"/>
          <w:szCs w:val="22"/>
        </w:rPr>
        <w:t>e</w:t>
      </w:r>
      <w:r w:rsidRPr="0046695E">
        <w:rPr>
          <w:rFonts w:ascii="Arial" w:eastAsia="Arial" w:hAnsi="Arial" w:cs="Arial"/>
          <w:sz w:val="22"/>
          <w:szCs w:val="22"/>
        </w:rPr>
        <w:t>n</w:t>
      </w:r>
      <w:r w:rsidRPr="00BD17CA">
        <w:rPr>
          <w:rFonts w:ascii="Arial" w:eastAsia="Arial" w:hAnsi="Arial" w:cs="Arial"/>
          <w:sz w:val="22"/>
          <w:szCs w:val="22"/>
        </w:rPr>
        <w:t>t</w:t>
      </w:r>
      <w:r w:rsidRPr="0046695E">
        <w:rPr>
          <w:rFonts w:ascii="Arial" w:eastAsia="Arial" w:hAnsi="Arial" w:cs="Arial"/>
          <w:sz w:val="22"/>
          <w:szCs w:val="22"/>
        </w:rPr>
        <w:t xml:space="preserve"> Ass</w:t>
      </w:r>
      <w:r w:rsidRPr="00BD17CA">
        <w:rPr>
          <w:rFonts w:ascii="Arial" w:eastAsia="Arial" w:hAnsi="Arial" w:cs="Arial"/>
          <w:sz w:val="22"/>
          <w:szCs w:val="22"/>
        </w:rPr>
        <w:t>o</w:t>
      </w:r>
      <w:r w:rsidRPr="0046695E">
        <w:rPr>
          <w:rFonts w:ascii="Arial" w:eastAsia="Arial" w:hAnsi="Arial" w:cs="Arial"/>
          <w:sz w:val="22"/>
          <w:szCs w:val="22"/>
        </w:rPr>
        <w:t>cia</w:t>
      </w:r>
      <w:r w:rsidRPr="00BD17CA">
        <w:rPr>
          <w:rFonts w:ascii="Arial" w:eastAsia="Arial" w:hAnsi="Arial" w:cs="Arial"/>
          <w:sz w:val="22"/>
          <w:szCs w:val="22"/>
        </w:rPr>
        <w:t>t</w:t>
      </w:r>
      <w:r w:rsidRPr="0046695E">
        <w:rPr>
          <w:rFonts w:ascii="Arial" w:eastAsia="Arial" w:hAnsi="Arial" w:cs="Arial"/>
          <w:sz w:val="22"/>
          <w:szCs w:val="22"/>
        </w:rPr>
        <w:t>i</w:t>
      </w:r>
      <w:r w:rsidRPr="00BD17CA">
        <w:rPr>
          <w:rFonts w:ascii="Arial" w:eastAsia="Arial" w:hAnsi="Arial" w:cs="Arial"/>
          <w:sz w:val="22"/>
          <w:szCs w:val="22"/>
        </w:rPr>
        <w:t>o</w:t>
      </w:r>
      <w:r w:rsidRPr="0046695E">
        <w:rPr>
          <w:rFonts w:ascii="Arial" w:eastAsia="Arial" w:hAnsi="Arial" w:cs="Arial"/>
          <w:sz w:val="22"/>
          <w:szCs w:val="22"/>
        </w:rPr>
        <w:t>n</w:t>
      </w:r>
      <w:r w:rsidRPr="00BD17CA">
        <w:rPr>
          <w:rFonts w:ascii="Arial" w:eastAsia="Arial" w:hAnsi="Arial" w:cs="Arial"/>
          <w:sz w:val="22"/>
          <w:szCs w:val="22"/>
        </w:rPr>
        <w:t>,</w:t>
      </w:r>
      <w:r w:rsidRPr="0046695E">
        <w:rPr>
          <w:rFonts w:ascii="Arial" w:eastAsia="Arial" w:hAnsi="Arial" w:cs="Arial"/>
          <w:sz w:val="22"/>
          <w:szCs w:val="22"/>
        </w:rPr>
        <w:t xml:space="preserve"> 20</w:t>
      </w:r>
      <w:r w:rsidRPr="00BD17CA">
        <w:rPr>
          <w:rFonts w:ascii="Arial" w:eastAsia="Arial" w:hAnsi="Arial" w:cs="Arial"/>
          <w:sz w:val="22"/>
          <w:szCs w:val="22"/>
        </w:rPr>
        <w:t>1</w:t>
      </w:r>
      <w:r w:rsidRPr="0046695E">
        <w:rPr>
          <w:rFonts w:ascii="Arial" w:eastAsia="Arial" w:hAnsi="Arial" w:cs="Arial"/>
          <w:sz w:val="22"/>
          <w:szCs w:val="22"/>
        </w:rPr>
        <w:t>6)</w:t>
      </w:r>
      <w:r w:rsidRPr="00BD17CA">
        <w:rPr>
          <w:rFonts w:ascii="Arial" w:eastAsia="Arial" w:hAnsi="Arial" w:cs="Arial"/>
          <w:sz w:val="22"/>
          <w:szCs w:val="22"/>
        </w:rPr>
        <w:t>.</w:t>
      </w:r>
    </w:p>
    <w:p w14:paraId="5D09DDA7" w14:textId="768704D7" w:rsidR="009C7422" w:rsidRPr="0046695E" w:rsidRDefault="00094814" w:rsidP="0046695E">
      <w:pPr>
        <w:spacing w:after="200" w:line="276" w:lineRule="auto"/>
        <w:ind w:right="74"/>
        <w:jc w:val="both"/>
        <w:rPr>
          <w:rFonts w:ascii="Arial" w:eastAsia="Arial" w:hAnsi="Arial" w:cs="Arial"/>
          <w:b/>
          <w:sz w:val="22"/>
          <w:szCs w:val="22"/>
        </w:rPr>
      </w:pPr>
      <w:r>
        <w:rPr>
          <w:rFonts w:ascii="Arial" w:eastAsia="Arial" w:hAnsi="Arial" w:cs="Arial"/>
          <w:b/>
          <w:sz w:val="22"/>
          <w:szCs w:val="22"/>
        </w:rPr>
        <w:t>h</w:t>
      </w:r>
      <w:r w:rsidR="001706EB" w:rsidRPr="00BD17CA">
        <w:rPr>
          <w:rFonts w:ascii="Arial" w:eastAsia="Arial" w:hAnsi="Arial" w:cs="Arial"/>
          <w:b/>
          <w:sz w:val="22"/>
          <w:szCs w:val="22"/>
        </w:rPr>
        <w:t>)</w:t>
      </w:r>
      <w:r w:rsidR="001706EB" w:rsidRPr="0046695E">
        <w:rPr>
          <w:rFonts w:ascii="Arial" w:eastAsia="Arial" w:hAnsi="Arial" w:cs="Arial"/>
          <w:b/>
          <w:sz w:val="22"/>
          <w:szCs w:val="22"/>
        </w:rPr>
        <w:t xml:space="preserve"> </w:t>
      </w:r>
      <w:r w:rsidR="001706EB" w:rsidRPr="00BD17CA">
        <w:rPr>
          <w:rFonts w:ascii="Arial" w:eastAsia="Arial" w:hAnsi="Arial" w:cs="Arial"/>
          <w:b/>
          <w:sz w:val="22"/>
          <w:szCs w:val="22"/>
        </w:rPr>
        <w:t>F</w:t>
      </w:r>
      <w:r w:rsidR="001706EB" w:rsidRPr="0046695E">
        <w:rPr>
          <w:rFonts w:ascii="Arial" w:eastAsia="Arial" w:hAnsi="Arial" w:cs="Arial"/>
          <w:b/>
          <w:sz w:val="22"/>
          <w:szCs w:val="22"/>
        </w:rPr>
        <w:t>or</w:t>
      </w:r>
      <w:r w:rsidR="001706EB" w:rsidRPr="00BD17CA">
        <w:rPr>
          <w:rFonts w:ascii="Arial" w:eastAsia="Arial" w:hAnsi="Arial" w:cs="Arial"/>
          <w:b/>
          <w:sz w:val="22"/>
          <w:szCs w:val="22"/>
        </w:rPr>
        <w:t>eign</w:t>
      </w:r>
      <w:r w:rsidR="001706EB" w:rsidRPr="0046695E">
        <w:rPr>
          <w:rFonts w:ascii="Arial" w:eastAsia="Arial" w:hAnsi="Arial" w:cs="Arial"/>
          <w:b/>
          <w:sz w:val="22"/>
          <w:szCs w:val="22"/>
        </w:rPr>
        <w:t xml:space="preserve"> </w:t>
      </w:r>
      <w:r w:rsidR="001706EB" w:rsidRPr="00BD17CA">
        <w:rPr>
          <w:rFonts w:ascii="Arial" w:eastAsia="Arial" w:hAnsi="Arial" w:cs="Arial"/>
          <w:b/>
          <w:sz w:val="22"/>
          <w:szCs w:val="22"/>
        </w:rPr>
        <w:t>cu</w:t>
      </w:r>
      <w:r w:rsidR="001706EB" w:rsidRPr="0046695E">
        <w:rPr>
          <w:rFonts w:ascii="Arial" w:eastAsia="Arial" w:hAnsi="Arial" w:cs="Arial"/>
          <w:b/>
          <w:sz w:val="22"/>
          <w:szCs w:val="22"/>
        </w:rPr>
        <w:t>rr</w:t>
      </w:r>
      <w:r w:rsidR="001706EB" w:rsidRPr="00BD17CA">
        <w:rPr>
          <w:rFonts w:ascii="Arial" w:eastAsia="Arial" w:hAnsi="Arial" w:cs="Arial"/>
          <w:b/>
          <w:sz w:val="22"/>
          <w:szCs w:val="22"/>
        </w:rPr>
        <w:t>e</w:t>
      </w:r>
      <w:r w:rsidR="001706EB" w:rsidRPr="0046695E">
        <w:rPr>
          <w:rFonts w:ascii="Arial" w:eastAsia="Arial" w:hAnsi="Arial" w:cs="Arial"/>
          <w:b/>
          <w:sz w:val="22"/>
          <w:szCs w:val="22"/>
        </w:rPr>
        <w:t>nc</w:t>
      </w:r>
      <w:r w:rsidR="001706EB" w:rsidRPr="00BD17CA">
        <w:rPr>
          <w:rFonts w:ascii="Arial" w:eastAsia="Arial" w:hAnsi="Arial" w:cs="Arial"/>
          <w:b/>
          <w:sz w:val="22"/>
          <w:szCs w:val="22"/>
        </w:rPr>
        <w:t>y</w:t>
      </w:r>
      <w:r w:rsidR="001706EB" w:rsidRPr="0046695E">
        <w:rPr>
          <w:rFonts w:ascii="Arial" w:eastAsia="Arial" w:hAnsi="Arial" w:cs="Arial"/>
          <w:b/>
          <w:sz w:val="22"/>
          <w:szCs w:val="22"/>
        </w:rPr>
        <w:t xml:space="preserve"> </w:t>
      </w:r>
      <w:r w:rsidR="001706EB" w:rsidRPr="00BD17CA">
        <w:rPr>
          <w:rFonts w:ascii="Arial" w:eastAsia="Arial" w:hAnsi="Arial" w:cs="Arial"/>
          <w:b/>
          <w:sz w:val="22"/>
          <w:szCs w:val="22"/>
        </w:rPr>
        <w:t>t</w:t>
      </w:r>
      <w:r w:rsidR="001706EB" w:rsidRPr="0046695E">
        <w:rPr>
          <w:rFonts w:ascii="Arial" w:eastAsia="Arial" w:hAnsi="Arial" w:cs="Arial"/>
          <w:b/>
          <w:sz w:val="22"/>
          <w:szCs w:val="22"/>
        </w:rPr>
        <w:t>r</w:t>
      </w:r>
      <w:r w:rsidR="001706EB" w:rsidRPr="00BD17CA">
        <w:rPr>
          <w:rFonts w:ascii="Arial" w:eastAsia="Arial" w:hAnsi="Arial" w:cs="Arial"/>
          <w:b/>
          <w:sz w:val="22"/>
          <w:szCs w:val="22"/>
        </w:rPr>
        <w:t>an</w:t>
      </w:r>
      <w:r w:rsidR="001706EB" w:rsidRPr="0046695E">
        <w:rPr>
          <w:rFonts w:ascii="Arial" w:eastAsia="Arial" w:hAnsi="Arial" w:cs="Arial"/>
          <w:b/>
          <w:sz w:val="22"/>
          <w:szCs w:val="22"/>
        </w:rPr>
        <w:t>s</w:t>
      </w:r>
      <w:r w:rsidR="001706EB" w:rsidRPr="00BD17CA">
        <w:rPr>
          <w:rFonts w:ascii="Arial" w:eastAsia="Arial" w:hAnsi="Arial" w:cs="Arial"/>
          <w:b/>
          <w:sz w:val="22"/>
          <w:szCs w:val="22"/>
        </w:rPr>
        <w:t>a</w:t>
      </w:r>
      <w:r w:rsidR="001706EB" w:rsidRPr="0046695E">
        <w:rPr>
          <w:rFonts w:ascii="Arial" w:eastAsia="Arial" w:hAnsi="Arial" w:cs="Arial"/>
          <w:b/>
          <w:sz w:val="22"/>
          <w:szCs w:val="22"/>
        </w:rPr>
        <w:t>ct</w:t>
      </w:r>
      <w:r w:rsidR="001706EB" w:rsidRPr="00BD17CA">
        <w:rPr>
          <w:rFonts w:ascii="Arial" w:eastAsia="Arial" w:hAnsi="Arial" w:cs="Arial"/>
          <w:b/>
          <w:sz w:val="22"/>
          <w:szCs w:val="22"/>
        </w:rPr>
        <w:t>io</w:t>
      </w:r>
      <w:r w:rsidR="001706EB" w:rsidRPr="0046695E">
        <w:rPr>
          <w:rFonts w:ascii="Arial" w:eastAsia="Arial" w:hAnsi="Arial" w:cs="Arial"/>
          <w:b/>
          <w:sz w:val="22"/>
          <w:szCs w:val="22"/>
        </w:rPr>
        <w:t>n</w:t>
      </w:r>
      <w:r w:rsidR="001706EB" w:rsidRPr="00BD17CA">
        <w:rPr>
          <w:rFonts w:ascii="Arial" w:eastAsia="Arial" w:hAnsi="Arial" w:cs="Arial"/>
          <w:b/>
          <w:sz w:val="22"/>
          <w:szCs w:val="22"/>
        </w:rPr>
        <w:t>s</w:t>
      </w:r>
    </w:p>
    <w:p w14:paraId="5E89429B" w14:textId="77777777" w:rsidR="009C7422" w:rsidRPr="00BD17CA" w:rsidRDefault="001706EB" w:rsidP="00094814">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D</w:t>
      </w:r>
      <w:r w:rsidRPr="00094814">
        <w:rPr>
          <w:rFonts w:ascii="Arial" w:eastAsia="Arial" w:hAnsi="Arial" w:cs="Arial"/>
          <w:sz w:val="22"/>
          <w:szCs w:val="22"/>
        </w:rPr>
        <w:t>ivid</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s</w:t>
      </w:r>
      <w:r w:rsidRPr="00BD17CA">
        <w:rPr>
          <w:rFonts w:ascii="Arial" w:eastAsia="Arial" w:hAnsi="Arial" w:cs="Arial"/>
          <w:sz w:val="22"/>
          <w:szCs w:val="22"/>
        </w:rPr>
        <w:t>,</w:t>
      </w:r>
      <w:r w:rsidRPr="00094814">
        <w:rPr>
          <w:rFonts w:ascii="Arial" w:eastAsia="Arial" w:hAnsi="Arial" w:cs="Arial"/>
          <w:sz w:val="22"/>
          <w:szCs w:val="22"/>
        </w:rPr>
        <w:t xml:space="preserve"> i</w:t>
      </w:r>
      <w:r w:rsidRPr="00BD17CA">
        <w:rPr>
          <w:rFonts w:ascii="Arial" w:eastAsia="Arial" w:hAnsi="Arial" w:cs="Arial"/>
          <w:sz w:val="22"/>
          <w:szCs w:val="22"/>
        </w:rPr>
        <w:t>nt</w:t>
      </w:r>
      <w:r w:rsidRPr="00094814">
        <w:rPr>
          <w:rFonts w:ascii="Arial" w:eastAsia="Arial" w:hAnsi="Arial" w:cs="Arial"/>
          <w:sz w:val="22"/>
          <w:szCs w:val="22"/>
        </w:rPr>
        <w:t>er</w:t>
      </w:r>
      <w:r w:rsidRPr="00BD17CA">
        <w:rPr>
          <w:rFonts w:ascii="Arial" w:eastAsia="Arial" w:hAnsi="Arial" w:cs="Arial"/>
          <w:sz w:val="22"/>
          <w:szCs w:val="22"/>
        </w:rPr>
        <w:t>e</w:t>
      </w:r>
      <w:r w:rsidRPr="00094814">
        <w:rPr>
          <w:rFonts w:ascii="Arial" w:eastAsia="Arial" w:hAnsi="Arial" w:cs="Arial"/>
          <w:sz w:val="22"/>
          <w:szCs w:val="22"/>
        </w:rPr>
        <w:t>s</w:t>
      </w:r>
      <w:r w:rsidRPr="00BD17CA">
        <w:rPr>
          <w:rFonts w:ascii="Arial" w:eastAsia="Arial" w:hAnsi="Arial" w:cs="Arial"/>
          <w:sz w:val="22"/>
          <w:szCs w:val="22"/>
        </w:rPr>
        <w:t>t</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 xml:space="preserve"> </w:t>
      </w:r>
      <w:r w:rsidRPr="00BD17CA">
        <w:rPr>
          <w:rFonts w:ascii="Arial" w:eastAsia="Arial" w:hAnsi="Arial" w:cs="Arial"/>
          <w:sz w:val="22"/>
          <w:szCs w:val="22"/>
        </w:rPr>
        <w:t>p</w:t>
      </w:r>
      <w:r w:rsidRPr="00094814">
        <w:rPr>
          <w:rFonts w:ascii="Arial" w:eastAsia="Arial" w:hAnsi="Arial" w:cs="Arial"/>
          <w:sz w:val="22"/>
          <w:szCs w:val="22"/>
        </w:rPr>
        <w:t>urc</w:t>
      </w:r>
      <w:r w:rsidRPr="00BD17CA">
        <w:rPr>
          <w:rFonts w:ascii="Arial" w:eastAsia="Arial" w:hAnsi="Arial" w:cs="Arial"/>
          <w:sz w:val="22"/>
          <w:szCs w:val="22"/>
        </w:rPr>
        <w:t>h</w:t>
      </w:r>
      <w:r w:rsidRPr="00094814">
        <w:rPr>
          <w:rFonts w:ascii="Arial" w:eastAsia="Arial" w:hAnsi="Arial" w:cs="Arial"/>
          <w:sz w:val="22"/>
          <w:szCs w:val="22"/>
        </w:rPr>
        <w:t>as</w:t>
      </w:r>
      <w:r w:rsidRPr="00BD17CA">
        <w:rPr>
          <w:rFonts w:ascii="Arial" w:eastAsia="Arial" w:hAnsi="Arial" w:cs="Arial"/>
          <w:sz w:val="22"/>
          <w:szCs w:val="22"/>
        </w:rPr>
        <w:t>es</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 xml:space="preserve"> sal</w:t>
      </w:r>
      <w:r w:rsidRPr="00BD17CA">
        <w:rPr>
          <w:rFonts w:ascii="Arial" w:eastAsia="Arial" w:hAnsi="Arial" w:cs="Arial"/>
          <w:sz w:val="22"/>
          <w:szCs w:val="22"/>
        </w:rPr>
        <w:t>es</w:t>
      </w:r>
      <w:r w:rsidRPr="00094814">
        <w:rPr>
          <w:rFonts w:ascii="Arial" w:eastAsia="Arial" w:hAnsi="Arial" w:cs="Arial"/>
          <w:sz w:val="22"/>
          <w:szCs w:val="22"/>
        </w:rPr>
        <w:t xml:space="preserve"> </w:t>
      </w:r>
      <w:r w:rsidRPr="00BD17CA">
        <w:rPr>
          <w:rFonts w:ascii="Arial" w:eastAsia="Arial" w:hAnsi="Arial" w:cs="Arial"/>
          <w:sz w:val="22"/>
          <w:szCs w:val="22"/>
        </w:rPr>
        <w:t>of</w:t>
      </w:r>
      <w:r w:rsidRPr="00094814">
        <w:rPr>
          <w:rFonts w:ascii="Arial" w:eastAsia="Arial" w:hAnsi="Arial" w:cs="Arial"/>
          <w:sz w:val="22"/>
          <w:szCs w:val="22"/>
        </w:rPr>
        <w:t xml:space="preserve"> inv</w:t>
      </w:r>
      <w:r w:rsidRPr="00BD17CA">
        <w:rPr>
          <w:rFonts w:ascii="Arial" w:eastAsia="Arial" w:hAnsi="Arial" w:cs="Arial"/>
          <w:sz w:val="22"/>
          <w:szCs w:val="22"/>
        </w:rPr>
        <w:t>e</w:t>
      </w:r>
      <w:r w:rsidRPr="00094814">
        <w:rPr>
          <w:rFonts w:ascii="Arial" w:eastAsia="Arial" w:hAnsi="Arial" w:cs="Arial"/>
          <w:sz w:val="22"/>
          <w:szCs w:val="22"/>
        </w:rPr>
        <w:t>stm</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ts</w:t>
      </w:r>
      <w:r w:rsidRPr="00094814">
        <w:rPr>
          <w:rFonts w:ascii="Arial" w:eastAsia="Arial" w:hAnsi="Arial" w:cs="Arial"/>
          <w:sz w:val="22"/>
          <w:szCs w:val="22"/>
        </w:rPr>
        <w:t xml:space="preserve"> i</w:t>
      </w:r>
      <w:r w:rsidRPr="00BD17CA">
        <w:rPr>
          <w:rFonts w:ascii="Arial" w:eastAsia="Arial" w:hAnsi="Arial" w:cs="Arial"/>
          <w:sz w:val="22"/>
          <w:szCs w:val="22"/>
        </w:rPr>
        <w:t>n</w:t>
      </w:r>
      <w:r w:rsidRPr="00094814">
        <w:rPr>
          <w:rFonts w:ascii="Arial" w:eastAsia="Arial" w:hAnsi="Arial" w:cs="Arial"/>
          <w:sz w:val="22"/>
          <w:szCs w:val="22"/>
        </w:rPr>
        <w:t xml:space="preserve"> f</w:t>
      </w:r>
      <w:r w:rsidRPr="00BD17CA">
        <w:rPr>
          <w:rFonts w:ascii="Arial" w:eastAsia="Arial" w:hAnsi="Arial" w:cs="Arial"/>
          <w:sz w:val="22"/>
          <w:szCs w:val="22"/>
        </w:rPr>
        <w:t>ore</w:t>
      </w:r>
      <w:r w:rsidRPr="00094814">
        <w:rPr>
          <w:rFonts w:ascii="Arial" w:eastAsia="Arial" w:hAnsi="Arial" w:cs="Arial"/>
          <w:sz w:val="22"/>
          <w:szCs w:val="22"/>
        </w:rPr>
        <w:t>i</w:t>
      </w:r>
      <w:r w:rsidRPr="00BD17CA">
        <w:rPr>
          <w:rFonts w:ascii="Arial" w:eastAsia="Arial" w:hAnsi="Arial" w:cs="Arial"/>
          <w:sz w:val="22"/>
          <w:szCs w:val="22"/>
        </w:rPr>
        <w:t>gn</w:t>
      </w:r>
      <w:r w:rsidRPr="00094814">
        <w:rPr>
          <w:rFonts w:ascii="Arial" w:eastAsia="Arial" w:hAnsi="Arial" w:cs="Arial"/>
          <w:sz w:val="22"/>
          <w:szCs w:val="22"/>
        </w:rPr>
        <w:t xml:space="preserve"> c</w:t>
      </w:r>
      <w:r w:rsidRPr="00BD17CA">
        <w:rPr>
          <w:rFonts w:ascii="Arial" w:eastAsia="Arial" w:hAnsi="Arial" w:cs="Arial"/>
          <w:sz w:val="22"/>
          <w:szCs w:val="22"/>
        </w:rPr>
        <w:t>ur</w:t>
      </w:r>
      <w:r w:rsidRPr="00094814">
        <w:rPr>
          <w:rFonts w:ascii="Arial" w:eastAsia="Arial" w:hAnsi="Arial" w:cs="Arial"/>
          <w:sz w:val="22"/>
          <w:szCs w:val="22"/>
        </w:rPr>
        <w:t>re</w:t>
      </w:r>
      <w:r w:rsidRPr="00BD17CA">
        <w:rPr>
          <w:rFonts w:ascii="Arial" w:eastAsia="Arial" w:hAnsi="Arial" w:cs="Arial"/>
          <w:sz w:val="22"/>
          <w:szCs w:val="22"/>
        </w:rPr>
        <w:t>n</w:t>
      </w:r>
      <w:r w:rsidRPr="00094814">
        <w:rPr>
          <w:rFonts w:ascii="Arial" w:eastAsia="Arial" w:hAnsi="Arial" w:cs="Arial"/>
          <w:sz w:val="22"/>
          <w:szCs w:val="22"/>
        </w:rPr>
        <w:t>ci</w:t>
      </w:r>
      <w:r w:rsidRPr="00BD17CA">
        <w:rPr>
          <w:rFonts w:ascii="Arial" w:eastAsia="Arial" w:hAnsi="Arial" w:cs="Arial"/>
          <w:sz w:val="22"/>
          <w:szCs w:val="22"/>
        </w:rPr>
        <w:t>es</w:t>
      </w:r>
      <w:r w:rsidRPr="00094814">
        <w:rPr>
          <w:rFonts w:ascii="Arial" w:eastAsia="Arial" w:hAnsi="Arial" w:cs="Arial"/>
          <w:sz w:val="22"/>
          <w:szCs w:val="22"/>
        </w:rPr>
        <w:t xml:space="preserve"> </w:t>
      </w:r>
      <w:r w:rsidRPr="00BD17CA">
        <w:rPr>
          <w:rFonts w:ascii="Arial" w:eastAsia="Arial" w:hAnsi="Arial" w:cs="Arial"/>
          <w:sz w:val="22"/>
          <w:szCs w:val="22"/>
        </w:rPr>
        <w:t>h</w:t>
      </w:r>
      <w:r w:rsidRPr="00094814">
        <w:rPr>
          <w:rFonts w:ascii="Arial" w:eastAsia="Arial" w:hAnsi="Arial" w:cs="Arial"/>
          <w:sz w:val="22"/>
          <w:szCs w:val="22"/>
        </w:rPr>
        <w:t>av</w:t>
      </w:r>
      <w:r w:rsidRPr="00BD17CA">
        <w:rPr>
          <w:rFonts w:ascii="Arial" w:eastAsia="Arial" w:hAnsi="Arial" w:cs="Arial"/>
          <w:sz w:val="22"/>
          <w:szCs w:val="22"/>
        </w:rPr>
        <w:t>e</w:t>
      </w:r>
      <w:r w:rsidRPr="00094814">
        <w:rPr>
          <w:rFonts w:ascii="Arial" w:eastAsia="Arial" w:hAnsi="Arial" w:cs="Arial"/>
          <w:sz w:val="22"/>
          <w:szCs w:val="22"/>
        </w:rPr>
        <w:t xml:space="preserve"> b</w:t>
      </w:r>
      <w:r w:rsidRPr="00BD17CA">
        <w:rPr>
          <w:rFonts w:ascii="Arial" w:eastAsia="Arial" w:hAnsi="Arial" w:cs="Arial"/>
          <w:sz w:val="22"/>
          <w:szCs w:val="22"/>
        </w:rPr>
        <w:t>e</w:t>
      </w:r>
      <w:r w:rsidRPr="00094814">
        <w:rPr>
          <w:rFonts w:ascii="Arial" w:eastAsia="Arial" w:hAnsi="Arial" w:cs="Arial"/>
          <w:sz w:val="22"/>
          <w:szCs w:val="22"/>
        </w:rPr>
        <w:t>e</w:t>
      </w:r>
      <w:r w:rsidRPr="00BD17CA">
        <w:rPr>
          <w:rFonts w:ascii="Arial" w:eastAsia="Arial" w:hAnsi="Arial" w:cs="Arial"/>
          <w:sz w:val="22"/>
          <w:szCs w:val="22"/>
        </w:rPr>
        <w:t>n</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cc</w:t>
      </w:r>
      <w:r w:rsidRPr="00BD17CA">
        <w:rPr>
          <w:rFonts w:ascii="Arial" w:eastAsia="Arial" w:hAnsi="Arial" w:cs="Arial"/>
          <w:sz w:val="22"/>
          <w:szCs w:val="22"/>
        </w:rPr>
        <w:t>o</w:t>
      </w:r>
      <w:r w:rsidRPr="00094814">
        <w:rPr>
          <w:rFonts w:ascii="Arial" w:eastAsia="Arial" w:hAnsi="Arial" w:cs="Arial"/>
          <w:sz w:val="22"/>
          <w:szCs w:val="22"/>
        </w:rPr>
        <w:t>u</w:t>
      </w:r>
      <w:r w:rsidRPr="00BD17CA">
        <w:rPr>
          <w:rFonts w:ascii="Arial" w:eastAsia="Arial" w:hAnsi="Arial" w:cs="Arial"/>
          <w:sz w:val="22"/>
          <w:szCs w:val="22"/>
        </w:rPr>
        <w:t>nt</w:t>
      </w:r>
      <w:r w:rsidRPr="00094814">
        <w:rPr>
          <w:rFonts w:ascii="Arial" w:eastAsia="Arial" w:hAnsi="Arial" w:cs="Arial"/>
          <w:sz w:val="22"/>
          <w:szCs w:val="22"/>
        </w:rPr>
        <w:t>e</w:t>
      </w:r>
      <w:r w:rsidRPr="00BD17CA">
        <w:rPr>
          <w:rFonts w:ascii="Arial" w:eastAsia="Arial" w:hAnsi="Arial" w:cs="Arial"/>
          <w:sz w:val="22"/>
          <w:szCs w:val="22"/>
        </w:rPr>
        <w:t xml:space="preserve">d </w:t>
      </w:r>
      <w:r w:rsidRPr="00094814">
        <w:rPr>
          <w:rFonts w:ascii="Arial" w:eastAsia="Arial" w:hAnsi="Arial" w:cs="Arial"/>
          <w:sz w:val="22"/>
          <w:szCs w:val="22"/>
        </w:rPr>
        <w:t>f</w:t>
      </w:r>
      <w:r w:rsidRPr="00BD17CA">
        <w:rPr>
          <w:rFonts w:ascii="Arial" w:eastAsia="Arial" w:hAnsi="Arial" w:cs="Arial"/>
          <w:sz w:val="22"/>
          <w:szCs w:val="22"/>
        </w:rPr>
        <w:t>or</w:t>
      </w:r>
      <w:r w:rsidRPr="00094814">
        <w:rPr>
          <w:rFonts w:ascii="Arial" w:eastAsia="Arial" w:hAnsi="Arial" w:cs="Arial"/>
          <w:sz w:val="22"/>
          <w:szCs w:val="22"/>
        </w:rPr>
        <w:t xml:space="preserve"> </w:t>
      </w:r>
      <w:r w:rsidRPr="00BD17CA">
        <w:rPr>
          <w:rFonts w:ascii="Arial" w:eastAsia="Arial" w:hAnsi="Arial" w:cs="Arial"/>
          <w:sz w:val="22"/>
          <w:szCs w:val="22"/>
        </w:rPr>
        <w:t>at the</w:t>
      </w:r>
      <w:r w:rsidRPr="00094814">
        <w:rPr>
          <w:rFonts w:ascii="Arial" w:eastAsia="Arial" w:hAnsi="Arial" w:cs="Arial"/>
          <w:sz w:val="22"/>
          <w:szCs w:val="22"/>
        </w:rPr>
        <w:t xml:space="preserve"> sp</w:t>
      </w:r>
      <w:r w:rsidRPr="00BD17CA">
        <w:rPr>
          <w:rFonts w:ascii="Arial" w:eastAsia="Arial" w:hAnsi="Arial" w:cs="Arial"/>
          <w:sz w:val="22"/>
          <w:szCs w:val="22"/>
        </w:rPr>
        <w:t>ot</w:t>
      </w:r>
      <w:r w:rsidRPr="00094814">
        <w:rPr>
          <w:rFonts w:ascii="Arial" w:eastAsia="Arial" w:hAnsi="Arial" w:cs="Arial"/>
          <w:sz w:val="22"/>
          <w:szCs w:val="22"/>
        </w:rPr>
        <w:t xml:space="preserve"> r</w:t>
      </w:r>
      <w:r w:rsidRPr="00BD17CA">
        <w:rPr>
          <w:rFonts w:ascii="Arial" w:eastAsia="Arial" w:hAnsi="Arial" w:cs="Arial"/>
          <w:sz w:val="22"/>
          <w:szCs w:val="22"/>
        </w:rPr>
        <w:t>at</w:t>
      </w:r>
      <w:r w:rsidRPr="00094814">
        <w:rPr>
          <w:rFonts w:ascii="Arial" w:eastAsia="Arial" w:hAnsi="Arial" w:cs="Arial"/>
          <w:sz w:val="22"/>
          <w:szCs w:val="22"/>
        </w:rPr>
        <w:t>e</w:t>
      </w:r>
      <w:r w:rsidRPr="00BD17CA">
        <w:rPr>
          <w:rFonts w:ascii="Arial" w:eastAsia="Arial" w:hAnsi="Arial" w:cs="Arial"/>
          <w:sz w:val="22"/>
          <w:szCs w:val="22"/>
        </w:rPr>
        <w:t>s</w:t>
      </w:r>
      <w:r w:rsidRPr="00094814">
        <w:rPr>
          <w:rFonts w:ascii="Arial" w:eastAsia="Arial" w:hAnsi="Arial" w:cs="Arial"/>
          <w:sz w:val="22"/>
          <w:szCs w:val="22"/>
        </w:rPr>
        <w:t xml:space="preserve"> </w:t>
      </w:r>
      <w:r w:rsidRPr="00BD17CA">
        <w:rPr>
          <w:rFonts w:ascii="Arial" w:eastAsia="Arial" w:hAnsi="Arial" w:cs="Arial"/>
          <w:sz w:val="22"/>
          <w:szCs w:val="22"/>
        </w:rPr>
        <w:t>at</w:t>
      </w:r>
      <w:r w:rsidRPr="00094814">
        <w:rPr>
          <w:rFonts w:ascii="Arial" w:eastAsia="Arial" w:hAnsi="Arial" w:cs="Arial"/>
          <w:sz w:val="22"/>
          <w:szCs w:val="22"/>
        </w:rPr>
        <w:t xml:space="preserve"> </w:t>
      </w:r>
      <w:r w:rsidRPr="00BD17CA">
        <w:rPr>
          <w:rFonts w:ascii="Arial" w:eastAsia="Arial" w:hAnsi="Arial" w:cs="Arial"/>
          <w:sz w:val="22"/>
          <w:szCs w:val="22"/>
        </w:rPr>
        <w:t>t</w:t>
      </w:r>
      <w:r w:rsidRPr="00094814">
        <w:rPr>
          <w:rFonts w:ascii="Arial" w:eastAsia="Arial" w:hAnsi="Arial" w:cs="Arial"/>
          <w:sz w:val="22"/>
          <w:szCs w:val="22"/>
        </w:rPr>
        <w:t>h</w:t>
      </w:r>
      <w:r w:rsidRPr="00BD17CA">
        <w:rPr>
          <w:rFonts w:ascii="Arial" w:eastAsia="Arial" w:hAnsi="Arial" w:cs="Arial"/>
          <w:sz w:val="22"/>
          <w:szCs w:val="22"/>
        </w:rPr>
        <w:t>e</w:t>
      </w:r>
      <w:r w:rsidRPr="00094814">
        <w:rPr>
          <w:rFonts w:ascii="Arial" w:eastAsia="Arial" w:hAnsi="Arial" w:cs="Arial"/>
          <w:sz w:val="22"/>
          <w:szCs w:val="22"/>
        </w:rPr>
        <w:t xml:space="preserve"> d</w:t>
      </w:r>
      <w:r w:rsidRPr="00BD17CA">
        <w:rPr>
          <w:rFonts w:ascii="Arial" w:eastAsia="Arial" w:hAnsi="Arial" w:cs="Arial"/>
          <w:sz w:val="22"/>
          <w:szCs w:val="22"/>
        </w:rPr>
        <w:t>ate</w:t>
      </w:r>
      <w:r w:rsidRPr="00094814">
        <w:rPr>
          <w:rFonts w:ascii="Arial" w:eastAsia="Arial" w:hAnsi="Arial" w:cs="Arial"/>
          <w:sz w:val="22"/>
          <w:szCs w:val="22"/>
        </w:rPr>
        <w:t xml:space="preserve"> </w:t>
      </w:r>
      <w:r w:rsidRPr="00BD17CA">
        <w:rPr>
          <w:rFonts w:ascii="Arial" w:eastAsia="Arial" w:hAnsi="Arial" w:cs="Arial"/>
          <w:sz w:val="22"/>
          <w:szCs w:val="22"/>
        </w:rPr>
        <w:t>of</w:t>
      </w:r>
      <w:r w:rsidRPr="00094814">
        <w:rPr>
          <w:rFonts w:ascii="Arial" w:eastAsia="Arial" w:hAnsi="Arial" w:cs="Arial"/>
          <w:sz w:val="22"/>
          <w:szCs w:val="22"/>
        </w:rPr>
        <w:t xml:space="preserve"> </w:t>
      </w:r>
      <w:r w:rsidRPr="00BD17CA">
        <w:rPr>
          <w:rFonts w:ascii="Arial" w:eastAsia="Arial" w:hAnsi="Arial" w:cs="Arial"/>
          <w:sz w:val="22"/>
          <w:szCs w:val="22"/>
        </w:rPr>
        <w:t>tra</w:t>
      </w:r>
      <w:r w:rsidRPr="00094814">
        <w:rPr>
          <w:rFonts w:ascii="Arial" w:eastAsia="Arial" w:hAnsi="Arial" w:cs="Arial"/>
          <w:sz w:val="22"/>
          <w:szCs w:val="22"/>
        </w:rPr>
        <w:t>ns</w:t>
      </w:r>
      <w:r w:rsidRPr="00BD17CA">
        <w:rPr>
          <w:rFonts w:ascii="Arial" w:eastAsia="Arial" w:hAnsi="Arial" w:cs="Arial"/>
          <w:sz w:val="22"/>
          <w:szCs w:val="22"/>
        </w:rPr>
        <w:t>a</w:t>
      </w:r>
      <w:r w:rsidRPr="00094814">
        <w:rPr>
          <w:rFonts w:ascii="Arial" w:eastAsia="Arial" w:hAnsi="Arial" w:cs="Arial"/>
          <w:sz w:val="22"/>
          <w:szCs w:val="22"/>
        </w:rPr>
        <w:t>cti</w:t>
      </w:r>
      <w:r w:rsidRPr="00BD17CA">
        <w:rPr>
          <w:rFonts w:ascii="Arial" w:eastAsia="Arial" w:hAnsi="Arial" w:cs="Arial"/>
          <w:sz w:val="22"/>
          <w:szCs w:val="22"/>
        </w:rPr>
        <w:t>o</w:t>
      </w:r>
      <w:r w:rsidRPr="00094814">
        <w:rPr>
          <w:rFonts w:ascii="Arial" w:eastAsia="Arial" w:hAnsi="Arial" w:cs="Arial"/>
          <w:sz w:val="22"/>
          <w:szCs w:val="22"/>
        </w:rPr>
        <w:t>n</w:t>
      </w:r>
      <w:r w:rsidRPr="00BD17CA">
        <w:rPr>
          <w:rFonts w:ascii="Arial" w:eastAsia="Arial" w:hAnsi="Arial" w:cs="Arial"/>
          <w:sz w:val="22"/>
          <w:szCs w:val="22"/>
        </w:rPr>
        <w:t>.</w:t>
      </w:r>
      <w:r w:rsidRPr="00094814">
        <w:rPr>
          <w:rFonts w:ascii="Arial" w:eastAsia="Arial" w:hAnsi="Arial" w:cs="Arial"/>
          <w:sz w:val="22"/>
          <w:szCs w:val="22"/>
        </w:rPr>
        <w:t xml:space="preserve"> E</w:t>
      </w:r>
      <w:r w:rsidRPr="00BD17CA">
        <w:rPr>
          <w:rFonts w:ascii="Arial" w:eastAsia="Arial" w:hAnsi="Arial" w:cs="Arial"/>
          <w:sz w:val="22"/>
          <w:szCs w:val="22"/>
        </w:rPr>
        <w:t>n</w:t>
      </w:r>
      <w:r w:rsidRPr="00094814">
        <w:rPr>
          <w:rFonts w:ascii="Arial" w:eastAsia="Arial" w:hAnsi="Arial" w:cs="Arial"/>
          <w:sz w:val="22"/>
          <w:szCs w:val="22"/>
        </w:rPr>
        <w:t>d-</w:t>
      </w:r>
      <w:r w:rsidRPr="00BD17CA">
        <w:rPr>
          <w:rFonts w:ascii="Arial" w:eastAsia="Arial" w:hAnsi="Arial" w:cs="Arial"/>
          <w:sz w:val="22"/>
          <w:szCs w:val="22"/>
        </w:rPr>
        <w:t>o</w:t>
      </w:r>
      <w:r w:rsidRPr="00094814">
        <w:rPr>
          <w:rFonts w:ascii="Arial" w:eastAsia="Arial" w:hAnsi="Arial" w:cs="Arial"/>
          <w:sz w:val="22"/>
          <w:szCs w:val="22"/>
        </w:rPr>
        <w:t>f-y</w:t>
      </w:r>
      <w:r w:rsidRPr="00BD17CA">
        <w:rPr>
          <w:rFonts w:ascii="Arial" w:eastAsia="Arial" w:hAnsi="Arial" w:cs="Arial"/>
          <w:sz w:val="22"/>
          <w:szCs w:val="22"/>
        </w:rPr>
        <w:t>e</w:t>
      </w:r>
      <w:r w:rsidRPr="00094814">
        <w:rPr>
          <w:rFonts w:ascii="Arial" w:eastAsia="Arial" w:hAnsi="Arial" w:cs="Arial"/>
          <w:sz w:val="22"/>
          <w:szCs w:val="22"/>
        </w:rPr>
        <w:t>a</w:t>
      </w:r>
      <w:r w:rsidRPr="00BD17CA">
        <w:rPr>
          <w:rFonts w:ascii="Arial" w:eastAsia="Arial" w:hAnsi="Arial" w:cs="Arial"/>
          <w:sz w:val="22"/>
          <w:szCs w:val="22"/>
        </w:rPr>
        <w:t xml:space="preserve">r </w:t>
      </w:r>
      <w:r w:rsidRPr="00094814">
        <w:rPr>
          <w:rFonts w:ascii="Arial" w:eastAsia="Arial" w:hAnsi="Arial" w:cs="Arial"/>
          <w:sz w:val="22"/>
          <w:szCs w:val="22"/>
        </w:rPr>
        <w:t>s</w:t>
      </w:r>
      <w:r w:rsidRPr="00BD17CA">
        <w:rPr>
          <w:rFonts w:ascii="Arial" w:eastAsia="Arial" w:hAnsi="Arial" w:cs="Arial"/>
          <w:sz w:val="22"/>
          <w:szCs w:val="22"/>
        </w:rPr>
        <w:t>p</w:t>
      </w:r>
      <w:r w:rsidRPr="00094814">
        <w:rPr>
          <w:rFonts w:ascii="Arial" w:eastAsia="Arial" w:hAnsi="Arial" w:cs="Arial"/>
          <w:sz w:val="22"/>
          <w:szCs w:val="22"/>
        </w:rPr>
        <w:t>o</w:t>
      </w:r>
      <w:r w:rsidRPr="00BD17CA">
        <w:rPr>
          <w:rFonts w:ascii="Arial" w:eastAsia="Arial" w:hAnsi="Arial" w:cs="Arial"/>
          <w:sz w:val="22"/>
          <w:szCs w:val="22"/>
        </w:rPr>
        <w:t>t</w:t>
      </w:r>
      <w:r w:rsidRPr="00094814">
        <w:rPr>
          <w:rFonts w:ascii="Arial" w:eastAsia="Arial" w:hAnsi="Arial" w:cs="Arial"/>
          <w:sz w:val="22"/>
          <w:szCs w:val="22"/>
        </w:rPr>
        <w:t xml:space="preserve"> m</w:t>
      </w:r>
      <w:r w:rsidRPr="00BD17CA">
        <w:rPr>
          <w:rFonts w:ascii="Arial" w:eastAsia="Arial" w:hAnsi="Arial" w:cs="Arial"/>
          <w:sz w:val="22"/>
          <w:szCs w:val="22"/>
        </w:rPr>
        <w:t>a</w:t>
      </w:r>
      <w:r w:rsidRPr="00094814">
        <w:rPr>
          <w:rFonts w:ascii="Arial" w:eastAsia="Arial" w:hAnsi="Arial" w:cs="Arial"/>
          <w:sz w:val="22"/>
          <w:szCs w:val="22"/>
        </w:rPr>
        <w:t>rk</w:t>
      </w:r>
      <w:r w:rsidRPr="00BD17CA">
        <w:rPr>
          <w:rFonts w:ascii="Arial" w:eastAsia="Arial" w:hAnsi="Arial" w:cs="Arial"/>
          <w:sz w:val="22"/>
          <w:szCs w:val="22"/>
        </w:rPr>
        <w:t>et</w:t>
      </w:r>
      <w:r w:rsidRPr="00094814">
        <w:rPr>
          <w:rFonts w:ascii="Arial" w:eastAsia="Arial" w:hAnsi="Arial" w:cs="Arial"/>
          <w:sz w:val="22"/>
          <w:szCs w:val="22"/>
        </w:rPr>
        <w:t xml:space="preserve"> </w:t>
      </w:r>
      <w:r w:rsidRPr="00BD17CA">
        <w:rPr>
          <w:rFonts w:ascii="Arial" w:eastAsia="Arial" w:hAnsi="Arial" w:cs="Arial"/>
          <w:sz w:val="22"/>
          <w:szCs w:val="22"/>
        </w:rPr>
        <w:t>e</w:t>
      </w:r>
      <w:r w:rsidRPr="00094814">
        <w:rPr>
          <w:rFonts w:ascii="Arial" w:eastAsia="Arial" w:hAnsi="Arial" w:cs="Arial"/>
          <w:sz w:val="22"/>
          <w:szCs w:val="22"/>
        </w:rPr>
        <w:t>xc</w:t>
      </w:r>
      <w:r w:rsidRPr="00BD17CA">
        <w:rPr>
          <w:rFonts w:ascii="Arial" w:eastAsia="Arial" w:hAnsi="Arial" w:cs="Arial"/>
          <w:sz w:val="22"/>
          <w:szCs w:val="22"/>
        </w:rPr>
        <w:t>h</w:t>
      </w:r>
      <w:r w:rsidRPr="00094814">
        <w:rPr>
          <w:rFonts w:ascii="Arial" w:eastAsia="Arial" w:hAnsi="Arial" w:cs="Arial"/>
          <w:sz w:val="22"/>
          <w:szCs w:val="22"/>
        </w:rPr>
        <w:t>a</w:t>
      </w:r>
      <w:r w:rsidRPr="00BD17CA">
        <w:rPr>
          <w:rFonts w:ascii="Arial" w:eastAsia="Arial" w:hAnsi="Arial" w:cs="Arial"/>
          <w:sz w:val="22"/>
          <w:szCs w:val="22"/>
        </w:rPr>
        <w:t>n</w:t>
      </w:r>
      <w:r w:rsidRPr="00094814">
        <w:rPr>
          <w:rFonts w:ascii="Arial" w:eastAsia="Arial" w:hAnsi="Arial" w:cs="Arial"/>
          <w:sz w:val="22"/>
          <w:szCs w:val="22"/>
        </w:rPr>
        <w:t>g</w:t>
      </w:r>
      <w:r w:rsidRPr="00BD17CA">
        <w:rPr>
          <w:rFonts w:ascii="Arial" w:eastAsia="Arial" w:hAnsi="Arial" w:cs="Arial"/>
          <w:sz w:val="22"/>
          <w:szCs w:val="22"/>
        </w:rPr>
        <w:t>e</w:t>
      </w:r>
      <w:r w:rsidRPr="00094814">
        <w:rPr>
          <w:rFonts w:ascii="Arial" w:eastAsia="Arial" w:hAnsi="Arial" w:cs="Arial"/>
          <w:sz w:val="22"/>
          <w:szCs w:val="22"/>
        </w:rPr>
        <w:t xml:space="preserve"> ra</w:t>
      </w:r>
      <w:r w:rsidRPr="00BD17CA">
        <w:rPr>
          <w:rFonts w:ascii="Arial" w:eastAsia="Arial" w:hAnsi="Arial" w:cs="Arial"/>
          <w:sz w:val="22"/>
          <w:szCs w:val="22"/>
        </w:rPr>
        <w:t>tes</w:t>
      </w:r>
      <w:r w:rsidRPr="00094814">
        <w:rPr>
          <w:rFonts w:ascii="Arial" w:eastAsia="Arial" w:hAnsi="Arial" w:cs="Arial"/>
          <w:sz w:val="22"/>
          <w:szCs w:val="22"/>
        </w:rPr>
        <w:t xml:space="preserve"> </w:t>
      </w:r>
      <w:r w:rsidRPr="00BD17CA">
        <w:rPr>
          <w:rFonts w:ascii="Arial" w:eastAsia="Arial" w:hAnsi="Arial" w:cs="Arial"/>
          <w:sz w:val="22"/>
          <w:szCs w:val="22"/>
        </w:rPr>
        <w:t>are</w:t>
      </w:r>
      <w:r w:rsidRPr="00094814">
        <w:rPr>
          <w:rFonts w:ascii="Arial" w:eastAsia="Arial" w:hAnsi="Arial" w:cs="Arial"/>
          <w:sz w:val="22"/>
          <w:szCs w:val="22"/>
        </w:rPr>
        <w:t xml:space="preserve"> use</w:t>
      </w:r>
      <w:r w:rsidRPr="00BD17CA">
        <w:rPr>
          <w:rFonts w:ascii="Arial" w:eastAsia="Arial" w:hAnsi="Arial" w:cs="Arial"/>
          <w:sz w:val="22"/>
          <w:szCs w:val="22"/>
        </w:rPr>
        <w:t>d</w:t>
      </w:r>
      <w:r w:rsidRPr="00094814">
        <w:rPr>
          <w:rFonts w:ascii="Arial" w:eastAsia="Arial" w:hAnsi="Arial" w:cs="Arial"/>
          <w:sz w:val="22"/>
          <w:szCs w:val="22"/>
        </w:rPr>
        <w:t xml:space="preserve"> t</w:t>
      </w:r>
      <w:r w:rsidRPr="00BD17CA">
        <w:rPr>
          <w:rFonts w:ascii="Arial" w:eastAsia="Arial" w:hAnsi="Arial" w:cs="Arial"/>
          <w:sz w:val="22"/>
          <w:szCs w:val="22"/>
        </w:rPr>
        <w:t>o</w:t>
      </w:r>
      <w:r w:rsidRPr="00094814">
        <w:rPr>
          <w:rFonts w:ascii="Arial" w:eastAsia="Arial" w:hAnsi="Arial" w:cs="Arial"/>
          <w:sz w:val="22"/>
          <w:szCs w:val="22"/>
        </w:rPr>
        <w:t xml:space="preserve"> valu</w:t>
      </w:r>
      <w:r w:rsidRPr="00BD17CA">
        <w:rPr>
          <w:rFonts w:ascii="Arial" w:eastAsia="Arial" w:hAnsi="Arial" w:cs="Arial"/>
          <w:sz w:val="22"/>
          <w:szCs w:val="22"/>
        </w:rPr>
        <w:t>e</w:t>
      </w:r>
      <w:r w:rsidRPr="00094814">
        <w:rPr>
          <w:rFonts w:ascii="Arial" w:eastAsia="Arial" w:hAnsi="Arial" w:cs="Arial"/>
          <w:sz w:val="22"/>
          <w:szCs w:val="22"/>
        </w:rPr>
        <w:t xml:space="preserve"> c</w:t>
      </w:r>
      <w:r w:rsidRPr="00BD17CA">
        <w:rPr>
          <w:rFonts w:ascii="Arial" w:eastAsia="Arial" w:hAnsi="Arial" w:cs="Arial"/>
          <w:sz w:val="22"/>
          <w:szCs w:val="22"/>
        </w:rPr>
        <w:t>a</w:t>
      </w:r>
      <w:r w:rsidRPr="00094814">
        <w:rPr>
          <w:rFonts w:ascii="Arial" w:eastAsia="Arial" w:hAnsi="Arial" w:cs="Arial"/>
          <w:sz w:val="22"/>
          <w:szCs w:val="22"/>
        </w:rPr>
        <w:t>s</w:t>
      </w:r>
      <w:r w:rsidRPr="00BD17CA">
        <w:rPr>
          <w:rFonts w:ascii="Arial" w:eastAsia="Arial" w:hAnsi="Arial" w:cs="Arial"/>
          <w:sz w:val="22"/>
          <w:szCs w:val="22"/>
        </w:rPr>
        <w:t>h b</w:t>
      </w:r>
      <w:r w:rsidRPr="00094814">
        <w:rPr>
          <w:rFonts w:ascii="Arial" w:eastAsia="Arial" w:hAnsi="Arial" w:cs="Arial"/>
          <w:sz w:val="22"/>
          <w:szCs w:val="22"/>
        </w:rPr>
        <w:t>al</w:t>
      </w:r>
      <w:r w:rsidRPr="00BD17CA">
        <w:rPr>
          <w:rFonts w:ascii="Arial" w:eastAsia="Arial" w:hAnsi="Arial" w:cs="Arial"/>
          <w:sz w:val="22"/>
          <w:szCs w:val="22"/>
        </w:rPr>
        <w:t>a</w:t>
      </w:r>
      <w:r w:rsidRPr="00094814">
        <w:rPr>
          <w:rFonts w:ascii="Arial" w:eastAsia="Arial" w:hAnsi="Arial" w:cs="Arial"/>
          <w:sz w:val="22"/>
          <w:szCs w:val="22"/>
        </w:rPr>
        <w:t>nc</w:t>
      </w:r>
      <w:r w:rsidRPr="00BD17CA">
        <w:rPr>
          <w:rFonts w:ascii="Arial" w:eastAsia="Arial" w:hAnsi="Arial" w:cs="Arial"/>
          <w:sz w:val="22"/>
          <w:szCs w:val="22"/>
        </w:rPr>
        <w:t>es</w:t>
      </w:r>
      <w:r w:rsidRPr="00094814">
        <w:rPr>
          <w:rFonts w:ascii="Arial" w:eastAsia="Arial" w:hAnsi="Arial" w:cs="Arial"/>
          <w:sz w:val="22"/>
          <w:szCs w:val="22"/>
        </w:rPr>
        <w:t xml:space="preserve"> </w:t>
      </w:r>
      <w:r w:rsidRPr="00BD17CA">
        <w:rPr>
          <w:rFonts w:ascii="Arial" w:eastAsia="Arial" w:hAnsi="Arial" w:cs="Arial"/>
          <w:sz w:val="22"/>
          <w:szCs w:val="22"/>
        </w:rPr>
        <w:t>h</w:t>
      </w:r>
      <w:r w:rsidRPr="00094814">
        <w:rPr>
          <w:rFonts w:ascii="Arial" w:eastAsia="Arial" w:hAnsi="Arial" w:cs="Arial"/>
          <w:sz w:val="22"/>
          <w:szCs w:val="22"/>
        </w:rPr>
        <w:t>el</w:t>
      </w:r>
      <w:r w:rsidRPr="00BD17CA">
        <w:rPr>
          <w:rFonts w:ascii="Arial" w:eastAsia="Arial" w:hAnsi="Arial" w:cs="Arial"/>
          <w:sz w:val="22"/>
          <w:szCs w:val="22"/>
        </w:rPr>
        <w:t>d</w:t>
      </w:r>
      <w:r w:rsidRPr="00094814">
        <w:rPr>
          <w:rFonts w:ascii="Arial" w:eastAsia="Arial" w:hAnsi="Arial" w:cs="Arial"/>
          <w:sz w:val="22"/>
          <w:szCs w:val="22"/>
        </w:rPr>
        <w:t xml:space="preserve"> i</w:t>
      </w:r>
      <w:r w:rsidRPr="00BD17CA">
        <w:rPr>
          <w:rFonts w:ascii="Arial" w:eastAsia="Arial" w:hAnsi="Arial" w:cs="Arial"/>
          <w:sz w:val="22"/>
          <w:szCs w:val="22"/>
        </w:rPr>
        <w:t>n</w:t>
      </w:r>
      <w:r w:rsidRPr="00094814">
        <w:rPr>
          <w:rFonts w:ascii="Arial" w:eastAsia="Arial" w:hAnsi="Arial" w:cs="Arial"/>
          <w:sz w:val="22"/>
          <w:szCs w:val="22"/>
        </w:rPr>
        <w:t xml:space="preserve"> f</w:t>
      </w:r>
      <w:r w:rsidRPr="00BD17CA">
        <w:rPr>
          <w:rFonts w:ascii="Arial" w:eastAsia="Arial" w:hAnsi="Arial" w:cs="Arial"/>
          <w:sz w:val="22"/>
          <w:szCs w:val="22"/>
        </w:rPr>
        <w:t>ore</w:t>
      </w:r>
      <w:r w:rsidRPr="00094814">
        <w:rPr>
          <w:rFonts w:ascii="Arial" w:eastAsia="Arial" w:hAnsi="Arial" w:cs="Arial"/>
          <w:sz w:val="22"/>
          <w:szCs w:val="22"/>
        </w:rPr>
        <w:t>ig</w:t>
      </w:r>
      <w:r w:rsidRPr="00BD17CA">
        <w:rPr>
          <w:rFonts w:ascii="Arial" w:eastAsia="Arial" w:hAnsi="Arial" w:cs="Arial"/>
          <w:sz w:val="22"/>
          <w:szCs w:val="22"/>
        </w:rPr>
        <w:t>n</w:t>
      </w:r>
      <w:r w:rsidRPr="00094814">
        <w:rPr>
          <w:rFonts w:ascii="Arial" w:eastAsia="Arial" w:hAnsi="Arial" w:cs="Arial"/>
          <w:sz w:val="22"/>
          <w:szCs w:val="22"/>
        </w:rPr>
        <w:t xml:space="preserve"> curr</w:t>
      </w:r>
      <w:r w:rsidRPr="00BD17CA">
        <w:rPr>
          <w:rFonts w:ascii="Arial" w:eastAsia="Arial" w:hAnsi="Arial" w:cs="Arial"/>
          <w:sz w:val="22"/>
          <w:szCs w:val="22"/>
        </w:rPr>
        <w:t>e</w:t>
      </w:r>
      <w:r w:rsidRPr="00094814">
        <w:rPr>
          <w:rFonts w:ascii="Arial" w:eastAsia="Arial" w:hAnsi="Arial" w:cs="Arial"/>
          <w:sz w:val="22"/>
          <w:szCs w:val="22"/>
        </w:rPr>
        <w:t>nc</w:t>
      </w:r>
      <w:r w:rsidRPr="00BD17CA">
        <w:rPr>
          <w:rFonts w:ascii="Arial" w:eastAsia="Arial" w:hAnsi="Arial" w:cs="Arial"/>
          <w:sz w:val="22"/>
          <w:szCs w:val="22"/>
        </w:rPr>
        <w:t>y b</w:t>
      </w:r>
      <w:r w:rsidRPr="00094814">
        <w:rPr>
          <w:rFonts w:ascii="Arial" w:eastAsia="Arial" w:hAnsi="Arial" w:cs="Arial"/>
          <w:sz w:val="22"/>
          <w:szCs w:val="22"/>
        </w:rPr>
        <w:t>a</w:t>
      </w:r>
      <w:r w:rsidRPr="00BD17CA">
        <w:rPr>
          <w:rFonts w:ascii="Arial" w:eastAsia="Arial" w:hAnsi="Arial" w:cs="Arial"/>
          <w:sz w:val="22"/>
          <w:szCs w:val="22"/>
        </w:rPr>
        <w:t>nk</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cc</w:t>
      </w:r>
      <w:r w:rsidRPr="00BD17CA">
        <w:rPr>
          <w:rFonts w:ascii="Arial" w:eastAsia="Arial" w:hAnsi="Arial" w:cs="Arial"/>
          <w:sz w:val="22"/>
          <w:szCs w:val="22"/>
        </w:rPr>
        <w:t>o</w:t>
      </w:r>
      <w:r w:rsidRPr="00094814">
        <w:rPr>
          <w:rFonts w:ascii="Arial" w:eastAsia="Arial" w:hAnsi="Arial" w:cs="Arial"/>
          <w:sz w:val="22"/>
          <w:szCs w:val="22"/>
        </w:rPr>
        <w:t>u</w:t>
      </w:r>
      <w:r w:rsidRPr="00BD17CA">
        <w:rPr>
          <w:rFonts w:ascii="Arial" w:eastAsia="Arial" w:hAnsi="Arial" w:cs="Arial"/>
          <w:sz w:val="22"/>
          <w:szCs w:val="22"/>
        </w:rPr>
        <w:t xml:space="preserve">nts, </w:t>
      </w:r>
      <w:r w:rsidRPr="00094814">
        <w:rPr>
          <w:rFonts w:ascii="Arial" w:eastAsia="Arial" w:hAnsi="Arial" w:cs="Arial"/>
          <w:sz w:val="22"/>
          <w:szCs w:val="22"/>
        </w:rPr>
        <w:t>m</w:t>
      </w:r>
      <w:r w:rsidRPr="00BD17CA">
        <w:rPr>
          <w:rFonts w:ascii="Arial" w:eastAsia="Arial" w:hAnsi="Arial" w:cs="Arial"/>
          <w:sz w:val="22"/>
          <w:szCs w:val="22"/>
        </w:rPr>
        <w:t>a</w:t>
      </w:r>
      <w:r w:rsidRPr="00094814">
        <w:rPr>
          <w:rFonts w:ascii="Arial" w:eastAsia="Arial" w:hAnsi="Arial" w:cs="Arial"/>
          <w:sz w:val="22"/>
          <w:szCs w:val="22"/>
        </w:rPr>
        <w:t>rke</w:t>
      </w:r>
      <w:r w:rsidRPr="00BD17CA">
        <w:rPr>
          <w:rFonts w:ascii="Arial" w:eastAsia="Arial" w:hAnsi="Arial" w:cs="Arial"/>
          <w:sz w:val="22"/>
          <w:szCs w:val="22"/>
        </w:rPr>
        <w:t>t</w:t>
      </w:r>
      <w:r w:rsidRPr="00094814">
        <w:rPr>
          <w:rFonts w:ascii="Arial" w:eastAsia="Arial" w:hAnsi="Arial" w:cs="Arial"/>
          <w:sz w:val="22"/>
          <w:szCs w:val="22"/>
        </w:rPr>
        <w:t xml:space="preserve"> v</w:t>
      </w:r>
      <w:r w:rsidRPr="00BD17CA">
        <w:rPr>
          <w:rFonts w:ascii="Arial" w:eastAsia="Arial" w:hAnsi="Arial" w:cs="Arial"/>
          <w:sz w:val="22"/>
          <w:szCs w:val="22"/>
        </w:rPr>
        <w:t>a</w:t>
      </w:r>
      <w:r w:rsidRPr="00094814">
        <w:rPr>
          <w:rFonts w:ascii="Arial" w:eastAsia="Arial" w:hAnsi="Arial" w:cs="Arial"/>
          <w:sz w:val="22"/>
          <w:szCs w:val="22"/>
        </w:rPr>
        <w:t>l</w:t>
      </w:r>
      <w:r w:rsidRPr="00BD17CA">
        <w:rPr>
          <w:rFonts w:ascii="Arial" w:eastAsia="Arial" w:hAnsi="Arial" w:cs="Arial"/>
          <w:sz w:val="22"/>
          <w:szCs w:val="22"/>
        </w:rPr>
        <w:t>u</w:t>
      </w:r>
      <w:r w:rsidRPr="00094814">
        <w:rPr>
          <w:rFonts w:ascii="Arial" w:eastAsia="Arial" w:hAnsi="Arial" w:cs="Arial"/>
          <w:sz w:val="22"/>
          <w:szCs w:val="22"/>
        </w:rPr>
        <w:t>e</w:t>
      </w:r>
      <w:r w:rsidRPr="00BD17CA">
        <w:rPr>
          <w:rFonts w:ascii="Arial" w:eastAsia="Arial" w:hAnsi="Arial" w:cs="Arial"/>
          <w:sz w:val="22"/>
          <w:szCs w:val="22"/>
        </w:rPr>
        <w:t>s</w:t>
      </w:r>
      <w:r w:rsidRPr="00094814">
        <w:rPr>
          <w:rFonts w:ascii="Arial" w:eastAsia="Arial" w:hAnsi="Arial" w:cs="Arial"/>
          <w:sz w:val="22"/>
          <w:szCs w:val="22"/>
        </w:rPr>
        <w:t xml:space="preserve"> </w:t>
      </w:r>
      <w:r w:rsidRPr="00BD17CA">
        <w:rPr>
          <w:rFonts w:ascii="Arial" w:eastAsia="Arial" w:hAnsi="Arial" w:cs="Arial"/>
          <w:sz w:val="22"/>
          <w:szCs w:val="22"/>
        </w:rPr>
        <w:t>of</w:t>
      </w:r>
      <w:r w:rsidRPr="00094814">
        <w:rPr>
          <w:rFonts w:ascii="Arial" w:eastAsia="Arial" w:hAnsi="Arial" w:cs="Arial"/>
          <w:sz w:val="22"/>
          <w:szCs w:val="22"/>
        </w:rPr>
        <w:t xml:space="preserve"> </w:t>
      </w:r>
      <w:r w:rsidRPr="00BD17CA">
        <w:rPr>
          <w:rFonts w:ascii="Arial" w:eastAsia="Arial" w:hAnsi="Arial" w:cs="Arial"/>
          <w:sz w:val="22"/>
          <w:szCs w:val="22"/>
        </w:rPr>
        <w:t>o</w:t>
      </w:r>
      <w:r w:rsidRPr="00094814">
        <w:rPr>
          <w:rFonts w:ascii="Arial" w:eastAsia="Arial" w:hAnsi="Arial" w:cs="Arial"/>
          <w:sz w:val="22"/>
          <w:szCs w:val="22"/>
        </w:rPr>
        <w:t>v</w:t>
      </w:r>
      <w:r w:rsidRPr="00BD17CA">
        <w:rPr>
          <w:rFonts w:ascii="Arial" w:eastAsia="Arial" w:hAnsi="Arial" w:cs="Arial"/>
          <w:sz w:val="22"/>
          <w:szCs w:val="22"/>
        </w:rPr>
        <w:t>er</w:t>
      </w:r>
      <w:r w:rsidRPr="00094814">
        <w:rPr>
          <w:rFonts w:ascii="Arial" w:eastAsia="Arial" w:hAnsi="Arial" w:cs="Arial"/>
          <w:sz w:val="22"/>
          <w:szCs w:val="22"/>
        </w:rPr>
        <w:t>s</w:t>
      </w:r>
      <w:r w:rsidRPr="00BD17CA">
        <w:rPr>
          <w:rFonts w:ascii="Arial" w:eastAsia="Arial" w:hAnsi="Arial" w:cs="Arial"/>
          <w:sz w:val="22"/>
          <w:szCs w:val="22"/>
        </w:rPr>
        <w:t>e</w:t>
      </w:r>
      <w:r w:rsidRPr="00094814">
        <w:rPr>
          <w:rFonts w:ascii="Arial" w:eastAsia="Arial" w:hAnsi="Arial" w:cs="Arial"/>
          <w:sz w:val="22"/>
          <w:szCs w:val="22"/>
        </w:rPr>
        <w:t>a</w:t>
      </w:r>
      <w:r w:rsidRPr="00BD17CA">
        <w:rPr>
          <w:rFonts w:ascii="Arial" w:eastAsia="Arial" w:hAnsi="Arial" w:cs="Arial"/>
          <w:sz w:val="22"/>
          <w:szCs w:val="22"/>
        </w:rPr>
        <w:t>s</w:t>
      </w:r>
      <w:r w:rsidRPr="00094814">
        <w:rPr>
          <w:rFonts w:ascii="Arial" w:eastAsia="Arial" w:hAnsi="Arial" w:cs="Arial"/>
          <w:sz w:val="22"/>
          <w:szCs w:val="22"/>
        </w:rPr>
        <w:t xml:space="preserve"> inv</w:t>
      </w:r>
      <w:r w:rsidRPr="00BD17CA">
        <w:rPr>
          <w:rFonts w:ascii="Arial" w:eastAsia="Arial" w:hAnsi="Arial" w:cs="Arial"/>
          <w:sz w:val="22"/>
          <w:szCs w:val="22"/>
        </w:rPr>
        <w:t>e</w:t>
      </w:r>
      <w:r w:rsidRPr="00094814">
        <w:rPr>
          <w:rFonts w:ascii="Arial" w:eastAsia="Arial" w:hAnsi="Arial" w:cs="Arial"/>
          <w:sz w:val="22"/>
          <w:szCs w:val="22"/>
        </w:rPr>
        <w:t>s</w:t>
      </w:r>
      <w:r w:rsidRPr="00BD17CA">
        <w:rPr>
          <w:rFonts w:ascii="Arial" w:eastAsia="Arial" w:hAnsi="Arial" w:cs="Arial"/>
          <w:sz w:val="22"/>
          <w:szCs w:val="22"/>
        </w:rPr>
        <w:t>t</w:t>
      </w:r>
      <w:r w:rsidRPr="00094814">
        <w:rPr>
          <w:rFonts w:ascii="Arial" w:eastAsia="Arial" w:hAnsi="Arial" w:cs="Arial"/>
          <w:sz w:val="22"/>
          <w:szCs w:val="22"/>
        </w:rPr>
        <w:t>m</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ts</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 xml:space="preserve"> </w:t>
      </w:r>
      <w:r w:rsidRPr="00BD17CA">
        <w:rPr>
          <w:rFonts w:ascii="Arial" w:eastAsia="Arial" w:hAnsi="Arial" w:cs="Arial"/>
          <w:sz w:val="22"/>
          <w:szCs w:val="22"/>
        </w:rPr>
        <w:t>p</w:t>
      </w:r>
      <w:r w:rsidRPr="00094814">
        <w:rPr>
          <w:rFonts w:ascii="Arial" w:eastAsia="Arial" w:hAnsi="Arial" w:cs="Arial"/>
          <w:sz w:val="22"/>
          <w:szCs w:val="22"/>
        </w:rPr>
        <w:t>urc</w:t>
      </w:r>
      <w:r w:rsidRPr="00BD17CA">
        <w:rPr>
          <w:rFonts w:ascii="Arial" w:eastAsia="Arial" w:hAnsi="Arial" w:cs="Arial"/>
          <w:sz w:val="22"/>
          <w:szCs w:val="22"/>
        </w:rPr>
        <w:t>h</w:t>
      </w:r>
      <w:r w:rsidRPr="00094814">
        <w:rPr>
          <w:rFonts w:ascii="Arial" w:eastAsia="Arial" w:hAnsi="Arial" w:cs="Arial"/>
          <w:sz w:val="22"/>
          <w:szCs w:val="22"/>
        </w:rPr>
        <w:t>as</w:t>
      </w:r>
      <w:r w:rsidRPr="00BD17CA">
        <w:rPr>
          <w:rFonts w:ascii="Arial" w:eastAsia="Arial" w:hAnsi="Arial" w:cs="Arial"/>
          <w:sz w:val="22"/>
          <w:szCs w:val="22"/>
        </w:rPr>
        <w:t>es</w:t>
      </w:r>
      <w:r w:rsidRPr="00094814">
        <w:rPr>
          <w:rFonts w:ascii="Arial" w:eastAsia="Arial" w:hAnsi="Arial" w:cs="Arial"/>
          <w:sz w:val="22"/>
          <w:szCs w:val="22"/>
        </w:rPr>
        <w:t xml:space="preserve"> a</w:t>
      </w:r>
      <w:r w:rsidRPr="00BD17CA">
        <w:rPr>
          <w:rFonts w:ascii="Arial" w:eastAsia="Arial" w:hAnsi="Arial" w:cs="Arial"/>
          <w:sz w:val="22"/>
          <w:szCs w:val="22"/>
        </w:rPr>
        <w:t xml:space="preserve">nd </w:t>
      </w:r>
      <w:r w:rsidRPr="00094814">
        <w:rPr>
          <w:rFonts w:ascii="Arial" w:eastAsia="Arial" w:hAnsi="Arial" w:cs="Arial"/>
          <w:sz w:val="22"/>
          <w:szCs w:val="22"/>
        </w:rPr>
        <w:t>s</w:t>
      </w:r>
      <w:r w:rsidRPr="00BD17CA">
        <w:rPr>
          <w:rFonts w:ascii="Arial" w:eastAsia="Arial" w:hAnsi="Arial" w:cs="Arial"/>
          <w:sz w:val="22"/>
          <w:szCs w:val="22"/>
        </w:rPr>
        <w:t>a</w:t>
      </w:r>
      <w:r w:rsidRPr="00094814">
        <w:rPr>
          <w:rFonts w:ascii="Arial" w:eastAsia="Arial" w:hAnsi="Arial" w:cs="Arial"/>
          <w:sz w:val="22"/>
          <w:szCs w:val="22"/>
        </w:rPr>
        <w:t>l</w:t>
      </w:r>
      <w:r w:rsidRPr="00BD17CA">
        <w:rPr>
          <w:rFonts w:ascii="Arial" w:eastAsia="Arial" w:hAnsi="Arial" w:cs="Arial"/>
          <w:sz w:val="22"/>
          <w:szCs w:val="22"/>
        </w:rPr>
        <w:t>es</w:t>
      </w:r>
      <w:r w:rsidRPr="00094814">
        <w:rPr>
          <w:rFonts w:ascii="Arial" w:eastAsia="Arial" w:hAnsi="Arial" w:cs="Arial"/>
          <w:sz w:val="22"/>
          <w:szCs w:val="22"/>
        </w:rPr>
        <w:t xml:space="preserve"> </w:t>
      </w:r>
      <w:r w:rsidRPr="00BD17CA">
        <w:rPr>
          <w:rFonts w:ascii="Arial" w:eastAsia="Arial" w:hAnsi="Arial" w:cs="Arial"/>
          <w:sz w:val="22"/>
          <w:szCs w:val="22"/>
        </w:rPr>
        <w:t>o</w:t>
      </w:r>
      <w:r w:rsidRPr="00094814">
        <w:rPr>
          <w:rFonts w:ascii="Arial" w:eastAsia="Arial" w:hAnsi="Arial" w:cs="Arial"/>
          <w:sz w:val="22"/>
          <w:szCs w:val="22"/>
        </w:rPr>
        <w:t>u</w:t>
      </w:r>
      <w:r w:rsidRPr="00BD17CA">
        <w:rPr>
          <w:rFonts w:ascii="Arial" w:eastAsia="Arial" w:hAnsi="Arial" w:cs="Arial"/>
          <w:sz w:val="22"/>
          <w:szCs w:val="22"/>
        </w:rPr>
        <w:t>t</w:t>
      </w:r>
      <w:r w:rsidRPr="00094814">
        <w:rPr>
          <w:rFonts w:ascii="Arial" w:eastAsia="Arial" w:hAnsi="Arial" w:cs="Arial"/>
          <w:sz w:val="22"/>
          <w:szCs w:val="22"/>
        </w:rPr>
        <w:t>s</w:t>
      </w:r>
      <w:r w:rsidRPr="00BD17CA">
        <w:rPr>
          <w:rFonts w:ascii="Arial" w:eastAsia="Arial" w:hAnsi="Arial" w:cs="Arial"/>
          <w:sz w:val="22"/>
          <w:szCs w:val="22"/>
        </w:rPr>
        <w:t>ta</w:t>
      </w:r>
      <w:r w:rsidRPr="00094814">
        <w:rPr>
          <w:rFonts w:ascii="Arial" w:eastAsia="Arial" w:hAnsi="Arial" w:cs="Arial"/>
          <w:sz w:val="22"/>
          <w:szCs w:val="22"/>
        </w:rPr>
        <w:t>ndin</w:t>
      </w:r>
      <w:r w:rsidRPr="00BD17CA">
        <w:rPr>
          <w:rFonts w:ascii="Arial" w:eastAsia="Arial" w:hAnsi="Arial" w:cs="Arial"/>
          <w:sz w:val="22"/>
          <w:szCs w:val="22"/>
        </w:rPr>
        <w:t>g</w:t>
      </w:r>
      <w:r w:rsidRPr="00094814">
        <w:rPr>
          <w:rFonts w:ascii="Arial" w:eastAsia="Arial" w:hAnsi="Arial" w:cs="Arial"/>
          <w:sz w:val="22"/>
          <w:szCs w:val="22"/>
        </w:rPr>
        <w:t xml:space="preserve"> a</w:t>
      </w:r>
      <w:r w:rsidRPr="00BD17CA">
        <w:rPr>
          <w:rFonts w:ascii="Arial" w:eastAsia="Arial" w:hAnsi="Arial" w:cs="Arial"/>
          <w:sz w:val="22"/>
          <w:szCs w:val="22"/>
        </w:rPr>
        <w:t>t the</w:t>
      </w:r>
      <w:r w:rsidRPr="00094814">
        <w:rPr>
          <w:rFonts w:ascii="Arial" w:eastAsia="Arial" w:hAnsi="Arial" w:cs="Arial"/>
          <w:sz w:val="22"/>
          <w:szCs w:val="22"/>
        </w:rPr>
        <w:t xml:space="preserve"> </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 xml:space="preserve"> o</w:t>
      </w:r>
      <w:r w:rsidRPr="00BD17CA">
        <w:rPr>
          <w:rFonts w:ascii="Arial" w:eastAsia="Arial" w:hAnsi="Arial" w:cs="Arial"/>
          <w:sz w:val="22"/>
          <w:szCs w:val="22"/>
        </w:rPr>
        <w:t>f t</w:t>
      </w:r>
      <w:r w:rsidRPr="00094814">
        <w:rPr>
          <w:rFonts w:ascii="Arial" w:eastAsia="Arial" w:hAnsi="Arial" w:cs="Arial"/>
          <w:sz w:val="22"/>
          <w:szCs w:val="22"/>
        </w:rPr>
        <w:t>h</w:t>
      </w:r>
      <w:r w:rsidRPr="00BD17CA">
        <w:rPr>
          <w:rFonts w:ascii="Arial" w:eastAsia="Arial" w:hAnsi="Arial" w:cs="Arial"/>
          <w:sz w:val="22"/>
          <w:szCs w:val="22"/>
        </w:rPr>
        <w:t>e</w:t>
      </w:r>
      <w:r w:rsidRPr="00094814">
        <w:rPr>
          <w:rFonts w:ascii="Arial" w:eastAsia="Arial" w:hAnsi="Arial" w:cs="Arial"/>
          <w:sz w:val="22"/>
          <w:szCs w:val="22"/>
        </w:rPr>
        <w:t xml:space="preserve"> </w:t>
      </w:r>
      <w:r w:rsidRPr="00BD17CA">
        <w:rPr>
          <w:rFonts w:ascii="Arial" w:eastAsia="Arial" w:hAnsi="Arial" w:cs="Arial"/>
          <w:sz w:val="22"/>
          <w:szCs w:val="22"/>
        </w:rPr>
        <w:t>r</w:t>
      </w:r>
      <w:r w:rsidRPr="00094814">
        <w:rPr>
          <w:rFonts w:ascii="Arial" w:eastAsia="Arial" w:hAnsi="Arial" w:cs="Arial"/>
          <w:sz w:val="22"/>
          <w:szCs w:val="22"/>
        </w:rPr>
        <w:t>e</w:t>
      </w:r>
      <w:r w:rsidRPr="00BD17CA">
        <w:rPr>
          <w:rFonts w:ascii="Arial" w:eastAsia="Arial" w:hAnsi="Arial" w:cs="Arial"/>
          <w:sz w:val="22"/>
          <w:szCs w:val="22"/>
        </w:rPr>
        <w:t>p</w:t>
      </w:r>
      <w:r w:rsidRPr="00094814">
        <w:rPr>
          <w:rFonts w:ascii="Arial" w:eastAsia="Arial" w:hAnsi="Arial" w:cs="Arial"/>
          <w:sz w:val="22"/>
          <w:szCs w:val="22"/>
        </w:rPr>
        <w:t>or</w:t>
      </w:r>
      <w:r w:rsidRPr="00BD17CA">
        <w:rPr>
          <w:rFonts w:ascii="Arial" w:eastAsia="Arial" w:hAnsi="Arial" w:cs="Arial"/>
          <w:sz w:val="22"/>
          <w:szCs w:val="22"/>
        </w:rPr>
        <w:t>t</w:t>
      </w:r>
      <w:r w:rsidRPr="00094814">
        <w:rPr>
          <w:rFonts w:ascii="Arial" w:eastAsia="Arial" w:hAnsi="Arial" w:cs="Arial"/>
          <w:sz w:val="22"/>
          <w:szCs w:val="22"/>
        </w:rPr>
        <w:t>i</w:t>
      </w:r>
      <w:r w:rsidRPr="00BD17CA">
        <w:rPr>
          <w:rFonts w:ascii="Arial" w:eastAsia="Arial" w:hAnsi="Arial" w:cs="Arial"/>
          <w:sz w:val="22"/>
          <w:szCs w:val="22"/>
        </w:rPr>
        <w:t>ng</w:t>
      </w:r>
      <w:r w:rsidRPr="00094814">
        <w:rPr>
          <w:rFonts w:ascii="Arial" w:eastAsia="Arial" w:hAnsi="Arial" w:cs="Arial"/>
          <w:sz w:val="22"/>
          <w:szCs w:val="22"/>
        </w:rPr>
        <w:t xml:space="preserve"> </w:t>
      </w:r>
      <w:r w:rsidRPr="00BD17CA">
        <w:rPr>
          <w:rFonts w:ascii="Arial" w:eastAsia="Arial" w:hAnsi="Arial" w:cs="Arial"/>
          <w:sz w:val="22"/>
          <w:szCs w:val="22"/>
        </w:rPr>
        <w:t>p</w:t>
      </w:r>
      <w:r w:rsidRPr="00094814">
        <w:rPr>
          <w:rFonts w:ascii="Arial" w:eastAsia="Arial" w:hAnsi="Arial" w:cs="Arial"/>
          <w:sz w:val="22"/>
          <w:szCs w:val="22"/>
        </w:rPr>
        <w:t>eri</w:t>
      </w:r>
      <w:r w:rsidRPr="00BD17CA">
        <w:rPr>
          <w:rFonts w:ascii="Arial" w:eastAsia="Arial" w:hAnsi="Arial" w:cs="Arial"/>
          <w:sz w:val="22"/>
          <w:szCs w:val="22"/>
        </w:rPr>
        <w:t>o</w:t>
      </w:r>
      <w:r w:rsidRPr="00094814">
        <w:rPr>
          <w:rFonts w:ascii="Arial" w:eastAsia="Arial" w:hAnsi="Arial" w:cs="Arial"/>
          <w:sz w:val="22"/>
          <w:szCs w:val="22"/>
        </w:rPr>
        <w:t>d</w:t>
      </w:r>
      <w:r w:rsidRPr="00BD17CA">
        <w:rPr>
          <w:rFonts w:ascii="Arial" w:eastAsia="Arial" w:hAnsi="Arial" w:cs="Arial"/>
          <w:sz w:val="22"/>
          <w:szCs w:val="22"/>
        </w:rPr>
        <w:t>.</w:t>
      </w:r>
    </w:p>
    <w:p w14:paraId="1300682B" w14:textId="6220B2B3" w:rsidR="009C7422" w:rsidRPr="00094814" w:rsidRDefault="00716307" w:rsidP="00094814">
      <w:pPr>
        <w:spacing w:after="200" w:line="276" w:lineRule="auto"/>
        <w:ind w:right="74"/>
        <w:jc w:val="both"/>
        <w:rPr>
          <w:rFonts w:ascii="Arial" w:eastAsia="Arial" w:hAnsi="Arial" w:cs="Arial"/>
          <w:b/>
          <w:sz w:val="22"/>
          <w:szCs w:val="22"/>
        </w:rPr>
      </w:pPr>
      <w:commentRangeStart w:id="2"/>
      <w:commentRangeEnd w:id="2"/>
      <w:r>
        <w:rPr>
          <w:rStyle w:val="CommentReference"/>
        </w:rPr>
        <w:commentReference w:id="2"/>
      </w:r>
      <w:proofErr w:type="spellStart"/>
      <w:r>
        <w:rPr>
          <w:rFonts w:ascii="Arial" w:eastAsia="Arial" w:hAnsi="Arial" w:cs="Arial"/>
          <w:b/>
          <w:sz w:val="22"/>
          <w:szCs w:val="22"/>
        </w:rPr>
        <w:t>i</w:t>
      </w:r>
      <w:proofErr w:type="spellEnd"/>
      <w:r w:rsidR="001706EB" w:rsidRPr="00BD17CA">
        <w:rPr>
          <w:rFonts w:ascii="Arial" w:eastAsia="Arial" w:hAnsi="Arial" w:cs="Arial"/>
          <w:b/>
          <w:sz w:val="22"/>
          <w:szCs w:val="22"/>
        </w:rPr>
        <w:t>)</w:t>
      </w:r>
      <w:r w:rsidR="001706EB" w:rsidRPr="00094814">
        <w:rPr>
          <w:rFonts w:ascii="Arial" w:eastAsia="Arial" w:hAnsi="Arial" w:cs="Arial"/>
          <w:b/>
          <w:sz w:val="22"/>
          <w:szCs w:val="22"/>
        </w:rPr>
        <w:t xml:space="preserve"> </w:t>
      </w:r>
      <w:r w:rsidR="001706EB" w:rsidRPr="00BD17CA">
        <w:rPr>
          <w:rFonts w:ascii="Arial" w:eastAsia="Arial" w:hAnsi="Arial" w:cs="Arial"/>
          <w:b/>
          <w:sz w:val="22"/>
          <w:szCs w:val="22"/>
        </w:rPr>
        <w:t>Cash</w:t>
      </w:r>
      <w:r w:rsidR="001706EB" w:rsidRPr="00094814">
        <w:rPr>
          <w:rFonts w:ascii="Arial" w:eastAsia="Arial" w:hAnsi="Arial" w:cs="Arial"/>
          <w:b/>
          <w:sz w:val="22"/>
          <w:szCs w:val="22"/>
        </w:rPr>
        <w:t xml:space="preserve"> </w:t>
      </w:r>
      <w:r w:rsidR="001706EB" w:rsidRPr="00BD17CA">
        <w:rPr>
          <w:rFonts w:ascii="Arial" w:eastAsia="Arial" w:hAnsi="Arial" w:cs="Arial"/>
          <w:b/>
          <w:sz w:val="22"/>
          <w:szCs w:val="22"/>
        </w:rPr>
        <w:t>and</w:t>
      </w:r>
      <w:r w:rsidR="001706EB" w:rsidRPr="00094814">
        <w:rPr>
          <w:rFonts w:ascii="Arial" w:eastAsia="Arial" w:hAnsi="Arial" w:cs="Arial"/>
          <w:b/>
          <w:sz w:val="22"/>
          <w:szCs w:val="22"/>
        </w:rPr>
        <w:t xml:space="preserve"> </w:t>
      </w:r>
      <w:r w:rsidR="001706EB" w:rsidRPr="00BD17CA">
        <w:rPr>
          <w:rFonts w:ascii="Arial" w:eastAsia="Arial" w:hAnsi="Arial" w:cs="Arial"/>
          <w:b/>
          <w:sz w:val="22"/>
          <w:szCs w:val="22"/>
        </w:rPr>
        <w:t>c</w:t>
      </w:r>
      <w:r w:rsidR="001706EB" w:rsidRPr="00094814">
        <w:rPr>
          <w:rFonts w:ascii="Arial" w:eastAsia="Arial" w:hAnsi="Arial" w:cs="Arial"/>
          <w:b/>
          <w:sz w:val="22"/>
          <w:szCs w:val="22"/>
        </w:rPr>
        <w:t>a</w:t>
      </w:r>
      <w:r w:rsidR="001706EB" w:rsidRPr="00BD17CA">
        <w:rPr>
          <w:rFonts w:ascii="Arial" w:eastAsia="Arial" w:hAnsi="Arial" w:cs="Arial"/>
          <w:b/>
          <w:sz w:val="22"/>
          <w:szCs w:val="22"/>
        </w:rPr>
        <w:t>sh</w:t>
      </w:r>
      <w:r w:rsidR="001706EB" w:rsidRPr="00094814">
        <w:rPr>
          <w:rFonts w:ascii="Arial" w:eastAsia="Arial" w:hAnsi="Arial" w:cs="Arial"/>
          <w:b/>
          <w:sz w:val="22"/>
          <w:szCs w:val="22"/>
        </w:rPr>
        <w:t xml:space="preserve"> </w:t>
      </w:r>
      <w:r w:rsidR="001706EB" w:rsidRPr="00BD17CA">
        <w:rPr>
          <w:rFonts w:ascii="Arial" w:eastAsia="Arial" w:hAnsi="Arial" w:cs="Arial"/>
          <w:b/>
          <w:sz w:val="22"/>
          <w:szCs w:val="22"/>
        </w:rPr>
        <w:t>eq</w:t>
      </w:r>
      <w:r w:rsidR="001706EB" w:rsidRPr="00094814">
        <w:rPr>
          <w:rFonts w:ascii="Arial" w:eastAsia="Arial" w:hAnsi="Arial" w:cs="Arial"/>
          <w:b/>
          <w:sz w:val="22"/>
          <w:szCs w:val="22"/>
        </w:rPr>
        <w:t>u</w:t>
      </w:r>
      <w:r w:rsidR="001706EB" w:rsidRPr="00BD17CA">
        <w:rPr>
          <w:rFonts w:ascii="Arial" w:eastAsia="Arial" w:hAnsi="Arial" w:cs="Arial"/>
          <w:b/>
          <w:sz w:val="22"/>
          <w:szCs w:val="22"/>
        </w:rPr>
        <w:t>i</w:t>
      </w:r>
      <w:r w:rsidR="001706EB" w:rsidRPr="00094814">
        <w:rPr>
          <w:rFonts w:ascii="Arial" w:eastAsia="Arial" w:hAnsi="Arial" w:cs="Arial"/>
          <w:b/>
          <w:sz w:val="22"/>
          <w:szCs w:val="22"/>
        </w:rPr>
        <w:t>v</w:t>
      </w:r>
      <w:r w:rsidR="001706EB" w:rsidRPr="00BD17CA">
        <w:rPr>
          <w:rFonts w:ascii="Arial" w:eastAsia="Arial" w:hAnsi="Arial" w:cs="Arial"/>
          <w:b/>
          <w:sz w:val="22"/>
          <w:szCs w:val="22"/>
        </w:rPr>
        <w:t>a</w:t>
      </w:r>
      <w:r w:rsidR="001706EB" w:rsidRPr="00094814">
        <w:rPr>
          <w:rFonts w:ascii="Arial" w:eastAsia="Arial" w:hAnsi="Arial" w:cs="Arial"/>
          <w:b/>
          <w:sz w:val="22"/>
          <w:szCs w:val="22"/>
        </w:rPr>
        <w:t>l</w:t>
      </w:r>
      <w:r w:rsidR="001706EB" w:rsidRPr="00BD17CA">
        <w:rPr>
          <w:rFonts w:ascii="Arial" w:eastAsia="Arial" w:hAnsi="Arial" w:cs="Arial"/>
          <w:b/>
          <w:sz w:val="22"/>
          <w:szCs w:val="22"/>
        </w:rPr>
        <w:t>en</w:t>
      </w:r>
      <w:r w:rsidR="001706EB" w:rsidRPr="00094814">
        <w:rPr>
          <w:rFonts w:ascii="Arial" w:eastAsia="Arial" w:hAnsi="Arial" w:cs="Arial"/>
          <w:b/>
          <w:sz w:val="22"/>
          <w:szCs w:val="22"/>
        </w:rPr>
        <w:t>t</w:t>
      </w:r>
      <w:r w:rsidR="001706EB" w:rsidRPr="00BD17CA">
        <w:rPr>
          <w:rFonts w:ascii="Arial" w:eastAsia="Arial" w:hAnsi="Arial" w:cs="Arial"/>
          <w:b/>
          <w:sz w:val="22"/>
          <w:szCs w:val="22"/>
        </w:rPr>
        <w:t>s</w:t>
      </w:r>
    </w:p>
    <w:p w14:paraId="11A8E96E" w14:textId="77777777" w:rsidR="009C7422" w:rsidRPr="00BD17CA" w:rsidRDefault="001706EB" w:rsidP="00094814">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Ca</w:t>
      </w:r>
      <w:r w:rsidRPr="00094814">
        <w:rPr>
          <w:rFonts w:ascii="Arial" w:eastAsia="Arial" w:hAnsi="Arial" w:cs="Arial"/>
          <w:sz w:val="22"/>
          <w:szCs w:val="22"/>
        </w:rPr>
        <w:t>s</w:t>
      </w:r>
      <w:r w:rsidRPr="00BD17CA">
        <w:rPr>
          <w:rFonts w:ascii="Arial" w:eastAsia="Arial" w:hAnsi="Arial" w:cs="Arial"/>
          <w:sz w:val="22"/>
          <w:szCs w:val="22"/>
        </w:rPr>
        <w:t>h</w:t>
      </w:r>
      <w:r w:rsidRPr="00094814">
        <w:rPr>
          <w:rFonts w:ascii="Arial" w:eastAsia="Arial" w:hAnsi="Arial" w:cs="Arial"/>
          <w:sz w:val="22"/>
          <w:szCs w:val="22"/>
        </w:rPr>
        <w:t xml:space="preserve"> comprises c</w:t>
      </w:r>
      <w:r w:rsidRPr="00BD17CA">
        <w:rPr>
          <w:rFonts w:ascii="Arial" w:eastAsia="Arial" w:hAnsi="Arial" w:cs="Arial"/>
          <w:sz w:val="22"/>
          <w:szCs w:val="22"/>
        </w:rPr>
        <w:t>a</w:t>
      </w:r>
      <w:r w:rsidRPr="00094814">
        <w:rPr>
          <w:rFonts w:ascii="Arial" w:eastAsia="Arial" w:hAnsi="Arial" w:cs="Arial"/>
          <w:sz w:val="22"/>
          <w:szCs w:val="22"/>
        </w:rPr>
        <w:t>s</w:t>
      </w:r>
      <w:r w:rsidRPr="00BD17CA">
        <w:rPr>
          <w:rFonts w:ascii="Arial" w:eastAsia="Arial" w:hAnsi="Arial" w:cs="Arial"/>
          <w:sz w:val="22"/>
          <w:szCs w:val="22"/>
        </w:rPr>
        <w:t>h</w:t>
      </w:r>
      <w:r w:rsidRPr="00094814">
        <w:rPr>
          <w:rFonts w:ascii="Arial" w:eastAsia="Arial" w:hAnsi="Arial" w:cs="Arial"/>
          <w:sz w:val="22"/>
          <w:szCs w:val="22"/>
        </w:rPr>
        <w:t xml:space="preserve"> i</w:t>
      </w:r>
      <w:r w:rsidRPr="00BD17CA">
        <w:rPr>
          <w:rFonts w:ascii="Arial" w:eastAsia="Arial" w:hAnsi="Arial" w:cs="Arial"/>
          <w:sz w:val="22"/>
          <w:szCs w:val="22"/>
        </w:rPr>
        <w:t>n</w:t>
      </w:r>
      <w:r w:rsidRPr="00094814">
        <w:rPr>
          <w:rFonts w:ascii="Arial" w:eastAsia="Arial" w:hAnsi="Arial" w:cs="Arial"/>
          <w:sz w:val="22"/>
          <w:szCs w:val="22"/>
        </w:rPr>
        <w:t xml:space="preserve"> </w:t>
      </w:r>
      <w:r w:rsidRPr="00BD17CA">
        <w:rPr>
          <w:rFonts w:ascii="Arial" w:eastAsia="Arial" w:hAnsi="Arial" w:cs="Arial"/>
          <w:sz w:val="22"/>
          <w:szCs w:val="22"/>
        </w:rPr>
        <w:t>h</w:t>
      </w:r>
      <w:r w:rsidRPr="00094814">
        <w:rPr>
          <w:rFonts w:ascii="Arial" w:eastAsia="Arial" w:hAnsi="Arial" w:cs="Arial"/>
          <w:sz w:val="22"/>
          <w:szCs w:val="22"/>
        </w:rPr>
        <w:t>a</w:t>
      </w:r>
      <w:r w:rsidRPr="00BD17CA">
        <w:rPr>
          <w:rFonts w:ascii="Arial" w:eastAsia="Arial" w:hAnsi="Arial" w:cs="Arial"/>
          <w:sz w:val="22"/>
          <w:szCs w:val="22"/>
        </w:rPr>
        <w:t>nd</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 xml:space="preserve"> d</w:t>
      </w:r>
      <w:r w:rsidRPr="00BD17CA">
        <w:rPr>
          <w:rFonts w:ascii="Arial" w:eastAsia="Arial" w:hAnsi="Arial" w:cs="Arial"/>
          <w:sz w:val="22"/>
          <w:szCs w:val="22"/>
        </w:rPr>
        <w:t>e</w:t>
      </w:r>
      <w:r w:rsidRPr="00094814">
        <w:rPr>
          <w:rFonts w:ascii="Arial" w:eastAsia="Arial" w:hAnsi="Arial" w:cs="Arial"/>
          <w:sz w:val="22"/>
          <w:szCs w:val="22"/>
        </w:rPr>
        <w:t>m</w:t>
      </w:r>
      <w:r w:rsidRPr="00BD17CA">
        <w:rPr>
          <w:rFonts w:ascii="Arial" w:eastAsia="Arial" w:hAnsi="Arial" w:cs="Arial"/>
          <w:sz w:val="22"/>
          <w:szCs w:val="22"/>
        </w:rPr>
        <w:t>a</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 xml:space="preserve"> d</w:t>
      </w:r>
      <w:r w:rsidRPr="00BD17CA">
        <w:rPr>
          <w:rFonts w:ascii="Arial" w:eastAsia="Arial" w:hAnsi="Arial" w:cs="Arial"/>
          <w:sz w:val="22"/>
          <w:szCs w:val="22"/>
        </w:rPr>
        <w:t>e</w:t>
      </w:r>
      <w:r w:rsidRPr="00094814">
        <w:rPr>
          <w:rFonts w:ascii="Arial" w:eastAsia="Arial" w:hAnsi="Arial" w:cs="Arial"/>
          <w:sz w:val="22"/>
          <w:szCs w:val="22"/>
        </w:rPr>
        <w:t>p</w:t>
      </w:r>
      <w:r w:rsidRPr="00BD17CA">
        <w:rPr>
          <w:rFonts w:ascii="Arial" w:eastAsia="Arial" w:hAnsi="Arial" w:cs="Arial"/>
          <w:sz w:val="22"/>
          <w:szCs w:val="22"/>
        </w:rPr>
        <w:t>o</w:t>
      </w:r>
      <w:r w:rsidRPr="00094814">
        <w:rPr>
          <w:rFonts w:ascii="Arial" w:eastAsia="Arial" w:hAnsi="Arial" w:cs="Arial"/>
          <w:sz w:val="22"/>
          <w:szCs w:val="22"/>
        </w:rPr>
        <w:t>si</w:t>
      </w:r>
      <w:r w:rsidRPr="00BD17CA">
        <w:rPr>
          <w:rFonts w:ascii="Arial" w:eastAsia="Arial" w:hAnsi="Arial" w:cs="Arial"/>
          <w:sz w:val="22"/>
          <w:szCs w:val="22"/>
        </w:rPr>
        <w:t>ts</w:t>
      </w:r>
      <w:r w:rsidRPr="00094814">
        <w:rPr>
          <w:rFonts w:ascii="Arial" w:eastAsia="Arial" w:hAnsi="Arial" w:cs="Arial"/>
          <w:sz w:val="22"/>
          <w:szCs w:val="22"/>
        </w:rPr>
        <w:t xml:space="preserve"> an</w:t>
      </w:r>
      <w:r w:rsidRPr="00BD17CA">
        <w:rPr>
          <w:rFonts w:ascii="Arial" w:eastAsia="Arial" w:hAnsi="Arial" w:cs="Arial"/>
          <w:sz w:val="22"/>
          <w:szCs w:val="22"/>
        </w:rPr>
        <w:t>d</w:t>
      </w:r>
      <w:r w:rsidRPr="00094814">
        <w:rPr>
          <w:rFonts w:ascii="Arial" w:eastAsia="Arial" w:hAnsi="Arial" w:cs="Arial"/>
          <w:sz w:val="22"/>
          <w:szCs w:val="22"/>
        </w:rPr>
        <w:t xml:space="preserve"> i</w:t>
      </w:r>
      <w:r w:rsidRPr="00BD17CA">
        <w:rPr>
          <w:rFonts w:ascii="Arial" w:eastAsia="Arial" w:hAnsi="Arial" w:cs="Arial"/>
          <w:sz w:val="22"/>
          <w:szCs w:val="22"/>
        </w:rPr>
        <w:t>n</w:t>
      </w:r>
      <w:r w:rsidRPr="00094814">
        <w:rPr>
          <w:rFonts w:ascii="Arial" w:eastAsia="Arial" w:hAnsi="Arial" w:cs="Arial"/>
          <w:sz w:val="22"/>
          <w:szCs w:val="22"/>
        </w:rPr>
        <w:t>clu</w:t>
      </w:r>
      <w:r w:rsidRPr="00BD17CA">
        <w:rPr>
          <w:rFonts w:ascii="Arial" w:eastAsia="Arial" w:hAnsi="Arial" w:cs="Arial"/>
          <w:sz w:val="22"/>
          <w:szCs w:val="22"/>
        </w:rPr>
        <w:t>d</w:t>
      </w:r>
      <w:r w:rsidRPr="00094814">
        <w:rPr>
          <w:rFonts w:ascii="Arial" w:eastAsia="Arial" w:hAnsi="Arial" w:cs="Arial"/>
          <w:sz w:val="22"/>
          <w:szCs w:val="22"/>
        </w:rPr>
        <w:t>e</w:t>
      </w:r>
      <w:r w:rsidRPr="00BD17CA">
        <w:rPr>
          <w:rFonts w:ascii="Arial" w:eastAsia="Arial" w:hAnsi="Arial" w:cs="Arial"/>
          <w:sz w:val="22"/>
          <w:szCs w:val="22"/>
        </w:rPr>
        <w:t>s</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m</w:t>
      </w:r>
      <w:r w:rsidRPr="00BD17CA">
        <w:rPr>
          <w:rFonts w:ascii="Arial" w:eastAsia="Arial" w:hAnsi="Arial" w:cs="Arial"/>
          <w:sz w:val="22"/>
          <w:szCs w:val="22"/>
        </w:rPr>
        <w:t>o</w:t>
      </w:r>
      <w:r w:rsidRPr="00094814">
        <w:rPr>
          <w:rFonts w:ascii="Arial" w:eastAsia="Arial" w:hAnsi="Arial" w:cs="Arial"/>
          <w:sz w:val="22"/>
          <w:szCs w:val="22"/>
        </w:rPr>
        <w:t>u</w:t>
      </w:r>
      <w:r w:rsidRPr="00BD17CA">
        <w:rPr>
          <w:rFonts w:ascii="Arial" w:eastAsia="Arial" w:hAnsi="Arial" w:cs="Arial"/>
          <w:sz w:val="22"/>
          <w:szCs w:val="22"/>
        </w:rPr>
        <w:t>nts</w:t>
      </w:r>
      <w:r w:rsidRPr="00094814">
        <w:rPr>
          <w:rFonts w:ascii="Arial" w:eastAsia="Arial" w:hAnsi="Arial" w:cs="Arial"/>
          <w:sz w:val="22"/>
          <w:szCs w:val="22"/>
        </w:rPr>
        <w:t xml:space="preserve"> </w:t>
      </w:r>
      <w:r w:rsidRPr="00BD17CA">
        <w:rPr>
          <w:rFonts w:ascii="Arial" w:eastAsia="Arial" w:hAnsi="Arial" w:cs="Arial"/>
          <w:sz w:val="22"/>
          <w:szCs w:val="22"/>
        </w:rPr>
        <w:t>h</w:t>
      </w:r>
      <w:r w:rsidRPr="00094814">
        <w:rPr>
          <w:rFonts w:ascii="Arial" w:eastAsia="Arial" w:hAnsi="Arial" w:cs="Arial"/>
          <w:sz w:val="22"/>
          <w:szCs w:val="22"/>
        </w:rPr>
        <w:t>el</w:t>
      </w:r>
      <w:r w:rsidRPr="00BD17CA">
        <w:rPr>
          <w:rFonts w:ascii="Arial" w:eastAsia="Arial" w:hAnsi="Arial" w:cs="Arial"/>
          <w:sz w:val="22"/>
          <w:szCs w:val="22"/>
        </w:rPr>
        <w:t>d</w:t>
      </w:r>
      <w:r w:rsidRPr="00094814">
        <w:rPr>
          <w:rFonts w:ascii="Arial" w:eastAsia="Arial" w:hAnsi="Arial" w:cs="Arial"/>
          <w:sz w:val="22"/>
          <w:szCs w:val="22"/>
        </w:rPr>
        <w:t xml:space="preserve"> b</w:t>
      </w:r>
      <w:r w:rsidRPr="00BD17CA">
        <w:rPr>
          <w:rFonts w:ascii="Arial" w:eastAsia="Arial" w:hAnsi="Arial" w:cs="Arial"/>
          <w:sz w:val="22"/>
          <w:szCs w:val="22"/>
        </w:rPr>
        <w:t>y</w:t>
      </w:r>
      <w:r w:rsidRPr="00094814">
        <w:rPr>
          <w:rFonts w:ascii="Arial" w:eastAsia="Arial" w:hAnsi="Arial" w:cs="Arial"/>
          <w:sz w:val="22"/>
          <w:szCs w:val="22"/>
        </w:rPr>
        <w:t xml:space="preserve"> </w:t>
      </w:r>
      <w:r w:rsidRPr="00BD17CA">
        <w:rPr>
          <w:rFonts w:ascii="Arial" w:eastAsia="Arial" w:hAnsi="Arial" w:cs="Arial"/>
          <w:sz w:val="22"/>
          <w:szCs w:val="22"/>
        </w:rPr>
        <w:t>the</w:t>
      </w:r>
      <w:r w:rsidRPr="00094814">
        <w:rPr>
          <w:rFonts w:ascii="Arial" w:eastAsia="Arial" w:hAnsi="Arial" w:cs="Arial"/>
          <w:sz w:val="22"/>
          <w:szCs w:val="22"/>
        </w:rPr>
        <w:t xml:space="preserve"> f</w:t>
      </w:r>
      <w:r w:rsidRPr="00BD17CA">
        <w:rPr>
          <w:rFonts w:ascii="Arial" w:eastAsia="Arial" w:hAnsi="Arial" w:cs="Arial"/>
          <w:sz w:val="22"/>
          <w:szCs w:val="22"/>
        </w:rPr>
        <w:t>u</w:t>
      </w:r>
      <w:r w:rsidRPr="00094814">
        <w:rPr>
          <w:rFonts w:ascii="Arial" w:eastAsia="Arial" w:hAnsi="Arial" w:cs="Arial"/>
          <w:sz w:val="22"/>
          <w:szCs w:val="22"/>
        </w:rPr>
        <w:t>n</w:t>
      </w:r>
      <w:r w:rsidRPr="00BD17CA">
        <w:rPr>
          <w:rFonts w:ascii="Arial" w:eastAsia="Arial" w:hAnsi="Arial" w:cs="Arial"/>
          <w:sz w:val="22"/>
          <w:szCs w:val="22"/>
        </w:rPr>
        <w:t>d's</w:t>
      </w:r>
      <w:r w:rsidRPr="00094814">
        <w:rPr>
          <w:rFonts w:ascii="Arial" w:eastAsia="Arial" w:hAnsi="Arial" w:cs="Arial"/>
          <w:sz w:val="22"/>
          <w:szCs w:val="22"/>
        </w:rPr>
        <w:t xml:space="preserve"> </w:t>
      </w:r>
      <w:r w:rsidRPr="00BD17CA">
        <w:rPr>
          <w:rFonts w:ascii="Arial" w:eastAsia="Arial" w:hAnsi="Arial" w:cs="Arial"/>
          <w:sz w:val="22"/>
          <w:szCs w:val="22"/>
        </w:rPr>
        <w:t>e</w:t>
      </w:r>
      <w:r w:rsidRPr="00094814">
        <w:rPr>
          <w:rFonts w:ascii="Arial" w:eastAsia="Arial" w:hAnsi="Arial" w:cs="Arial"/>
          <w:sz w:val="22"/>
          <w:szCs w:val="22"/>
        </w:rPr>
        <w:t>x</w:t>
      </w:r>
      <w:r w:rsidRPr="00BD17CA">
        <w:rPr>
          <w:rFonts w:ascii="Arial" w:eastAsia="Arial" w:hAnsi="Arial" w:cs="Arial"/>
          <w:sz w:val="22"/>
          <w:szCs w:val="22"/>
        </w:rPr>
        <w:t>te</w:t>
      </w:r>
      <w:r w:rsidRPr="00094814">
        <w:rPr>
          <w:rFonts w:ascii="Arial" w:eastAsia="Arial" w:hAnsi="Arial" w:cs="Arial"/>
          <w:sz w:val="22"/>
          <w:szCs w:val="22"/>
        </w:rPr>
        <w:t>r</w:t>
      </w:r>
      <w:r w:rsidRPr="00BD17CA">
        <w:rPr>
          <w:rFonts w:ascii="Arial" w:eastAsia="Arial" w:hAnsi="Arial" w:cs="Arial"/>
          <w:sz w:val="22"/>
          <w:szCs w:val="22"/>
        </w:rPr>
        <w:t>n</w:t>
      </w:r>
      <w:r w:rsidRPr="00094814">
        <w:rPr>
          <w:rFonts w:ascii="Arial" w:eastAsia="Arial" w:hAnsi="Arial" w:cs="Arial"/>
          <w:sz w:val="22"/>
          <w:szCs w:val="22"/>
        </w:rPr>
        <w:t>a</w:t>
      </w:r>
      <w:r w:rsidRPr="00BD17CA">
        <w:rPr>
          <w:rFonts w:ascii="Arial" w:eastAsia="Arial" w:hAnsi="Arial" w:cs="Arial"/>
          <w:sz w:val="22"/>
          <w:szCs w:val="22"/>
        </w:rPr>
        <w:t>l</w:t>
      </w:r>
      <w:r w:rsidRPr="00094814">
        <w:rPr>
          <w:rFonts w:ascii="Arial" w:eastAsia="Arial" w:hAnsi="Arial" w:cs="Arial"/>
          <w:sz w:val="22"/>
          <w:szCs w:val="22"/>
        </w:rPr>
        <w:t xml:space="preserve"> m</w:t>
      </w:r>
      <w:r w:rsidRPr="00BD17CA">
        <w:rPr>
          <w:rFonts w:ascii="Arial" w:eastAsia="Arial" w:hAnsi="Arial" w:cs="Arial"/>
          <w:sz w:val="22"/>
          <w:szCs w:val="22"/>
        </w:rPr>
        <w:t>a</w:t>
      </w:r>
      <w:r w:rsidRPr="00094814">
        <w:rPr>
          <w:rFonts w:ascii="Arial" w:eastAsia="Arial" w:hAnsi="Arial" w:cs="Arial"/>
          <w:sz w:val="22"/>
          <w:szCs w:val="22"/>
        </w:rPr>
        <w:t>n</w:t>
      </w:r>
      <w:r w:rsidRPr="00BD17CA">
        <w:rPr>
          <w:rFonts w:ascii="Arial" w:eastAsia="Arial" w:hAnsi="Arial" w:cs="Arial"/>
          <w:sz w:val="22"/>
          <w:szCs w:val="22"/>
        </w:rPr>
        <w:t>a</w:t>
      </w:r>
      <w:r w:rsidRPr="00094814">
        <w:rPr>
          <w:rFonts w:ascii="Arial" w:eastAsia="Arial" w:hAnsi="Arial" w:cs="Arial"/>
          <w:sz w:val="22"/>
          <w:szCs w:val="22"/>
        </w:rPr>
        <w:t>g</w:t>
      </w:r>
      <w:r w:rsidRPr="00BD17CA">
        <w:rPr>
          <w:rFonts w:ascii="Arial" w:eastAsia="Arial" w:hAnsi="Arial" w:cs="Arial"/>
          <w:sz w:val="22"/>
          <w:szCs w:val="22"/>
        </w:rPr>
        <w:t>e</w:t>
      </w:r>
      <w:r w:rsidRPr="00094814">
        <w:rPr>
          <w:rFonts w:ascii="Arial" w:eastAsia="Arial" w:hAnsi="Arial" w:cs="Arial"/>
          <w:sz w:val="22"/>
          <w:szCs w:val="22"/>
        </w:rPr>
        <w:t>rs</w:t>
      </w:r>
      <w:r w:rsidRPr="00BD17CA">
        <w:rPr>
          <w:rFonts w:ascii="Arial" w:eastAsia="Arial" w:hAnsi="Arial" w:cs="Arial"/>
          <w:sz w:val="22"/>
          <w:szCs w:val="22"/>
        </w:rPr>
        <w:t>.</w:t>
      </w:r>
    </w:p>
    <w:p w14:paraId="31AEE5DD" w14:textId="3C9D101E" w:rsidR="009C7422" w:rsidRDefault="001706EB" w:rsidP="00094814">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Ca</w:t>
      </w:r>
      <w:r w:rsidRPr="00094814">
        <w:rPr>
          <w:rFonts w:ascii="Arial" w:eastAsia="Arial" w:hAnsi="Arial" w:cs="Arial"/>
          <w:sz w:val="22"/>
          <w:szCs w:val="22"/>
        </w:rPr>
        <w:t>s</w:t>
      </w:r>
      <w:r w:rsidRPr="00BD17CA">
        <w:rPr>
          <w:rFonts w:ascii="Arial" w:eastAsia="Arial" w:hAnsi="Arial" w:cs="Arial"/>
          <w:sz w:val="22"/>
          <w:szCs w:val="22"/>
        </w:rPr>
        <w:t>h</w:t>
      </w:r>
      <w:r w:rsidRPr="00094814">
        <w:rPr>
          <w:rFonts w:ascii="Arial" w:eastAsia="Arial" w:hAnsi="Arial" w:cs="Arial"/>
          <w:sz w:val="22"/>
          <w:szCs w:val="22"/>
        </w:rPr>
        <w:t xml:space="preserve"> e</w:t>
      </w:r>
      <w:r w:rsidRPr="00BD17CA">
        <w:rPr>
          <w:rFonts w:ascii="Arial" w:eastAsia="Arial" w:hAnsi="Arial" w:cs="Arial"/>
          <w:sz w:val="22"/>
          <w:szCs w:val="22"/>
        </w:rPr>
        <w:t>q</w:t>
      </w:r>
      <w:r w:rsidRPr="00094814">
        <w:rPr>
          <w:rFonts w:ascii="Arial" w:eastAsia="Arial" w:hAnsi="Arial" w:cs="Arial"/>
          <w:sz w:val="22"/>
          <w:szCs w:val="22"/>
        </w:rPr>
        <w:t>uivale</w:t>
      </w:r>
      <w:r w:rsidRPr="00BD17CA">
        <w:rPr>
          <w:rFonts w:ascii="Arial" w:eastAsia="Arial" w:hAnsi="Arial" w:cs="Arial"/>
          <w:sz w:val="22"/>
          <w:szCs w:val="22"/>
        </w:rPr>
        <w:t>nts</w:t>
      </w:r>
      <w:r w:rsidRPr="00094814">
        <w:rPr>
          <w:rFonts w:ascii="Arial" w:eastAsia="Arial" w:hAnsi="Arial" w:cs="Arial"/>
          <w:sz w:val="22"/>
          <w:szCs w:val="22"/>
        </w:rPr>
        <w:t xml:space="preserve"> </w:t>
      </w:r>
      <w:r w:rsidRPr="00BD17CA">
        <w:rPr>
          <w:rFonts w:ascii="Arial" w:eastAsia="Arial" w:hAnsi="Arial" w:cs="Arial"/>
          <w:sz w:val="22"/>
          <w:szCs w:val="22"/>
        </w:rPr>
        <w:t>are</w:t>
      </w:r>
      <w:r w:rsidRPr="00094814">
        <w:rPr>
          <w:rFonts w:ascii="Arial" w:eastAsia="Arial" w:hAnsi="Arial" w:cs="Arial"/>
          <w:sz w:val="22"/>
          <w:szCs w:val="22"/>
        </w:rPr>
        <w:t xml:space="preserve"> s</w:t>
      </w:r>
      <w:r w:rsidRPr="00BD17CA">
        <w:rPr>
          <w:rFonts w:ascii="Arial" w:eastAsia="Arial" w:hAnsi="Arial" w:cs="Arial"/>
          <w:sz w:val="22"/>
          <w:szCs w:val="22"/>
        </w:rPr>
        <w:t>h</w:t>
      </w:r>
      <w:r w:rsidRPr="00094814">
        <w:rPr>
          <w:rFonts w:ascii="Arial" w:eastAsia="Arial" w:hAnsi="Arial" w:cs="Arial"/>
          <w:sz w:val="22"/>
          <w:szCs w:val="22"/>
        </w:rPr>
        <w:t>ort-</w:t>
      </w:r>
      <w:r w:rsidRPr="00BD17CA">
        <w:rPr>
          <w:rFonts w:ascii="Arial" w:eastAsia="Arial" w:hAnsi="Arial" w:cs="Arial"/>
          <w:sz w:val="22"/>
          <w:szCs w:val="22"/>
        </w:rPr>
        <w:t>ter</w:t>
      </w:r>
      <w:r w:rsidRPr="00094814">
        <w:rPr>
          <w:rFonts w:ascii="Arial" w:eastAsia="Arial" w:hAnsi="Arial" w:cs="Arial"/>
          <w:sz w:val="22"/>
          <w:szCs w:val="22"/>
        </w:rPr>
        <w:t>m</w:t>
      </w:r>
      <w:r w:rsidRPr="00BD17CA">
        <w:rPr>
          <w:rFonts w:ascii="Arial" w:eastAsia="Arial" w:hAnsi="Arial" w:cs="Arial"/>
          <w:sz w:val="22"/>
          <w:szCs w:val="22"/>
        </w:rPr>
        <w:t>,</w:t>
      </w:r>
      <w:r w:rsidRPr="00094814">
        <w:rPr>
          <w:rFonts w:ascii="Arial" w:eastAsia="Arial" w:hAnsi="Arial" w:cs="Arial"/>
          <w:sz w:val="22"/>
          <w:szCs w:val="22"/>
        </w:rPr>
        <w:t xml:space="preserve"> </w:t>
      </w:r>
      <w:r w:rsidRPr="00BD17CA">
        <w:rPr>
          <w:rFonts w:ascii="Arial" w:eastAsia="Arial" w:hAnsi="Arial" w:cs="Arial"/>
          <w:sz w:val="22"/>
          <w:szCs w:val="22"/>
        </w:rPr>
        <w:t>h</w:t>
      </w:r>
      <w:r w:rsidRPr="00094814">
        <w:rPr>
          <w:rFonts w:ascii="Arial" w:eastAsia="Arial" w:hAnsi="Arial" w:cs="Arial"/>
          <w:sz w:val="22"/>
          <w:szCs w:val="22"/>
        </w:rPr>
        <w:t>i</w:t>
      </w:r>
      <w:r w:rsidRPr="00BD17CA">
        <w:rPr>
          <w:rFonts w:ascii="Arial" w:eastAsia="Arial" w:hAnsi="Arial" w:cs="Arial"/>
          <w:sz w:val="22"/>
          <w:szCs w:val="22"/>
        </w:rPr>
        <w:t>g</w:t>
      </w:r>
      <w:r w:rsidRPr="00094814">
        <w:rPr>
          <w:rFonts w:ascii="Arial" w:eastAsia="Arial" w:hAnsi="Arial" w:cs="Arial"/>
          <w:sz w:val="22"/>
          <w:szCs w:val="22"/>
        </w:rPr>
        <w:t>hl</w:t>
      </w:r>
      <w:r w:rsidRPr="00BD17CA">
        <w:rPr>
          <w:rFonts w:ascii="Arial" w:eastAsia="Arial" w:hAnsi="Arial" w:cs="Arial"/>
          <w:sz w:val="22"/>
          <w:szCs w:val="22"/>
        </w:rPr>
        <w:t>y</w:t>
      </w:r>
      <w:r w:rsidRPr="00094814">
        <w:rPr>
          <w:rFonts w:ascii="Arial" w:eastAsia="Arial" w:hAnsi="Arial" w:cs="Arial"/>
          <w:sz w:val="22"/>
          <w:szCs w:val="22"/>
        </w:rPr>
        <w:t xml:space="preserve"> li</w:t>
      </w:r>
      <w:r w:rsidRPr="00BD17CA">
        <w:rPr>
          <w:rFonts w:ascii="Arial" w:eastAsia="Arial" w:hAnsi="Arial" w:cs="Arial"/>
          <w:sz w:val="22"/>
          <w:szCs w:val="22"/>
        </w:rPr>
        <w:t>q</w:t>
      </w:r>
      <w:r w:rsidRPr="00094814">
        <w:rPr>
          <w:rFonts w:ascii="Arial" w:eastAsia="Arial" w:hAnsi="Arial" w:cs="Arial"/>
          <w:sz w:val="22"/>
          <w:szCs w:val="22"/>
        </w:rPr>
        <w:t>ui</w:t>
      </w:r>
      <w:r w:rsidRPr="00BD17CA">
        <w:rPr>
          <w:rFonts w:ascii="Arial" w:eastAsia="Arial" w:hAnsi="Arial" w:cs="Arial"/>
          <w:sz w:val="22"/>
          <w:szCs w:val="22"/>
        </w:rPr>
        <w:t>d</w:t>
      </w:r>
      <w:r w:rsidRPr="00094814">
        <w:rPr>
          <w:rFonts w:ascii="Arial" w:eastAsia="Arial" w:hAnsi="Arial" w:cs="Arial"/>
          <w:sz w:val="22"/>
          <w:szCs w:val="22"/>
        </w:rPr>
        <w:t xml:space="preserve"> inv</w:t>
      </w:r>
      <w:r w:rsidRPr="00BD17CA">
        <w:rPr>
          <w:rFonts w:ascii="Arial" w:eastAsia="Arial" w:hAnsi="Arial" w:cs="Arial"/>
          <w:sz w:val="22"/>
          <w:szCs w:val="22"/>
        </w:rPr>
        <w:t>e</w:t>
      </w:r>
      <w:r w:rsidRPr="00094814">
        <w:rPr>
          <w:rFonts w:ascii="Arial" w:eastAsia="Arial" w:hAnsi="Arial" w:cs="Arial"/>
          <w:sz w:val="22"/>
          <w:szCs w:val="22"/>
        </w:rPr>
        <w:t>s</w:t>
      </w:r>
      <w:r w:rsidRPr="00BD17CA">
        <w:rPr>
          <w:rFonts w:ascii="Arial" w:eastAsia="Arial" w:hAnsi="Arial" w:cs="Arial"/>
          <w:sz w:val="22"/>
          <w:szCs w:val="22"/>
        </w:rPr>
        <w:t>t</w:t>
      </w:r>
      <w:r w:rsidRPr="00094814">
        <w:rPr>
          <w:rFonts w:ascii="Arial" w:eastAsia="Arial" w:hAnsi="Arial" w:cs="Arial"/>
          <w:sz w:val="22"/>
          <w:szCs w:val="22"/>
        </w:rPr>
        <w:t>m</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ts</w:t>
      </w:r>
      <w:r w:rsidRPr="00094814">
        <w:rPr>
          <w:rFonts w:ascii="Arial" w:eastAsia="Arial" w:hAnsi="Arial" w:cs="Arial"/>
          <w:sz w:val="22"/>
          <w:szCs w:val="22"/>
        </w:rPr>
        <w:t xml:space="preserve"> </w:t>
      </w:r>
      <w:r w:rsidRPr="00BD17CA">
        <w:rPr>
          <w:rFonts w:ascii="Arial" w:eastAsia="Arial" w:hAnsi="Arial" w:cs="Arial"/>
          <w:sz w:val="22"/>
          <w:szCs w:val="22"/>
        </w:rPr>
        <w:t>th</w:t>
      </w:r>
      <w:r w:rsidRPr="00094814">
        <w:rPr>
          <w:rFonts w:ascii="Arial" w:eastAsia="Arial" w:hAnsi="Arial" w:cs="Arial"/>
          <w:sz w:val="22"/>
          <w:szCs w:val="22"/>
        </w:rPr>
        <w:t>a</w:t>
      </w:r>
      <w:r w:rsidRPr="00BD17CA">
        <w:rPr>
          <w:rFonts w:ascii="Arial" w:eastAsia="Arial" w:hAnsi="Arial" w:cs="Arial"/>
          <w:sz w:val="22"/>
          <w:szCs w:val="22"/>
        </w:rPr>
        <w:t>t</w:t>
      </w:r>
      <w:r w:rsidRPr="00094814">
        <w:rPr>
          <w:rFonts w:ascii="Arial" w:eastAsia="Arial" w:hAnsi="Arial" w:cs="Arial"/>
          <w:sz w:val="22"/>
          <w:szCs w:val="22"/>
        </w:rPr>
        <w:t xml:space="preserve"> </w:t>
      </w:r>
      <w:r w:rsidRPr="00BD17CA">
        <w:rPr>
          <w:rFonts w:ascii="Arial" w:eastAsia="Arial" w:hAnsi="Arial" w:cs="Arial"/>
          <w:sz w:val="22"/>
          <w:szCs w:val="22"/>
        </w:rPr>
        <w:t>are</w:t>
      </w:r>
      <w:r w:rsidRPr="00094814">
        <w:rPr>
          <w:rFonts w:ascii="Arial" w:eastAsia="Arial" w:hAnsi="Arial" w:cs="Arial"/>
          <w:sz w:val="22"/>
          <w:szCs w:val="22"/>
        </w:rPr>
        <w:t xml:space="preserve"> r</w:t>
      </w:r>
      <w:r w:rsidRPr="00BD17CA">
        <w:rPr>
          <w:rFonts w:ascii="Arial" w:eastAsia="Arial" w:hAnsi="Arial" w:cs="Arial"/>
          <w:sz w:val="22"/>
          <w:szCs w:val="22"/>
        </w:rPr>
        <w:t>e</w:t>
      </w:r>
      <w:r w:rsidRPr="00094814">
        <w:rPr>
          <w:rFonts w:ascii="Arial" w:eastAsia="Arial" w:hAnsi="Arial" w:cs="Arial"/>
          <w:sz w:val="22"/>
          <w:szCs w:val="22"/>
        </w:rPr>
        <w:t>adil</w:t>
      </w:r>
      <w:r w:rsidRPr="00BD17CA">
        <w:rPr>
          <w:rFonts w:ascii="Arial" w:eastAsia="Arial" w:hAnsi="Arial" w:cs="Arial"/>
          <w:sz w:val="22"/>
          <w:szCs w:val="22"/>
        </w:rPr>
        <w:t>y</w:t>
      </w:r>
      <w:r w:rsidRPr="00094814">
        <w:rPr>
          <w:rFonts w:ascii="Arial" w:eastAsia="Arial" w:hAnsi="Arial" w:cs="Arial"/>
          <w:sz w:val="22"/>
          <w:szCs w:val="22"/>
        </w:rPr>
        <w:t xml:space="preserve"> co</w:t>
      </w:r>
      <w:r w:rsidRPr="00BD17CA">
        <w:rPr>
          <w:rFonts w:ascii="Arial" w:eastAsia="Arial" w:hAnsi="Arial" w:cs="Arial"/>
          <w:sz w:val="22"/>
          <w:szCs w:val="22"/>
        </w:rPr>
        <w:t>n</w:t>
      </w:r>
      <w:r w:rsidRPr="00094814">
        <w:rPr>
          <w:rFonts w:ascii="Arial" w:eastAsia="Arial" w:hAnsi="Arial" w:cs="Arial"/>
          <w:sz w:val="22"/>
          <w:szCs w:val="22"/>
        </w:rPr>
        <w:t>v</w:t>
      </w:r>
      <w:r w:rsidRPr="00BD17CA">
        <w:rPr>
          <w:rFonts w:ascii="Arial" w:eastAsia="Arial" w:hAnsi="Arial" w:cs="Arial"/>
          <w:sz w:val="22"/>
          <w:szCs w:val="22"/>
        </w:rPr>
        <w:t>ert</w:t>
      </w:r>
      <w:r w:rsidRPr="00094814">
        <w:rPr>
          <w:rFonts w:ascii="Arial" w:eastAsia="Arial" w:hAnsi="Arial" w:cs="Arial"/>
          <w:sz w:val="22"/>
          <w:szCs w:val="22"/>
        </w:rPr>
        <w:t>i</w:t>
      </w:r>
      <w:r w:rsidRPr="00BD17CA">
        <w:rPr>
          <w:rFonts w:ascii="Arial" w:eastAsia="Arial" w:hAnsi="Arial" w:cs="Arial"/>
          <w:sz w:val="22"/>
          <w:szCs w:val="22"/>
        </w:rPr>
        <w:t>b</w:t>
      </w:r>
      <w:r w:rsidRPr="00094814">
        <w:rPr>
          <w:rFonts w:ascii="Arial" w:eastAsia="Arial" w:hAnsi="Arial" w:cs="Arial"/>
          <w:sz w:val="22"/>
          <w:szCs w:val="22"/>
        </w:rPr>
        <w:t>l</w:t>
      </w:r>
      <w:r w:rsidRPr="00BD17CA">
        <w:rPr>
          <w:rFonts w:ascii="Arial" w:eastAsia="Arial" w:hAnsi="Arial" w:cs="Arial"/>
          <w:sz w:val="22"/>
          <w:szCs w:val="22"/>
        </w:rPr>
        <w:t>e</w:t>
      </w:r>
      <w:r w:rsidRPr="00094814">
        <w:rPr>
          <w:rFonts w:ascii="Arial" w:eastAsia="Arial" w:hAnsi="Arial" w:cs="Arial"/>
          <w:sz w:val="22"/>
          <w:szCs w:val="22"/>
        </w:rPr>
        <w:t xml:space="preserve"> </w:t>
      </w:r>
      <w:r w:rsidRPr="00BD17CA">
        <w:rPr>
          <w:rFonts w:ascii="Arial" w:eastAsia="Arial" w:hAnsi="Arial" w:cs="Arial"/>
          <w:sz w:val="22"/>
          <w:szCs w:val="22"/>
        </w:rPr>
        <w:t>to</w:t>
      </w:r>
      <w:r w:rsidRPr="00094814">
        <w:rPr>
          <w:rFonts w:ascii="Arial" w:eastAsia="Arial" w:hAnsi="Arial" w:cs="Arial"/>
          <w:sz w:val="22"/>
          <w:szCs w:val="22"/>
        </w:rPr>
        <w:t xml:space="preserve"> k</w:t>
      </w:r>
      <w:r w:rsidRPr="00BD17CA">
        <w:rPr>
          <w:rFonts w:ascii="Arial" w:eastAsia="Arial" w:hAnsi="Arial" w:cs="Arial"/>
          <w:sz w:val="22"/>
          <w:szCs w:val="22"/>
        </w:rPr>
        <w:t>n</w:t>
      </w:r>
      <w:r w:rsidRPr="00094814">
        <w:rPr>
          <w:rFonts w:ascii="Arial" w:eastAsia="Arial" w:hAnsi="Arial" w:cs="Arial"/>
          <w:sz w:val="22"/>
          <w:szCs w:val="22"/>
        </w:rPr>
        <w:t>ow</w:t>
      </w:r>
      <w:r w:rsidRPr="00BD17CA">
        <w:rPr>
          <w:rFonts w:ascii="Arial" w:eastAsia="Arial" w:hAnsi="Arial" w:cs="Arial"/>
          <w:sz w:val="22"/>
          <w:szCs w:val="22"/>
        </w:rPr>
        <w:t>n</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m</w:t>
      </w:r>
      <w:r w:rsidRPr="00BD17CA">
        <w:rPr>
          <w:rFonts w:ascii="Arial" w:eastAsia="Arial" w:hAnsi="Arial" w:cs="Arial"/>
          <w:sz w:val="22"/>
          <w:szCs w:val="22"/>
        </w:rPr>
        <w:t>o</w:t>
      </w:r>
      <w:r w:rsidRPr="00094814">
        <w:rPr>
          <w:rFonts w:ascii="Arial" w:eastAsia="Arial" w:hAnsi="Arial" w:cs="Arial"/>
          <w:sz w:val="22"/>
          <w:szCs w:val="22"/>
        </w:rPr>
        <w:t>u</w:t>
      </w:r>
      <w:r w:rsidRPr="00BD17CA">
        <w:rPr>
          <w:rFonts w:ascii="Arial" w:eastAsia="Arial" w:hAnsi="Arial" w:cs="Arial"/>
          <w:sz w:val="22"/>
          <w:szCs w:val="22"/>
        </w:rPr>
        <w:t>nts</w:t>
      </w:r>
      <w:r w:rsidRPr="00094814">
        <w:rPr>
          <w:rFonts w:ascii="Arial" w:eastAsia="Arial" w:hAnsi="Arial" w:cs="Arial"/>
          <w:sz w:val="22"/>
          <w:szCs w:val="22"/>
        </w:rPr>
        <w:t xml:space="preserve"> </w:t>
      </w:r>
      <w:r w:rsidRPr="00BD17CA">
        <w:rPr>
          <w:rFonts w:ascii="Arial" w:eastAsia="Arial" w:hAnsi="Arial" w:cs="Arial"/>
          <w:sz w:val="22"/>
          <w:szCs w:val="22"/>
        </w:rPr>
        <w:t>of</w:t>
      </w:r>
      <w:r w:rsidRPr="00094814">
        <w:rPr>
          <w:rFonts w:ascii="Arial" w:eastAsia="Arial" w:hAnsi="Arial" w:cs="Arial"/>
          <w:sz w:val="22"/>
          <w:szCs w:val="22"/>
        </w:rPr>
        <w:t xml:space="preserve"> c</w:t>
      </w:r>
      <w:r w:rsidRPr="00BD17CA">
        <w:rPr>
          <w:rFonts w:ascii="Arial" w:eastAsia="Arial" w:hAnsi="Arial" w:cs="Arial"/>
          <w:sz w:val="22"/>
          <w:szCs w:val="22"/>
        </w:rPr>
        <w:t>a</w:t>
      </w:r>
      <w:r w:rsidRPr="00094814">
        <w:rPr>
          <w:rFonts w:ascii="Arial" w:eastAsia="Arial" w:hAnsi="Arial" w:cs="Arial"/>
          <w:sz w:val="22"/>
          <w:szCs w:val="22"/>
        </w:rPr>
        <w:t>s</w:t>
      </w:r>
      <w:r w:rsidRPr="00BD17CA">
        <w:rPr>
          <w:rFonts w:ascii="Arial" w:eastAsia="Arial" w:hAnsi="Arial" w:cs="Arial"/>
          <w:sz w:val="22"/>
          <w:szCs w:val="22"/>
        </w:rPr>
        <w:t>h and</w:t>
      </w:r>
      <w:r w:rsidRPr="00094814">
        <w:rPr>
          <w:rFonts w:ascii="Arial" w:eastAsia="Arial" w:hAnsi="Arial" w:cs="Arial"/>
          <w:sz w:val="22"/>
          <w:szCs w:val="22"/>
        </w:rPr>
        <w:t xml:space="preserve"> t</w:t>
      </w:r>
      <w:r w:rsidRPr="00BD17CA">
        <w:rPr>
          <w:rFonts w:ascii="Arial" w:eastAsia="Arial" w:hAnsi="Arial" w:cs="Arial"/>
          <w:sz w:val="22"/>
          <w:szCs w:val="22"/>
        </w:rPr>
        <w:t>h</w:t>
      </w:r>
      <w:r w:rsidRPr="00094814">
        <w:rPr>
          <w:rFonts w:ascii="Arial" w:eastAsia="Arial" w:hAnsi="Arial" w:cs="Arial"/>
          <w:sz w:val="22"/>
          <w:szCs w:val="22"/>
        </w:rPr>
        <w:t>a</w:t>
      </w:r>
      <w:r w:rsidRPr="00BD17CA">
        <w:rPr>
          <w:rFonts w:ascii="Arial" w:eastAsia="Arial" w:hAnsi="Arial" w:cs="Arial"/>
          <w:sz w:val="22"/>
          <w:szCs w:val="22"/>
        </w:rPr>
        <w:t>t</w:t>
      </w:r>
      <w:r w:rsidRPr="00094814">
        <w:rPr>
          <w:rFonts w:ascii="Arial" w:eastAsia="Arial" w:hAnsi="Arial" w:cs="Arial"/>
          <w:sz w:val="22"/>
          <w:szCs w:val="22"/>
        </w:rPr>
        <w:t xml:space="preserve"> </w:t>
      </w:r>
      <w:r w:rsidRPr="00BD17CA">
        <w:rPr>
          <w:rFonts w:ascii="Arial" w:eastAsia="Arial" w:hAnsi="Arial" w:cs="Arial"/>
          <w:sz w:val="22"/>
          <w:szCs w:val="22"/>
        </w:rPr>
        <w:t>are</w:t>
      </w:r>
      <w:r w:rsidRPr="00094814">
        <w:rPr>
          <w:rFonts w:ascii="Arial" w:eastAsia="Arial" w:hAnsi="Arial" w:cs="Arial"/>
          <w:sz w:val="22"/>
          <w:szCs w:val="22"/>
        </w:rPr>
        <w:t xml:space="preserve"> s</w:t>
      </w:r>
      <w:r w:rsidRPr="00BD17CA">
        <w:rPr>
          <w:rFonts w:ascii="Arial" w:eastAsia="Arial" w:hAnsi="Arial" w:cs="Arial"/>
          <w:sz w:val="22"/>
          <w:szCs w:val="22"/>
        </w:rPr>
        <w:t>u</w:t>
      </w:r>
      <w:r w:rsidRPr="00094814">
        <w:rPr>
          <w:rFonts w:ascii="Arial" w:eastAsia="Arial" w:hAnsi="Arial" w:cs="Arial"/>
          <w:sz w:val="22"/>
          <w:szCs w:val="22"/>
        </w:rPr>
        <w:t>bj</w:t>
      </w:r>
      <w:r w:rsidRPr="00BD17CA">
        <w:rPr>
          <w:rFonts w:ascii="Arial" w:eastAsia="Arial" w:hAnsi="Arial" w:cs="Arial"/>
          <w:sz w:val="22"/>
          <w:szCs w:val="22"/>
        </w:rPr>
        <w:t>e</w:t>
      </w:r>
      <w:r w:rsidRPr="00094814">
        <w:rPr>
          <w:rFonts w:ascii="Arial" w:eastAsia="Arial" w:hAnsi="Arial" w:cs="Arial"/>
          <w:sz w:val="22"/>
          <w:szCs w:val="22"/>
        </w:rPr>
        <w:t>c</w:t>
      </w:r>
      <w:r w:rsidRPr="00BD17CA">
        <w:rPr>
          <w:rFonts w:ascii="Arial" w:eastAsia="Arial" w:hAnsi="Arial" w:cs="Arial"/>
          <w:sz w:val="22"/>
          <w:szCs w:val="22"/>
        </w:rPr>
        <w:t>t</w:t>
      </w:r>
      <w:r w:rsidRPr="00094814">
        <w:rPr>
          <w:rFonts w:ascii="Arial" w:eastAsia="Arial" w:hAnsi="Arial" w:cs="Arial"/>
          <w:sz w:val="22"/>
          <w:szCs w:val="22"/>
        </w:rPr>
        <w:t xml:space="preserve"> t</w:t>
      </w:r>
      <w:r w:rsidRPr="00BD17CA">
        <w:rPr>
          <w:rFonts w:ascii="Arial" w:eastAsia="Arial" w:hAnsi="Arial" w:cs="Arial"/>
          <w:sz w:val="22"/>
          <w:szCs w:val="22"/>
        </w:rPr>
        <w:t>o</w:t>
      </w:r>
      <w:r w:rsidRPr="00094814">
        <w:rPr>
          <w:rFonts w:ascii="Arial" w:eastAsia="Arial" w:hAnsi="Arial" w:cs="Arial"/>
          <w:sz w:val="22"/>
          <w:szCs w:val="22"/>
        </w:rPr>
        <w:t xml:space="preserve"> mi</w:t>
      </w:r>
      <w:r w:rsidRPr="00BD17CA">
        <w:rPr>
          <w:rFonts w:ascii="Arial" w:eastAsia="Arial" w:hAnsi="Arial" w:cs="Arial"/>
          <w:sz w:val="22"/>
          <w:szCs w:val="22"/>
        </w:rPr>
        <w:t>n</w:t>
      </w:r>
      <w:r w:rsidRPr="00094814">
        <w:rPr>
          <w:rFonts w:ascii="Arial" w:eastAsia="Arial" w:hAnsi="Arial" w:cs="Arial"/>
          <w:sz w:val="22"/>
          <w:szCs w:val="22"/>
        </w:rPr>
        <w:t>im</w:t>
      </w:r>
      <w:r w:rsidRPr="00BD17CA">
        <w:rPr>
          <w:rFonts w:ascii="Arial" w:eastAsia="Arial" w:hAnsi="Arial" w:cs="Arial"/>
          <w:sz w:val="22"/>
          <w:szCs w:val="22"/>
        </w:rPr>
        <w:t>al</w:t>
      </w:r>
      <w:r w:rsidRPr="00094814">
        <w:rPr>
          <w:rFonts w:ascii="Arial" w:eastAsia="Arial" w:hAnsi="Arial" w:cs="Arial"/>
          <w:sz w:val="22"/>
          <w:szCs w:val="22"/>
        </w:rPr>
        <w:t xml:space="preserve"> </w:t>
      </w:r>
      <w:r w:rsidRPr="00BD17CA">
        <w:rPr>
          <w:rFonts w:ascii="Arial" w:eastAsia="Arial" w:hAnsi="Arial" w:cs="Arial"/>
          <w:sz w:val="22"/>
          <w:szCs w:val="22"/>
        </w:rPr>
        <w:t>r</w:t>
      </w:r>
      <w:r w:rsidRPr="00094814">
        <w:rPr>
          <w:rFonts w:ascii="Arial" w:eastAsia="Arial" w:hAnsi="Arial" w:cs="Arial"/>
          <w:sz w:val="22"/>
          <w:szCs w:val="22"/>
        </w:rPr>
        <w:t>is</w:t>
      </w:r>
      <w:r w:rsidRPr="00BD17CA">
        <w:rPr>
          <w:rFonts w:ascii="Arial" w:eastAsia="Arial" w:hAnsi="Arial" w:cs="Arial"/>
          <w:sz w:val="22"/>
          <w:szCs w:val="22"/>
        </w:rPr>
        <w:t>k of</w:t>
      </w:r>
      <w:r w:rsidRPr="00094814">
        <w:rPr>
          <w:rFonts w:ascii="Arial" w:eastAsia="Arial" w:hAnsi="Arial" w:cs="Arial"/>
          <w:sz w:val="22"/>
          <w:szCs w:val="22"/>
        </w:rPr>
        <w:t xml:space="preserve"> c</w:t>
      </w:r>
      <w:r w:rsidRPr="00BD17CA">
        <w:rPr>
          <w:rFonts w:ascii="Arial" w:eastAsia="Arial" w:hAnsi="Arial" w:cs="Arial"/>
          <w:sz w:val="22"/>
          <w:szCs w:val="22"/>
        </w:rPr>
        <w:t>h</w:t>
      </w:r>
      <w:r w:rsidRPr="00094814">
        <w:rPr>
          <w:rFonts w:ascii="Arial" w:eastAsia="Arial" w:hAnsi="Arial" w:cs="Arial"/>
          <w:sz w:val="22"/>
          <w:szCs w:val="22"/>
        </w:rPr>
        <w:t>a</w:t>
      </w:r>
      <w:r w:rsidRPr="00BD17CA">
        <w:rPr>
          <w:rFonts w:ascii="Arial" w:eastAsia="Arial" w:hAnsi="Arial" w:cs="Arial"/>
          <w:sz w:val="22"/>
          <w:szCs w:val="22"/>
        </w:rPr>
        <w:t>n</w:t>
      </w:r>
      <w:r w:rsidRPr="00094814">
        <w:rPr>
          <w:rFonts w:ascii="Arial" w:eastAsia="Arial" w:hAnsi="Arial" w:cs="Arial"/>
          <w:sz w:val="22"/>
          <w:szCs w:val="22"/>
        </w:rPr>
        <w:t>g</w:t>
      </w:r>
      <w:r w:rsidRPr="00BD17CA">
        <w:rPr>
          <w:rFonts w:ascii="Arial" w:eastAsia="Arial" w:hAnsi="Arial" w:cs="Arial"/>
          <w:sz w:val="22"/>
          <w:szCs w:val="22"/>
        </w:rPr>
        <w:t>e</w:t>
      </w:r>
      <w:r w:rsidRPr="00094814">
        <w:rPr>
          <w:rFonts w:ascii="Arial" w:eastAsia="Arial" w:hAnsi="Arial" w:cs="Arial"/>
          <w:sz w:val="22"/>
          <w:szCs w:val="22"/>
        </w:rPr>
        <w:t xml:space="preserve"> i</w:t>
      </w:r>
      <w:r w:rsidRPr="00BD17CA">
        <w:rPr>
          <w:rFonts w:ascii="Arial" w:eastAsia="Arial" w:hAnsi="Arial" w:cs="Arial"/>
          <w:sz w:val="22"/>
          <w:szCs w:val="22"/>
        </w:rPr>
        <w:t xml:space="preserve">n </w:t>
      </w:r>
      <w:r w:rsidRPr="00094814">
        <w:rPr>
          <w:rFonts w:ascii="Arial" w:eastAsia="Arial" w:hAnsi="Arial" w:cs="Arial"/>
          <w:sz w:val="22"/>
          <w:szCs w:val="22"/>
        </w:rPr>
        <w:t>valu</w:t>
      </w:r>
      <w:r w:rsidRPr="00BD17CA">
        <w:rPr>
          <w:rFonts w:ascii="Arial" w:eastAsia="Arial" w:hAnsi="Arial" w:cs="Arial"/>
          <w:sz w:val="22"/>
          <w:szCs w:val="22"/>
        </w:rPr>
        <w:t>e.</w:t>
      </w:r>
    </w:p>
    <w:p w14:paraId="708018A0" w14:textId="7D3DA822" w:rsidR="00524ED8" w:rsidRDefault="00524ED8" w:rsidP="00094814">
      <w:pPr>
        <w:spacing w:after="200" w:line="276" w:lineRule="auto"/>
        <w:ind w:right="74"/>
        <w:jc w:val="both"/>
        <w:rPr>
          <w:rFonts w:ascii="Arial" w:eastAsia="Arial" w:hAnsi="Arial" w:cs="Arial"/>
          <w:sz w:val="22"/>
          <w:szCs w:val="22"/>
        </w:rPr>
      </w:pPr>
    </w:p>
    <w:p w14:paraId="416823DA" w14:textId="77777777" w:rsidR="00524ED8" w:rsidRPr="00BD17CA" w:rsidRDefault="00524ED8" w:rsidP="00094814">
      <w:pPr>
        <w:spacing w:after="200" w:line="276" w:lineRule="auto"/>
        <w:ind w:right="74"/>
        <w:jc w:val="both"/>
        <w:rPr>
          <w:rFonts w:ascii="Arial" w:eastAsia="Arial" w:hAnsi="Arial" w:cs="Arial"/>
          <w:sz w:val="22"/>
          <w:szCs w:val="22"/>
        </w:rPr>
      </w:pPr>
    </w:p>
    <w:p w14:paraId="4579B607" w14:textId="1B746C73" w:rsidR="009C7422" w:rsidRPr="00094814" w:rsidRDefault="00716307" w:rsidP="00094814">
      <w:pPr>
        <w:spacing w:after="200" w:line="276" w:lineRule="auto"/>
        <w:ind w:right="74"/>
        <w:jc w:val="both"/>
        <w:rPr>
          <w:rFonts w:ascii="Arial" w:eastAsia="Arial" w:hAnsi="Arial" w:cs="Arial"/>
          <w:b/>
          <w:sz w:val="22"/>
          <w:szCs w:val="22"/>
        </w:rPr>
      </w:pPr>
      <w:r>
        <w:rPr>
          <w:rFonts w:ascii="Arial" w:eastAsia="Arial" w:hAnsi="Arial" w:cs="Arial"/>
          <w:b/>
          <w:sz w:val="22"/>
          <w:szCs w:val="22"/>
        </w:rPr>
        <w:lastRenderedPageBreak/>
        <w:t>j</w:t>
      </w:r>
      <w:r w:rsidR="001706EB" w:rsidRPr="00BD17CA">
        <w:rPr>
          <w:rFonts w:ascii="Arial" w:eastAsia="Arial" w:hAnsi="Arial" w:cs="Arial"/>
          <w:b/>
          <w:sz w:val="22"/>
          <w:szCs w:val="22"/>
        </w:rPr>
        <w:t>)</w:t>
      </w:r>
      <w:r w:rsidR="001706EB" w:rsidRPr="00094814">
        <w:rPr>
          <w:rFonts w:ascii="Arial" w:eastAsia="Arial" w:hAnsi="Arial" w:cs="Arial"/>
          <w:b/>
          <w:sz w:val="22"/>
          <w:szCs w:val="22"/>
        </w:rPr>
        <w:t xml:space="preserve"> </w:t>
      </w:r>
      <w:r w:rsidR="00094814">
        <w:rPr>
          <w:rFonts w:ascii="Arial" w:eastAsia="Arial" w:hAnsi="Arial" w:cs="Arial"/>
          <w:b/>
          <w:sz w:val="22"/>
          <w:szCs w:val="22"/>
        </w:rPr>
        <w:t xml:space="preserve">Financial assets at </w:t>
      </w:r>
      <w:proofErr w:type="spellStart"/>
      <w:r w:rsidR="00094814">
        <w:rPr>
          <w:rFonts w:ascii="Arial" w:eastAsia="Arial" w:hAnsi="Arial" w:cs="Arial"/>
          <w:b/>
          <w:sz w:val="22"/>
          <w:szCs w:val="22"/>
        </w:rPr>
        <w:t>amortised</w:t>
      </w:r>
      <w:proofErr w:type="spellEnd"/>
      <w:r w:rsidR="00094814">
        <w:rPr>
          <w:rFonts w:ascii="Arial" w:eastAsia="Arial" w:hAnsi="Arial" w:cs="Arial"/>
          <w:b/>
          <w:sz w:val="22"/>
          <w:szCs w:val="22"/>
        </w:rPr>
        <w:t xml:space="preserve"> cost</w:t>
      </w:r>
    </w:p>
    <w:p w14:paraId="694902BB" w14:textId="77777777" w:rsidR="009C7422" w:rsidRPr="00BD17CA" w:rsidRDefault="001706EB" w:rsidP="00094814">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F</w:t>
      </w:r>
      <w:r w:rsidRPr="00094814">
        <w:rPr>
          <w:rFonts w:ascii="Arial" w:eastAsia="Arial" w:hAnsi="Arial" w:cs="Arial"/>
          <w:sz w:val="22"/>
          <w:szCs w:val="22"/>
        </w:rPr>
        <w:t>i</w:t>
      </w:r>
      <w:r w:rsidRPr="00BD17CA">
        <w:rPr>
          <w:rFonts w:ascii="Arial" w:eastAsia="Arial" w:hAnsi="Arial" w:cs="Arial"/>
          <w:sz w:val="22"/>
          <w:szCs w:val="22"/>
        </w:rPr>
        <w:t>na</w:t>
      </w:r>
      <w:r w:rsidRPr="00094814">
        <w:rPr>
          <w:rFonts w:ascii="Arial" w:eastAsia="Arial" w:hAnsi="Arial" w:cs="Arial"/>
          <w:sz w:val="22"/>
          <w:szCs w:val="22"/>
        </w:rPr>
        <w:t>ncia</w:t>
      </w:r>
      <w:r w:rsidRPr="00BD17CA">
        <w:rPr>
          <w:rFonts w:ascii="Arial" w:eastAsia="Arial" w:hAnsi="Arial" w:cs="Arial"/>
          <w:sz w:val="22"/>
          <w:szCs w:val="22"/>
        </w:rPr>
        <w:t>l</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ss</w:t>
      </w:r>
      <w:r w:rsidRPr="00BD17CA">
        <w:rPr>
          <w:rFonts w:ascii="Arial" w:eastAsia="Arial" w:hAnsi="Arial" w:cs="Arial"/>
          <w:sz w:val="22"/>
          <w:szCs w:val="22"/>
        </w:rPr>
        <w:t>ets</w:t>
      </w:r>
      <w:r w:rsidRPr="00094814">
        <w:rPr>
          <w:rFonts w:ascii="Arial" w:eastAsia="Arial" w:hAnsi="Arial" w:cs="Arial"/>
          <w:sz w:val="22"/>
          <w:szCs w:val="22"/>
        </w:rPr>
        <w:t xml:space="preserve"> cl</w:t>
      </w:r>
      <w:r w:rsidRPr="00BD17CA">
        <w:rPr>
          <w:rFonts w:ascii="Arial" w:eastAsia="Arial" w:hAnsi="Arial" w:cs="Arial"/>
          <w:sz w:val="22"/>
          <w:szCs w:val="22"/>
        </w:rPr>
        <w:t>a</w:t>
      </w:r>
      <w:r w:rsidRPr="00094814">
        <w:rPr>
          <w:rFonts w:ascii="Arial" w:eastAsia="Arial" w:hAnsi="Arial" w:cs="Arial"/>
          <w:sz w:val="22"/>
          <w:szCs w:val="22"/>
        </w:rPr>
        <w:t>ss</w:t>
      </w:r>
      <w:r w:rsidRPr="00BD17CA">
        <w:rPr>
          <w:rFonts w:ascii="Arial" w:eastAsia="Arial" w:hAnsi="Arial" w:cs="Arial"/>
          <w:sz w:val="22"/>
          <w:szCs w:val="22"/>
        </w:rPr>
        <w:t>ed</w:t>
      </w:r>
      <w:r w:rsidRPr="00094814">
        <w:rPr>
          <w:rFonts w:ascii="Arial" w:eastAsia="Arial" w:hAnsi="Arial" w:cs="Arial"/>
          <w:sz w:val="22"/>
          <w:szCs w:val="22"/>
        </w:rPr>
        <w:t xml:space="preserve"> a</w:t>
      </w:r>
      <w:r w:rsidRPr="00BD17CA">
        <w:rPr>
          <w:rFonts w:ascii="Arial" w:eastAsia="Arial" w:hAnsi="Arial" w:cs="Arial"/>
          <w:sz w:val="22"/>
          <w:szCs w:val="22"/>
        </w:rPr>
        <w:t>s</w:t>
      </w:r>
      <w:r w:rsidRPr="00094814">
        <w:rPr>
          <w:rFonts w:ascii="Arial" w:eastAsia="Arial" w:hAnsi="Arial" w:cs="Arial"/>
          <w:sz w:val="22"/>
          <w:szCs w:val="22"/>
        </w:rPr>
        <w:t xml:space="preserve"> </w:t>
      </w:r>
      <w:proofErr w:type="spellStart"/>
      <w:r w:rsidRPr="00BD17CA">
        <w:rPr>
          <w:rFonts w:ascii="Arial" w:eastAsia="Arial" w:hAnsi="Arial" w:cs="Arial"/>
          <w:sz w:val="22"/>
          <w:szCs w:val="22"/>
        </w:rPr>
        <w:t>a</w:t>
      </w:r>
      <w:r w:rsidRPr="00094814">
        <w:rPr>
          <w:rFonts w:ascii="Arial" w:eastAsia="Arial" w:hAnsi="Arial" w:cs="Arial"/>
          <w:sz w:val="22"/>
          <w:szCs w:val="22"/>
        </w:rPr>
        <w:t>m</w:t>
      </w:r>
      <w:r w:rsidRPr="00BD17CA">
        <w:rPr>
          <w:rFonts w:ascii="Arial" w:eastAsia="Arial" w:hAnsi="Arial" w:cs="Arial"/>
          <w:sz w:val="22"/>
          <w:szCs w:val="22"/>
        </w:rPr>
        <w:t>ort</w:t>
      </w:r>
      <w:r w:rsidRPr="00094814">
        <w:rPr>
          <w:rFonts w:ascii="Arial" w:eastAsia="Arial" w:hAnsi="Arial" w:cs="Arial"/>
          <w:sz w:val="22"/>
          <w:szCs w:val="22"/>
        </w:rPr>
        <w:t>is</w:t>
      </w:r>
      <w:r w:rsidRPr="00BD17CA">
        <w:rPr>
          <w:rFonts w:ascii="Arial" w:eastAsia="Arial" w:hAnsi="Arial" w:cs="Arial"/>
          <w:sz w:val="22"/>
          <w:szCs w:val="22"/>
        </w:rPr>
        <w:t>ed</w:t>
      </w:r>
      <w:proofErr w:type="spellEnd"/>
      <w:r w:rsidRPr="00BD17CA">
        <w:rPr>
          <w:rFonts w:ascii="Arial" w:eastAsia="Arial" w:hAnsi="Arial" w:cs="Arial"/>
          <w:sz w:val="22"/>
          <w:szCs w:val="22"/>
        </w:rPr>
        <w:t xml:space="preserve"> </w:t>
      </w:r>
      <w:r w:rsidRPr="00094814">
        <w:rPr>
          <w:rFonts w:ascii="Arial" w:eastAsia="Arial" w:hAnsi="Arial" w:cs="Arial"/>
          <w:sz w:val="22"/>
          <w:szCs w:val="22"/>
        </w:rPr>
        <w:t>c</w:t>
      </w:r>
      <w:r w:rsidRPr="00BD17CA">
        <w:rPr>
          <w:rFonts w:ascii="Arial" w:eastAsia="Arial" w:hAnsi="Arial" w:cs="Arial"/>
          <w:sz w:val="22"/>
          <w:szCs w:val="22"/>
        </w:rPr>
        <w:t>o</w:t>
      </w:r>
      <w:r w:rsidRPr="00094814">
        <w:rPr>
          <w:rFonts w:ascii="Arial" w:eastAsia="Arial" w:hAnsi="Arial" w:cs="Arial"/>
          <w:sz w:val="22"/>
          <w:szCs w:val="22"/>
        </w:rPr>
        <w:t>s</w:t>
      </w:r>
      <w:r w:rsidRPr="00BD17CA">
        <w:rPr>
          <w:rFonts w:ascii="Arial" w:eastAsia="Arial" w:hAnsi="Arial" w:cs="Arial"/>
          <w:sz w:val="22"/>
          <w:szCs w:val="22"/>
        </w:rPr>
        <w:t>t</w:t>
      </w:r>
      <w:r w:rsidRPr="00094814">
        <w:rPr>
          <w:rFonts w:ascii="Arial" w:eastAsia="Arial" w:hAnsi="Arial" w:cs="Arial"/>
          <w:sz w:val="22"/>
          <w:szCs w:val="22"/>
        </w:rPr>
        <w:t xml:space="preserve"> </w:t>
      </w:r>
      <w:r w:rsidRPr="00BD17CA">
        <w:rPr>
          <w:rFonts w:ascii="Arial" w:eastAsia="Arial" w:hAnsi="Arial" w:cs="Arial"/>
          <w:sz w:val="22"/>
          <w:szCs w:val="22"/>
        </w:rPr>
        <w:t>are</w:t>
      </w:r>
      <w:r w:rsidRPr="00094814">
        <w:rPr>
          <w:rFonts w:ascii="Arial" w:eastAsia="Arial" w:hAnsi="Arial" w:cs="Arial"/>
          <w:sz w:val="22"/>
          <w:szCs w:val="22"/>
        </w:rPr>
        <w:t xml:space="preserve"> c</w:t>
      </w:r>
      <w:r w:rsidRPr="00BD17CA">
        <w:rPr>
          <w:rFonts w:ascii="Arial" w:eastAsia="Arial" w:hAnsi="Arial" w:cs="Arial"/>
          <w:sz w:val="22"/>
          <w:szCs w:val="22"/>
        </w:rPr>
        <w:t>ar</w:t>
      </w:r>
      <w:r w:rsidRPr="00094814">
        <w:rPr>
          <w:rFonts w:ascii="Arial" w:eastAsia="Arial" w:hAnsi="Arial" w:cs="Arial"/>
          <w:sz w:val="22"/>
          <w:szCs w:val="22"/>
        </w:rPr>
        <w:t>rie</w:t>
      </w:r>
      <w:r w:rsidRPr="00BD17CA">
        <w:rPr>
          <w:rFonts w:ascii="Arial" w:eastAsia="Arial" w:hAnsi="Arial" w:cs="Arial"/>
          <w:sz w:val="22"/>
          <w:szCs w:val="22"/>
        </w:rPr>
        <w:t>d</w:t>
      </w:r>
      <w:r w:rsidRPr="00094814">
        <w:rPr>
          <w:rFonts w:ascii="Arial" w:eastAsia="Arial" w:hAnsi="Arial" w:cs="Arial"/>
          <w:sz w:val="22"/>
          <w:szCs w:val="22"/>
        </w:rPr>
        <w:t xml:space="preserve"> i</w:t>
      </w:r>
      <w:r w:rsidRPr="00BD17CA">
        <w:rPr>
          <w:rFonts w:ascii="Arial" w:eastAsia="Arial" w:hAnsi="Arial" w:cs="Arial"/>
          <w:sz w:val="22"/>
          <w:szCs w:val="22"/>
        </w:rPr>
        <w:t>n</w:t>
      </w:r>
      <w:r w:rsidRPr="00094814">
        <w:rPr>
          <w:rFonts w:ascii="Arial" w:eastAsia="Arial" w:hAnsi="Arial" w:cs="Arial"/>
          <w:sz w:val="22"/>
          <w:szCs w:val="22"/>
        </w:rPr>
        <w:t xml:space="preserve"> </w:t>
      </w:r>
      <w:r w:rsidRPr="00BD17CA">
        <w:rPr>
          <w:rFonts w:ascii="Arial" w:eastAsia="Arial" w:hAnsi="Arial" w:cs="Arial"/>
          <w:sz w:val="22"/>
          <w:szCs w:val="22"/>
        </w:rPr>
        <w:t>the</w:t>
      </w:r>
      <w:r w:rsidRPr="00094814">
        <w:rPr>
          <w:rFonts w:ascii="Arial" w:eastAsia="Arial" w:hAnsi="Arial" w:cs="Arial"/>
          <w:sz w:val="22"/>
          <w:szCs w:val="22"/>
        </w:rPr>
        <w:t xml:space="preserve"> </w:t>
      </w:r>
      <w:r w:rsidRPr="00BD17CA">
        <w:rPr>
          <w:rFonts w:ascii="Arial" w:eastAsia="Arial" w:hAnsi="Arial" w:cs="Arial"/>
          <w:sz w:val="22"/>
          <w:szCs w:val="22"/>
        </w:rPr>
        <w:t>n</w:t>
      </w:r>
      <w:r w:rsidRPr="00094814">
        <w:rPr>
          <w:rFonts w:ascii="Arial" w:eastAsia="Arial" w:hAnsi="Arial" w:cs="Arial"/>
          <w:sz w:val="22"/>
          <w:szCs w:val="22"/>
        </w:rPr>
        <w:t>e</w:t>
      </w:r>
      <w:r w:rsidRPr="00BD17CA">
        <w:rPr>
          <w:rFonts w:ascii="Arial" w:eastAsia="Arial" w:hAnsi="Arial" w:cs="Arial"/>
          <w:sz w:val="22"/>
          <w:szCs w:val="22"/>
        </w:rPr>
        <w:t>t</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ss</w:t>
      </w:r>
      <w:r w:rsidRPr="00BD17CA">
        <w:rPr>
          <w:rFonts w:ascii="Arial" w:eastAsia="Arial" w:hAnsi="Arial" w:cs="Arial"/>
          <w:sz w:val="22"/>
          <w:szCs w:val="22"/>
        </w:rPr>
        <w:t>et</w:t>
      </w:r>
      <w:r w:rsidRPr="00094814">
        <w:rPr>
          <w:rFonts w:ascii="Arial" w:eastAsia="Arial" w:hAnsi="Arial" w:cs="Arial"/>
          <w:sz w:val="22"/>
          <w:szCs w:val="22"/>
        </w:rPr>
        <w:t xml:space="preserve"> s</w:t>
      </w:r>
      <w:r w:rsidRPr="00BD17CA">
        <w:rPr>
          <w:rFonts w:ascii="Arial" w:eastAsia="Arial" w:hAnsi="Arial" w:cs="Arial"/>
          <w:sz w:val="22"/>
          <w:szCs w:val="22"/>
        </w:rPr>
        <w:t>ta</w:t>
      </w:r>
      <w:r w:rsidRPr="00094814">
        <w:rPr>
          <w:rFonts w:ascii="Arial" w:eastAsia="Arial" w:hAnsi="Arial" w:cs="Arial"/>
          <w:sz w:val="22"/>
          <w:szCs w:val="22"/>
        </w:rPr>
        <w:t>t</w:t>
      </w:r>
      <w:r w:rsidRPr="00BD17CA">
        <w:rPr>
          <w:rFonts w:ascii="Arial" w:eastAsia="Arial" w:hAnsi="Arial" w:cs="Arial"/>
          <w:sz w:val="22"/>
          <w:szCs w:val="22"/>
        </w:rPr>
        <w:t>e</w:t>
      </w:r>
      <w:r w:rsidRPr="00094814">
        <w:rPr>
          <w:rFonts w:ascii="Arial" w:eastAsia="Arial" w:hAnsi="Arial" w:cs="Arial"/>
          <w:sz w:val="22"/>
          <w:szCs w:val="22"/>
        </w:rPr>
        <w:t>m</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t</w:t>
      </w:r>
      <w:r w:rsidRPr="00094814">
        <w:rPr>
          <w:rFonts w:ascii="Arial" w:eastAsia="Arial" w:hAnsi="Arial" w:cs="Arial"/>
          <w:sz w:val="22"/>
          <w:szCs w:val="22"/>
        </w:rPr>
        <w:t xml:space="preserve"> </w:t>
      </w:r>
      <w:r w:rsidRPr="00BD17CA">
        <w:rPr>
          <w:rFonts w:ascii="Arial" w:eastAsia="Arial" w:hAnsi="Arial" w:cs="Arial"/>
          <w:sz w:val="22"/>
          <w:szCs w:val="22"/>
        </w:rPr>
        <w:t>at</w:t>
      </w:r>
      <w:r w:rsidRPr="00094814">
        <w:rPr>
          <w:rFonts w:ascii="Arial" w:eastAsia="Arial" w:hAnsi="Arial" w:cs="Arial"/>
          <w:sz w:val="22"/>
          <w:szCs w:val="22"/>
        </w:rPr>
        <w:t xml:space="preserve"> </w:t>
      </w:r>
      <w:proofErr w:type="spellStart"/>
      <w:r w:rsidRPr="00BD17CA">
        <w:rPr>
          <w:rFonts w:ascii="Arial" w:eastAsia="Arial" w:hAnsi="Arial" w:cs="Arial"/>
          <w:sz w:val="22"/>
          <w:szCs w:val="22"/>
        </w:rPr>
        <w:t>a</w:t>
      </w:r>
      <w:r w:rsidRPr="00094814">
        <w:rPr>
          <w:rFonts w:ascii="Arial" w:eastAsia="Arial" w:hAnsi="Arial" w:cs="Arial"/>
          <w:sz w:val="22"/>
          <w:szCs w:val="22"/>
        </w:rPr>
        <w:t>m</w:t>
      </w:r>
      <w:r w:rsidRPr="00BD17CA">
        <w:rPr>
          <w:rFonts w:ascii="Arial" w:eastAsia="Arial" w:hAnsi="Arial" w:cs="Arial"/>
          <w:sz w:val="22"/>
          <w:szCs w:val="22"/>
        </w:rPr>
        <w:t>ort</w:t>
      </w:r>
      <w:r w:rsidRPr="00094814">
        <w:rPr>
          <w:rFonts w:ascii="Arial" w:eastAsia="Arial" w:hAnsi="Arial" w:cs="Arial"/>
          <w:sz w:val="22"/>
          <w:szCs w:val="22"/>
        </w:rPr>
        <w:t>is</w:t>
      </w:r>
      <w:r w:rsidRPr="00BD17CA">
        <w:rPr>
          <w:rFonts w:ascii="Arial" w:eastAsia="Arial" w:hAnsi="Arial" w:cs="Arial"/>
          <w:sz w:val="22"/>
          <w:szCs w:val="22"/>
        </w:rPr>
        <w:t>ed</w:t>
      </w:r>
      <w:proofErr w:type="spellEnd"/>
      <w:r w:rsidRPr="00BD17CA">
        <w:rPr>
          <w:rFonts w:ascii="Arial" w:eastAsia="Arial" w:hAnsi="Arial" w:cs="Arial"/>
          <w:sz w:val="22"/>
          <w:szCs w:val="22"/>
        </w:rPr>
        <w:t xml:space="preserve"> </w:t>
      </w:r>
      <w:r w:rsidRPr="00094814">
        <w:rPr>
          <w:rFonts w:ascii="Arial" w:eastAsia="Arial" w:hAnsi="Arial" w:cs="Arial"/>
          <w:sz w:val="22"/>
          <w:szCs w:val="22"/>
        </w:rPr>
        <w:t>c</w:t>
      </w:r>
      <w:r w:rsidRPr="00BD17CA">
        <w:rPr>
          <w:rFonts w:ascii="Arial" w:eastAsia="Arial" w:hAnsi="Arial" w:cs="Arial"/>
          <w:sz w:val="22"/>
          <w:szCs w:val="22"/>
        </w:rPr>
        <w:t>o</w:t>
      </w:r>
      <w:r w:rsidRPr="00094814">
        <w:rPr>
          <w:rFonts w:ascii="Arial" w:eastAsia="Arial" w:hAnsi="Arial" w:cs="Arial"/>
          <w:sz w:val="22"/>
          <w:szCs w:val="22"/>
        </w:rPr>
        <w:t>s</w:t>
      </w:r>
      <w:r w:rsidRPr="00BD17CA">
        <w:rPr>
          <w:rFonts w:ascii="Arial" w:eastAsia="Arial" w:hAnsi="Arial" w:cs="Arial"/>
          <w:sz w:val="22"/>
          <w:szCs w:val="22"/>
        </w:rPr>
        <w:t>t,</w:t>
      </w:r>
      <w:r w:rsidRPr="00094814">
        <w:rPr>
          <w:rFonts w:ascii="Arial" w:eastAsia="Arial" w:hAnsi="Arial" w:cs="Arial"/>
          <w:sz w:val="22"/>
          <w:szCs w:val="22"/>
        </w:rPr>
        <w:t xml:space="preserve"> i.</w:t>
      </w:r>
      <w:r w:rsidRPr="00BD17CA">
        <w:rPr>
          <w:rFonts w:ascii="Arial" w:eastAsia="Arial" w:hAnsi="Arial" w:cs="Arial"/>
          <w:sz w:val="22"/>
          <w:szCs w:val="22"/>
        </w:rPr>
        <w:t>e.</w:t>
      </w:r>
      <w:r w:rsidRPr="00094814">
        <w:rPr>
          <w:rFonts w:ascii="Arial" w:eastAsia="Arial" w:hAnsi="Arial" w:cs="Arial"/>
          <w:sz w:val="22"/>
          <w:szCs w:val="22"/>
        </w:rPr>
        <w:t xml:space="preserve"> th</w:t>
      </w:r>
      <w:r w:rsidRPr="00BD17CA">
        <w:rPr>
          <w:rFonts w:ascii="Arial" w:eastAsia="Arial" w:hAnsi="Arial" w:cs="Arial"/>
          <w:sz w:val="22"/>
          <w:szCs w:val="22"/>
        </w:rPr>
        <w:t>e o</w:t>
      </w:r>
      <w:r w:rsidRPr="00094814">
        <w:rPr>
          <w:rFonts w:ascii="Arial" w:eastAsia="Arial" w:hAnsi="Arial" w:cs="Arial"/>
          <w:sz w:val="22"/>
          <w:szCs w:val="22"/>
        </w:rPr>
        <w:t>u</w:t>
      </w:r>
      <w:r w:rsidRPr="00BD17CA">
        <w:rPr>
          <w:rFonts w:ascii="Arial" w:eastAsia="Arial" w:hAnsi="Arial" w:cs="Arial"/>
          <w:sz w:val="22"/>
          <w:szCs w:val="22"/>
        </w:rPr>
        <w:t>t</w:t>
      </w:r>
      <w:r w:rsidRPr="00094814">
        <w:rPr>
          <w:rFonts w:ascii="Arial" w:eastAsia="Arial" w:hAnsi="Arial" w:cs="Arial"/>
          <w:sz w:val="22"/>
          <w:szCs w:val="22"/>
        </w:rPr>
        <w:t>s</w:t>
      </w:r>
      <w:r w:rsidRPr="00BD17CA">
        <w:rPr>
          <w:rFonts w:ascii="Arial" w:eastAsia="Arial" w:hAnsi="Arial" w:cs="Arial"/>
          <w:sz w:val="22"/>
          <w:szCs w:val="22"/>
        </w:rPr>
        <w:t>ta</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i</w:t>
      </w:r>
      <w:r w:rsidRPr="00BD17CA">
        <w:rPr>
          <w:rFonts w:ascii="Arial" w:eastAsia="Arial" w:hAnsi="Arial" w:cs="Arial"/>
          <w:sz w:val="22"/>
          <w:szCs w:val="22"/>
        </w:rPr>
        <w:t>ng</w:t>
      </w:r>
      <w:r w:rsidRPr="00094814">
        <w:rPr>
          <w:rFonts w:ascii="Arial" w:eastAsia="Arial" w:hAnsi="Arial" w:cs="Arial"/>
          <w:sz w:val="22"/>
          <w:szCs w:val="22"/>
        </w:rPr>
        <w:t xml:space="preserve"> </w:t>
      </w:r>
      <w:r w:rsidRPr="00BD17CA">
        <w:rPr>
          <w:rFonts w:ascii="Arial" w:eastAsia="Arial" w:hAnsi="Arial" w:cs="Arial"/>
          <w:sz w:val="22"/>
          <w:szCs w:val="22"/>
        </w:rPr>
        <w:t>p</w:t>
      </w:r>
      <w:r w:rsidRPr="00094814">
        <w:rPr>
          <w:rFonts w:ascii="Arial" w:eastAsia="Arial" w:hAnsi="Arial" w:cs="Arial"/>
          <w:sz w:val="22"/>
          <w:szCs w:val="22"/>
        </w:rPr>
        <w:t>ri</w:t>
      </w:r>
      <w:r w:rsidRPr="00BD17CA">
        <w:rPr>
          <w:rFonts w:ascii="Arial" w:eastAsia="Arial" w:hAnsi="Arial" w:cs="Arial"/>
          <w:sz w:val="22"/>
          <w:szCs w:val="22"/>
        </w:rPr>
        <w:t>n</w:t>
      </w:r>
      <w:r w:rsidRPr="00094814">
        <w:rPr>
          <w:rFonts w:ascii="Arial" w:eastAsia="Arial" w:hAnsi="Arial" w:cs="Arial"/>
          <w:sz w:val="22"/>
          <w:szCs w:val="22"/>
        </w:rPr>
        <w:t>ci</w:t>
      </w:r>
      <w:r w:rsidRPr="00BD17CA">
        <w:rPr>
          <w:rFonts w:ascii="Arial" w:eastAsia="Arial" w:hAnsi="Arial" w:cs="Arial"/>
          <w:sz w:val="22"/>
          <w:szCs w:val="22"/>
        </w:rPr>
        <w:t>p</w:t>
      </w:r>
      <w:r w:rsidRPr="00094814">
        <w:rPr>
          <w:rFonts w:ascii="Arial" w:eastAsia="Arial" w:hAnsi="Arial" w:cs="Arial"/>
          <w:sz w:val="22"/>
          <w:szCs w:val="22"/>
        </w:rPr>
        <w:t>a</w:t>
      </w:r>
      <w:r w:rsidRPr="00BD17CA">
        <w:rPr>
          <w:rFonts w:ascii="Arial" w:eastAsia="Arial" w:hAnsi="Arial" w:cs="Arial"/>
          <w:sz w:val="22"/>
          <w:szCs w:val="22"/>
        </w:rPr>
        <w:t>l</w:t>
      </w:r>
      <w:r w:rsidRPr="00094814">
        <w:rPr>
          <w:rFonts w:ascii="Arial" w:eastAsia="Arial" w:hAnsi="Arial" w:cs="Arial"/>
          <w:sz w:val="22"/>
          <w:szCs w:val="22"/>
        </w:rPr>
        <w:t xml:space="preserve"> </w:t>
      </w:r>
      <w:r w:rsidRPr="00BD17CA">
        <w:rPr>
          <w:rFonts w:ascii="Arial" w:eastAsia="Arial" w:hAnsi="Arial" w:cs="Arial"/>
          <w:sz w:val="22"/>
          <w:szCs w:val="22"/>
        </w:rPr>
        <w:t>re</w:t>
      </w:r>
      <w:r w:rsidRPr="00094814">
        <w:rPr>
          <w:rFonts w:ascii="Arial" w:eastAsia="Arial" w:hAnsi="Arial" w:cs="Arial"/>
          <w:sz w:val="22"/>
          <w:szCs w:val="22"/>
        </w:rPr>
        <w:t>c</w:t>
      </w:r>
      <w:r w:rsidRPr="00BD17CA">
        <w:rPr>
          <w:rFonts w:ascii="Arial" w:eastAsia="Arial" w:hAnsi="Arial" w:cs="Arial"/>
          <w:sz w:val="22"/>
          <w:szCs w:val="22"/>
        </w:rPr>
        <w:t>e</w:t>
      </w:r>
      <w:r w:rsidRPr="00094814">
        <w:rPr>
          <w:rFonts w:ascii="Arial" w:eastAsia="Arial" w:hAnsi="Arial" w:cs="Arial"/>
          <w:sz w:val="22"/>
          <w:szCs w:val="22"/>
        </w:rPr>
        <w:t>iv</w:t>
      </w:r>
      <w:r w:rsidRPr="00BD17CA">
        <w:rPr>
          <w:rFonts w:ascii="Arial" w:eastAsia="Arial" w:hAnsi="Arial" w:cs="Arial"/>
          <w:sz w:val="22"/>
          <w:szCs w:val="22"/>
        </w:rPr>
        <w:t>a</w:t>
      </w:r>
      <w:r w:rsidRPr="00094814">
        <w:rPr>
          <w:rFonts w:ascii="Arial" w:eastAsia="Arial" w:hAnsi="Arial" w:cs="Arial"/>
          <w:sz w:val="22"/>
          <w:szCs w:val="22"/>
        </w:rPr>
        <w:t>bl</w:t>
      </w:r>
      <w:r w:rsidRPr="00BD17CA">
        <w:rPr>
          <w:rFonts w:ascii="Arial" w:eastAsia="Arial" w:hAnsi="Arial" w:cs="Arial"/>
          <w:sz w:val="22"/>
          <w:szCs w:val="22"/>
        </w:rPr>
        <w:t>e</w:t>
      </w:r>
      <w:r w:rsidRPr="00094814">
        <w:rPr>
          <w:rFonts w:ascii="Arial" w:eastAsia="Arial" w:hAnsi="Arial" w:cs="Arial"/>
          <w:sz w:val="22"/>
          <w:szCs w:val="22"/>
        </w:rPr>
        <w:t xml:space="preserve"> a</w:t>
      </w:r>
      <w:r w:rsidRPr="00BD17CA">
        <w:rPr>
          <w:rFonts w:ascii="Arial" w:eastAsia="Arial" w:hAnsi="Arial" w:cs="Arial"/>
          <w:sz w:val="22"/>
          <w:szCs w:val="22"/>
        </w:rPr>
        <w:t>s</w:t>
      </w:r>
      <w:r w:rsidRPr="00094814">
        <w:rPr>
          <w:rFonts w:ascii="Arial" w:eastAsia="Arial" w:hAnsi="Arial" w:cs="Arial"/>
          <w:sz w:val="22"/>
          <w:szCs w:val="22"/>
        </w:rPr>
        <w:t xml:space="preserve"> </w:t>
      </w:r>
      <w:r w:rsidRPr="00BD17CA">
        <w:rPr>
          <w:rFonts w:ascii="Arial" w:eastAsia="Arial" w:hAnsi="Arial" w:cs="Arial"/>
          <w:sz w:val="22"/>
          <w:szCs w:val="22"/>
        </w:rPr>
        <w:t>at</w:t>
      </w:r>
      <w:r w:rsidRPr="00094814">
        <w:rPr>
          <w:rFonts w:ascii="Arial" w:eastAsia="Arial" w:hAnsi="Arial" w:cs="Arial"/>
          <w:sz w:val="22"/>
          <w:szCs w:val="22"/>
        </w:rPr>
        <w:t xml:space="preserve"> </w:t>
      </w:r>
      <w:r w:rsidRPr="00BD17CA">
        <w:rPr>
          <w:rFonts w:ascii="Arial" w:eastAsia="Arial" w:hAnsi="Arial" w:cs="Arial"/>
          <w:sz w:val="22"/>
          <w:szCs w:val="22"/>
        </w:rPr>
        <w:t>t</w:t>
      </w:r>
      <w:r w:rsidRPr="00094814">
        <w:rPr>
          <w:rFonts w:ascii="Arial" w:eastAsia="Arial" w:hAnsi="Arial" w:cs="Arial"/>
          <w:sz w:val="22"/>
          <w:szCs w:val="22"/>
        </w:rPr>
        <w:t>h</w:t>
      </w:r>
      <w:r w:rsidRPr="00BD17CA">
        <w:rPr>
          <w:rFonts w:ascii="Arial" w:eastAsia="Arial" w:hAnsi="Arial" w:cs="Arial"/>
          <w:sz w:val="22"/>
          <w:szCs w:val="22"/>
        </w:rPr>
        <w:t>e</w:t>
      </w:r>
      <w:r w:rsidRPr="00094814">
        <w:rPr>
          <w:rFonts w:ascii="Arial" w:eastAsia="Arial" w:hAnsi="Arial" w:cs="Arial"/>
          <w:sz w:val="22"/>
          <w:szCs w:val="22"/>
        </w:rPr>
        <w:t xml:space="preserve"> ye</w:t>
      </w:r>
      <w:r w:rsidRPr="00BD17CA">
        <w:rPr>
          <w:rFonts w:ascii="Arial" w:eastAsia="Arial" w:hAnsi="Arial" w:cs="Arial"/>
          <w:sz w:val="22"/>
          <w:szCs w:val="22"/>
        </w:rPr>
        <w:t>a</w:t>
      </w:r>
      <w:r w:rsidRPr="00094814">
        <w:rPr>
          <w:rFonts w:ascii="Arial" w:eastAsia="Arial" w:hAnsi="Arial" w:cs="Arial"/>
          <w:sz w:val="22"/>
          <w:szCs w:val="22"/>
        </w:rPr>
        <w:t>r-</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 xml:space="preserve"> </w:t>
      </w:r>
      <w:r w:rsidRPr="00BD17CA">
        <w:rPr>
          <w:rFonts w:ascii="Arial" w:eastAsia="Arial" w:hAnsi="Arial" w:cs="Arial"/>
          <w:sz w:val="22"/>
          <w:szCs w:val="22"/>
        </w:rPr>
        <w:t>d</w:t>
      </w:r>
      <w:r w:rsidRPr="00094814">
        <w:rPr>
          <w:rFonts w:ascii="Arial" w:eastAsia="Arial" w:hAnsi="Arial" w:cs="Arial"/>
          <w:sz w:val="22"/>
          <w:szCs w:val="22"/>
        </w:rPr>
        <w:t>at</w:t>
      </w:r>
      <w:r w:rsidRPr="00BD17CA">
        <w:rPr>
          <w:rFonts w:ascii="Arial" w:eastAsia="Arial" w:hAnsi="Arial" w:cs="Arial"/>
          <w:sz w:val="22"/>
          <w:szCs w:val="22"/>
        </w:rPr>
        <w:t>e</w:t>
      </w:r>
      <w:r w:rsidRPr="00094814">
        <w:rPr>
          <w:rFonts w:ascii="Arial" w:eastAsia="Arial" w:hAnsi="Arial" w:cs="Arial"/>
          <w:sz w:val="22"/>
          <w:szCs w:val="22"/>
        </w:rPr>
        <w:t xml:space="preserve"> pl</w:t>
      </w:r>
      <w:r w:rsidRPr="00BD17CA">
        <w:rPr>
          <w:rFonts w:ascii="Arial" w:eastAsia="Arial" w:hAnsi="Arial" w:cs="Arial"/>
          <w:sz w:val="22"/>
          <w:szCs w:val="22"/>
        </w:rPr>
        <w:t>us</w:t>
      </w:r>
      <w:r w:rsidRPr="00094814">
        <w:rPr>
          <w:rFonts w:ascii="Arial" w:eastAsia="Arial" w:hAnsi="Arial" w:cs="Arial"/>
          <w:sz w:val="22"/>
          <w:szCs w:val="22"/>
        </w:rPr>
        <w:t xml:space="preserve"> </w:t>
      </w:r>
      <w:r w:rsidRPr="00BD17CA">
        <w:rPr>
          <w:rFonts w:ascii="Arial" w:eastAsia="Arial" w:hAnsi="Arial" w:cs="Arial"/>
          <w:sz w:val="22"/>
          <w:szCs w:val="22"/>
        </w:rPr>
        <w:t>ac</w:t>
      </w:r>
      <w:r w:rsidRPr="00094814">
        <w:rPr>
          <w:rFonts w:ascii="Arial" w:eastAsia="Arial" w:hAnsi="Arial" w:cs="Arial"/>
          <w:sz w:val="22"/>
          <w:szCs w:val="22"/>
        </w:rPr>
        <w:t>cru</w:t>
      </w:r>
      <w:r w:rsidRPr="00BD17CA">
        <w:rPr>
          <w:rFonts w:ascii="Arial" w:eastAsia="Arial" w:hAnsi="Arial" w:cs="Arial"/>
          <w:sz w:val="22"/>
          <w:szCs w:val="22"/>
        </w:rPr>
        <w:t>ed</w:t>
      </w:r>
      <w:r w:rsidRPr="00094814">
        <w:rPr>
          <w:rFonts w:ascii="Arial" w:eastAsia="Arial" w:hAnsi="Arial" w:cs="Arial"/>
          <w:sz w:val="22"/>
          <w:szCs w:val="22"/>
        </w:rPr>
        <w:t xml:space="preserve"> i</w:t>
      </w:r>
      <w:r w:rsidRPr="00BD17CA">
        <w:rPr>
          <w:rFonts w:ascii="Arial" w:eastAsia="Arial" w:hAnsi="Arial" w:cs="Arial"/>
          <w:sz w:val="22"/>
          <w:szCs w:val="22"/>
        </w:rPr>
        <w:t>n</w:t>
      </w:r>
      <w:r w:rsidRPr="00094814">
        <w:rPr>
          <w:rFonts w:ascii="Arial" w:eastAsia="Arial" w:hAnsi="Arial" w:cs="Arial"/>
          <w:sz w:val="22"/>
          <w:szCs w:val="22"/>
        </w:rPr>
        <w:t>t</w:t>
      </w:r>
      <w:r w:rsidRPr="00BD17CA">
        <w:rPr>
          <w:rFonts w:ascii="Arial" w:eastAsia="Arial" w:hAnsi="Arial" w:cs="Arial"/>
          <w:sz w:val="22"/>
          <w:szCs w:val="22"/>
        </w:rPr>
        <w:t>ere</w:t>
      </w:r>
      <w:r w:rsidRPr="00094814">
        <w:rPr>
          <w:rFonts w:ascii="Arial" w:eastAsia="Arial" w:hAnsi="Arial" w:cs="Arial"/>
          <w:sz w:val="22"/>
          <w:szCs w:val="22"/>
        </w:rPr>
        <w:t>s</w:t>
      </w:r>
      <w:r w:rsidRPr="00BD17CA">
        <w:rPr>
          <w:rFonts w:ascii="Arial" w:eastAsia="Arial" w:hAnsi="Arial" w:cs="Arial"/>
          <w:sz w:val="22"/>
          <w:szCs w:val="22"/>
        </w:rPr>
        <w:t>t.</w:t>
      </w:r>
    </w:p>
    <w:p w14:paraId="1D763E3A" w14:textId="5C712F13" w:rsidR="009C7422" w:rsidRPr="00094814" w:rsidRDefault="00716307" w:rsidP="00094814">
      <w:pPr>
        <w:spacing w:after="200" w:line="276" w:lineRule="auto"/>
        <w:ind w:right="74"/>
        <w:jc w:val="both"/>
        <w:rPr>
          <w:rFonts w:ascii="Arial" w:eastAsia="Arial" w:hAnsi="Arial" w:cs="Arial"/>
          <w:b/>
          <w:sz w:val="22"/>
          <w:szCs w:val="22"/>
        </w:rPr>
      </w:pPr>
      <w:r>
        <w:rPr>
          <w:rFonts w:ascii="Arial" w:eastAsia="Arial" w:hAnsi="Arial" w:cs="Arial"/>
          <w:b/>
          <w:sz w:val="22"/>
          <w:szCs w:val="22"/>
        </w:rPr>
        <w:t>k</w:t>
      </w:r>
      <w:r w:rsidR="001706EB" w:rsidRPr="00BD17CA">
        <w:rPr>
          <w:rFonts w:ascii="Arial" w:eastAsia="Arial" w:hAnsi="Arial" w:cs="Arial"/>
          <w:b/>
          <w:sz w:val="22"/>
          <w:szCs w:val="22"/>
        </w:rPr>
        <w:t>)</w:t>
      </w:r>
      <w:r w:rsidR="001706EB" w:rsidRPr="00094814">
        <w:rPr>
          <w:rFonts w:ascii="Arial" w:eastAsia="Arial" w:hAnsi="Arial" w:cs="Arial"/>
          <w:b/>
          <w:sz w:val="22"/>
          <w:szCs w:val="22"/>
        </w:rPr>
        <w:t xml:space="preserve"> </w:t>
      </w:r>
      <w:r w:rsidR="001706EB" w:rsidRPr="00BD17CA">
        <w:rPr>
          <w:rFonts w:ascii="Arial" w:eastAsia="Arial" w:hAnsi="Arial" w:cs="Arial"/>
          <w:b/>
          <w:sz w:val="22"/>
          <w:szCs w:val="22"/>
        </w:rPr>
        <w:t>Fi</w:t>
      </w:r>
      <w:r w:rsidR="001706EB" w:rsidRPr="00094814">
        <w:rPr>
          <w:rFonts w:ascii="Arial" w:eastAsia="Arial" w:hAnsi="Arial" w:cs="Arial"/>
          <w:b/>
          <w:sz w:val="22"/>
          <w:szCs w:val="22"/>
        </w:rPr>
        <w:t>n</w:t>
      </w:r>
      <w:r w:rsidR="001706EB" w:rsidRPr="00BD17CA">
        <w:rPr>
          <w:rFonts w:ascii="Arial" w:eastAsia="Arial" w:hAnsi="Arial" w:cs="Arial"/>
          <w:b/>
          <w:sz w:val="22"/>
          <w:szCs w:val="22"/>
        </w:rPr>
        <w:t>ancial</w:t>
      </w:r>
      <w:r w:rsidR="001706EB" w:rsidRPr="00094814">
        <w:rPr>
          <w:rFonts w:ascii="Arial" w:eastAsia="Arial" w:hAnsi="Arial" w:cs="Arial"/>
          <w:b/>
          <w:sz w:val="22"/>
          <w:szCs w:val="22"/>
        </w:rPr>
        <w:t xml:space="preserve"> </w:t>
      </w:r>
      <w:r w:rsidR="001706EB" w:rsidRPr="00BD17CA">
        <w:rPr>
          <w:rFonts w:ascii="Arial" w:eastAsia="Arial" w:hAnsi="Arial" w:cs="Arial"/>
          <w:b/>
          <w:sz w:val="22"/>
          <w:szCs w:val="22"/>
        </w:rPr>
        <w:t>li</w:t>
      </w:r>
      <w:r w:rsidR="001706EB" w:rsidRPr="00094814">
        <w:rPr>
          <w:rFonts w:ascii="Arial" w:eastAsia="Arial" w:hAnsi="Arial" w:cs="Arial"/>
          <w:b/>
          <w:sz w:val="22"/>
          <w:szCs w:val="22"/>
        </w:rPr>
        <w:t>a</w:t>
      </w:r>
      <w:r w:rsidR="001706EB" w:rsidRPr="00BD17CA">
        <w:rPr>
          <w:rFonts w:ascii="Arial" w:eastAsia="Arial" w:hAnsi="Arial" w:cs="Arial"/>
          <w:b/>
          <w:sz w:val="22"/>
          <w:szCs w:val="22"/>
        </w:rPr>
        <w:t>bilit</w:t>
      </w:r>
      <w:r w:rsidR="001706EB" w:rsidRPr="00094814">
        <w:rPr>
          <w:rFonts w:ascii="Arial" w:eastAsia="Arial" w:hAnsi="Arial" w:cs="Arial"/>
          <w:b/>
          <w:sz w:val="22"/>
          <w:szCs w:val="22"/>
        </w:rPr>
        <w:t>i</w:t>
      </w:r>
      <w:r w:rsidR="001706EB" w:rsidRPr="00BD17CA">
        <w:rPr>
          <w:rFonts w:ascii="Arial" w:eastAsia="Arial" w:hAnsi="Arial" w:cs="Arial"/>
          <w:b/>
          <w:sz w:val="22"/>
          <w:szCs w:val="22"/>
        </w:rPr>
        <w:t>es</w:t>
      </w:r>
    </w:p>
    <w:p w14:paraId="5C3DFD0D" w14:textId="77777777" w:rsidR="009C7422" w:rsidRPr="00BD17CA" w:rsidRDefault="001706EB" w:rsidP="00094814">
      <w:pPr>
        <w:spacing w:after="200" w:line="276" w:lineRule="auto"/>
        <w:ind w:right="74"/>
        <w:jc w:val="both"/>
        <w:rPr>
          <w:rFonts w:ascii="Arial" w:eastAsia="Arial" w:hAnsi="Arial" w:cs="Arial"/>
          <w:sz w:val="22"/>
          <w:szCs w:val="22"/>
        </w:rPr>
      </w:pPr>
      <w:r w:rsidRPr="00094814">
        <w:rPr>
          <w:rFonts w:ascii="Arial" w:eastAsia="Arial" w:hAnsi="Arial" w:cs="Arial"/>
          <w:sz w:val="22"/>
          <w:szCs w:val="22"/>
        </w:rPr>
        <w:t>T</w:t>
      </w:r>
      <w:r w:rsidRPr="00BD17CA">
        <w:rPr>
          <w:rFonts w:ascii="Arial" w:eastAsia="Arial" w:hAnsi="Arial" w:cs="Arial"/>
          <w:sz w:val="22"/>
          <w:szCs w:val="22"/>
        </w:rPr>
        <w:t>he</w:t>
      </w:r>
      <w:r w:rsidRPr="00094814">
        <w:rPr>
          <w:rFonts w:ascii="Arial" w:eastAsia="Arial" w:hAnsi="Arial" w:cs="Arial"/>
          <w:sz w:val="22"/>
          <w:szCs w:val="22"/>
        </w:rPr>
        <w:t xml:space="preserve"> f</w:t>
      </w:r>
      <w:r w:rsidRPr="00BD17CA">
        <w:rPr>
          <w:rFonts w:ascii="Arial" w:eastAsia="Arial" w:hAnsi="Arial" w:cs="Arial"/>
          <w:sz w:val="22"/>
          <w:szCs w:val="22"/>
        </w:rPr>
        <w:t>u</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 xml:space="preserve"> </w:t>
      </w:r>
      <w:proofErr w:type="spellStart"/>
      <w:r w:rsidRPr="00BD17CA">
        <w:rPr>
          <w:rFonts w:ascii="Arial" w:eastAsia="Arial" w:hAnsi="Arial" w:cs="Arial"/>
          <w:sz w:val="22"/>
          <w:szCs w:val="22"/>
        </w:rPr>
        <w:t>re</w:t>
      </w:r>
      <w:r w:rsidRPr="00094814">
        <w:rPr>
          <w:rFonts w:ascii="Arial" w:eastAsia="Arial" w:hAnsi="Arial" w:cs="Arial"/>
          <w:sz w:val="22"/>
          <w:szCs w:val="22"/>
        </w:rPr>
        <w:t>c</w:t>
      </w:r>
      <w:r w:rsidRPr="00BD17CA">
        <w:rPr>
          <w:rFonts w:ascii="Arial" w:eastAsia="Arial" w:hAnsi="Arial" w:cs="Arial"/>
          <w:sz w:val="22"/>
          <w:szCs w:val="22"/>
        </w:rPr>
        <w:t>o</w:t>
      </w:r>
      <w:r w:rsidRPr="00094814">
        <w:rPr>
          <w:rFonts w:ascii="Arial" w:eastAsia="Arial" w:hAnsi="Arial" w:cs="Arial"/>
          <w:sz w:val="22"/>
          <w:szCs w:val="22"/>
        </w:rPr>
        <w:t>g</w:t>
      </w:r>
      <w:r w:rsidRPr="00BD17CA">
        <w:rPr>
          <w:rFonts w:ascii="Arial" w:eastAsia="Arial" w:hAnsi="Arial" w:cs="Arial"/>
          <w:sz w:val="22"/>
          <w:szCs w:val="22"/>
        </w:rPr>
        <w:t>n</w:t>
      </w:r>
      <w:r w:rsidRPr="00094814">
        <w:rPr>
          <w:rFonts w:ascii="Arial" w:eastAsia="Arial" w:hAnsi="Arial" w:cs="Arial"/>
          <w:sz w:val="22"/>
          <w:szCs w:val="22"/>
        </w:rPr>
        <w:t>is</w:t>
      </w:r>
      <w:r w:rsidRPr="00BD17CA">
        <w:rPr>
          <w:rFonts w:ascii="Arial" w:eastAsia="Arial" w:hAnsi="Arial" w:cs="Arial"/>
          <w:sz w:val="22"/>
          <w:szCs w:val="22"/>
        </w:rPr>
        <w:t>es</w:t>
      </w:r>
      <w:proofErr w:type="spellEnd"/>
      <w:r w:rsidRPr="00094814">
        <w:rPr>
          <w:rFonts w:ascii="Arial" w:eastAsia="Arial" w:hAnsi="Arial" w:cs="Arial"/>
          <w:sz w:val="22"/>
          <w:szCs w:val="22"/>
        </w:rPr>
        <w:t xml:space="preserve"> fin</w:t>
      </w:r>
      <w:r w:rsidRPr="00BD17CA">
        <w:rPr>
          <w:rFonts w:ascii="Arial" w:eastAsia="Arial" w:hAnsi="Arial" w:cs="Arial"/>
          <w:sz w:val="22"/>
          <w:szCs w:val="22"/>
        </w:rPr>
        <w:t>a</w:t>
      </w:r>
      <w:r w:rsidRPr="00094814">
        <w:rPr>
          <w:rFonts w:ascii="Arial" w:eastAsia="Arial" w:hAnsi="Arial" w:cs="Arial"/>
          <w:sz w:val="22"/>
          <w:szCs w:val="22"/>
        </w:rPr>
        <w:t>nci</w:t>
      </w:r>
      <w:r w:rsidRPr="00BD17CA">
        <w:rPr>
          <w:rFonts w:ascii="Arial" w:eastAsia="Arial" w:hAnsi="Arial" w:cs="Arial"/>
          <w:sz w:val="22"/>
          <w:szCs w:val="22"/>
        </w:rPr>
        <w:t>al</w:t>
      </w:r>
      <w:r w:rsidRPr="00094814">
        <w:rPr>
          <w:rFonts w:ascii="Arial" w:eastAsia="Arial" w:hAnsi="Arial" w:cs="Arial"/>
          <w:sz w:val="22"/>
          <w:szCs w:val="22"/>
        </w:rPr>
        <w:t xml:space="preserve"> li</w:t>
      </w:r>
      <w:r w:rsidRPr="00BD17CA">
        <w:rPr>
          <w:rFonts w:ascii="Arial" w:eastAsia="Arial" w:hAnsi="Arial" w:cs="Arial"/>
          <w:sz w:val="22"/>
          <w:szCs w:val="22"/>
        </w:rPr>
        <w:t>a</w:t>
      </w:r>
      <w:r w:rsidRPr="00094814">
        <w:rPr>
          <w:rFonts w:ascii="Arial" w:eastAsia="Arial" w:hAnsi="Arial" w:cs="Arial"/>
          <w:sz w:val="22"/>
          <w:szCs w:val="22"/>
        </w:rPr>
        <w:t>bili</w:t>
      </w:r>
      <w:r w:rsidRPr="00BD17CA">
        <w:rPr>
          <w:rFonts w:ascii="Arial" w:eastAsia="Arial" w:hAnsi="Arial" w:cs="Arial"/>
          <w:sz w:val="22"/>
          <w:szCs w:val="22"/>
        </w:rPr>
        <w:t>t</w:t>
      </w:r>
      <w:r w:rsidRPr="00094814">
        <w:rPr>
          <w:rFonts w:ascii="Arial" w:eastAsia="Arial" w:hAnsi="Arial" w:cs="Arial"/>
          <w:sz w:val="22"/>
          <w:szCs w:val="22"/>
        </w:rPr>
        <w:t>i</w:t>
      </w:r>
      <w:r w:rsidRPr="00BD17CA">
        <w:rPr>
          <w:rFonts w:ascii="Arial" w:eastAsia="Arial" w:hAnsi="Arial" w:cs="Arial"/>
          <w:sz w:val="22"/>
          <w:szCs w:val="22"/>
        </w:rPr>
        <w:t>es</w:t>
      </w:r>
      <w:r w:rsidRPr="00094814">
        <w:rPr>
          <w:rFonts w:ascii="Arial" w:eastAsia="Arial" w:hAnsi="Arial" w:cs="Arial"/>
          <w:sz w:val="22"/>
          <w:szCs w:val="22"/>
        </w:rPr>
        <w:t xml:space="preserve"> a</w:t>
      </w:r>
      <w:r w:rsidRPr="00BD17CA">
        <w:rPr>
          <w:rFonts w:ascii="Arial" w:eastAsia="Arial" w:hAnsi="Arial" w:cs="Arial"/>
          <w:sz w:val="22"/>
          <w:szCs w:val="22"/>
        </w:rPr>
        <w:t xml:space="preserve">t </w:t>
      </w:r>
      <w:r w:rsidRPr="00094814">
        <w:rPr>
          <w:rFonts w:ascii="Arial" w:eastAsia="Arial" w:hAnsi="Arial" w:cs="Arial"/>
          <w:sz w:val="22"/>
          <w:szCs w:val="22"/>
        </w:rPr>
        <w:t>f</w:t>
      </w:r>
      <w:r w:rsidRPr="00BD17CA">
        <w:rPr>
          <w:rFonts w:ascii="Arial" w:eastAsia="Arial" w:hAnsi="Arial" w:cs="Arial"/>
          <w:sz w:val="22"/>
          <w:szCs w:val="22"/>
        </w:rPr>
        <w:t>a</w:t>
      </w:r>
      <w:r w:rsidRPr="00094814">
        <w:rPr>
          <w:rFonts w:ascii="Arial" w:eastAsia="Arial" w:hAnsi="Arial" w:cs="Arial"/>
          <w:sz w:val="22"/>
          <w:szCs w:val="22"/>
        </w:rPr>
        <w:t>i</w:t>
      </w:r>
      <w:r w:rsidRPr="00BD17CA">
        <w:rPr>
          <w:rFonts w:ascii="Arial" w:eastAsia="Arial" w:hAnsi="Arial" w:cs="Arial"/>
          <w:sz w:val="22"/>
          <w:szCs w:val="22"/>
        </w:rPr>
        <w:t xml:space="preserve">r </w:t>
      </w:r>
      <w:r w:rsidRPr="00094814">
        <w:rPr>
          <w:rFonts w:ascii="Arial" w:eastAsia="Arial" w:hAnsi="Arial" w:cs="Arial"/>
          <w:sz w:val="22"/>
          <w:szCs w:val="22"/>
        </w:rPr>
        <w:t>val</w:t>
      </w:r>
      <w:r w:rsidRPr="00BD17CA">
        <w:rPr>
          <w:rFonts w:ascii="Arial" w:eastAsia="Arial" w:hAnsi="Arial" w:cs="Arial"/>
          <w:sz w:val="22"/>
          <w:szCs w:val="22"/>
        </w:rPr>
        <w:t>ue</w:t>
      </w:r>
      <w:r w:rsidRPr="00094814">
        <w:rPr>
          <w:rFonts w:ascii="Arial" w:eastAsia="Arial" w:hAnsi="Arial" w:cs="Arial"/>
          <w:sz w:val="22"/>
          <w:szCs w:val="22"/>
        </w:rPr>
        <w:t xml:space="preserve"> </w:t>
      </w:r>
      <w:r w:rsidRPr="00BD17CA">
        <w:rPr>
          <w:rFonts w:ascii="Arial" w:eastAsia="Arial" w:hAnsi="Arial" w:cs="Arial"/>
          <w:sz w:val="22"/>
          <w:szCs w:val="22"/>
        </w:rPr>
        <w:t>as</w:t>
      </w:r>
      <w:r w:rsidRPr="00094814">
        <w:rPr>
          <w:rFonts w:ascii="Arial" w:eastAsia="Arial" w:hAnsi="Arial" w:cs="Arial"/>
          <w:sz w:val="22"/>
          <w:szCs w:val="22"/>
        </w:rPr>
        <w:t xml:space="preserve"> </w:t>
      </w:r>
      <w:r w:rsidRPr="00BD17CA">
        <w:rPr>
          <w:rFonts w:ascii="Arial" w:eastAsia="Arial" w:hAnsi="Arial" w:cs="Arial"/>
          <w:sz w:val="22"/>
          <w:szCs w:val="22"/>
        </w:rPr>
        <w:t>at</w:t>
      </w:r>
      <w:r w:rsidRPr="00094814">
        <w:rPr>
          <w:rFonts w:ascii="Arial" w:eastAsia="Arial" w:hAnsi="Arial" w:cs="Arial"/>
          <w:sz w:val="22"/>
          <w:szCs w:val="22"/>
        </w:rPr>
        <w:t xml:space="preserve"> t</w:t>
      </w:r>
      <w:r w:rsidRPr="00BD17CA">
        <w:rPr>
          <w:rFonts w:ascii="Arial" w:eastAsia="Arial" w:hAnsi="Arial" w:cs="Arial"/>
          <w:sz w:val="22"/>
          <w:szCs w:val="22"/>
        </w:rPr>
        <w:t>he</w:t>
      </w:r>
      <w:r w:rsidRPr="00094814">
        <w:rPr>
          <w:rFonts w:ascii="Arial" w:eastAsia="Arial" w:hAnsi="Arial" w:cs="Arial"/>
          <w:sz w:val="22"/>
          <w:szCs w:val="22"/>
        </w:rPr>
        <w:t xml:space="preserve"> r</w:t>
      </w:r>
      <w:r w:rsidRPr="00BD17CA">
        <w:rPr>
          <w:rFonts w:ascii="Arial" w:eastAsia="Arial" w:hAnsi="Arial" w:cs="Arial"/>
          <w:sz w:val="22"/>
          <w:szCs w:val="22"/>
        </w:rPr>
        <w:t>e</w:t>
      </w:r>
      <w:r w:rsidRPr="00094814">
        <w:rPr>
          <w:rFonts w:ascii="Arial" w:eastAsia="Arial" w:hAnsi="Arial" w:cs="Arial"/>
          <w:sz w:val="22"/>
          <w:szCs w:val="22"/>
        </w:rPr>
        <w:t>p</w:t>
      </w:r>
      <w:r w:rsidRPr="00BD17CA">
        <w:rPr>
          <w:rFonts w:ascii="Arial" w:eastAsia="Arial" w:hAnsi="Arial" w:cs="Arial"/>
          <w:sz w:val="22"/>
          <w:szCs w:val="22"/>
        </w:rPr>
        <w:t>or</w:t>
      </w:r>
      <w:r w:rsidRPr="00094814">
        <w:rPr>
          <w:rFonts w:ascii="Arial" w:eastAsia="Arial" w:hAnsi="Arial" w:cs="Arial"/>
          <w:sz w:val="22"/>
          <w:szCs w:val="22"/>
        </w:rPr>
        <w:t>ti</w:t>
      </w:r>
      <w:r w:rsidRPr="00BD17CA">
        <w:rPr>
          <w:rFonts w:ascii="Arial" w:eastAsia="Arial" w:hAnsi="Arial" w:cs="Arial"/>
          <w:sz w:val="22"/>
          <w:szCs w:val="22"/>
        </w:rPr>
        <w:t>ng</w:t>
      </w:r>
      <w:r w:rsidRPr="00094814">
        <w:rPr>
          <w:rFonts w:ascii="Arial" w:eastAsia="Arial" w:hAnsi="Arial" w:cs="Arial"/>
          <w:sz w:val="22"/>
          <w:szCs w:val="22"/>
        </w:rPr>
        <w:t xml:space="preserve"> d</w:t>
      </w:r>
      <w:r w:rsidRPr="00BD17CA">
        <w:rPr>
          <w:rFonts w:ascii="Arial" w:eastAsia="Arial" w:hAnsi="Arial" w:cs="Arial"/>
          <w:sz w:val="22"/>
          <w:szCs w:val="22"/>
        </w:rPr>
        <w:t>at</w:t>
      </w:r>
      <w:r w:rsidRPr="00094814">
        <w:rPr>
          <w:rFonts w:ascii="Arial" w:eastAsia="Arial" w:hAnsi="Arial" w:cs="Arial"/>
          <w:sz w:val="22"/>
          <w:szCs w:val="22"/>
        </w:rPr>
        <w:t>e</w:t>
      </w:r>
      <w:r w:rsidRPr="00BD17CA">
        <w:rPr>
          <w:rFonts w:ascii="Arial" w:eastAsia="Arial" w:hAnsi="Arial" w:cs="Arial"/>
          <w:sz w:val="22"/>
          <w:szCs w:val="22"/>
        </w:rPr>
        <w:t>.</w:t>
      </w:r>
      <w:r w:rsidRPr="00094814">
        <w:rPr>
          <w:rFonts w:ascii="Arial" w:eastAsia="Arial" w:hAnsi="Arial" w:cs="Arial"/>
          <w:sz w:val="22"/>
          <w:szCs w:val="22"/>
        </w:rPr>
        <w:t xml:space="preserve"> </w:t>
      </w:r>
      <w:r w:rsidRPr="00BD17CA">
        <w:rPr>
          <w:rFonts w:ascii="Arial" w:eastAsia="Arial" w:hAnsi="Arial" w:cs="Arial"/>
          <w:sz w:val="22"/>
          <w:szCs w:val="22"/>
        </w:rPr>
        <w:t xml:space="preserve">A </w:t>
      </w:r>
      <w:r w:rsidRPr="00094814">
        <w:rPr>
          <w:rFonts w:ascii="Arial" w:eastAsia="Arial" w:hAnsi="Arial" w:cs="Arial"/>
          <w:sz w:val="22"/>
          <w:szCs w:val="22"/>
        </w:rPr>
        <w:t>fi</w:t>
      </w:r>
      <w:r w:rsidRPr="00BD17CA">
        <w:rPr>
          <w:rFonts w:ascii="Arial" w:eastAsia="Arial" w:hAnsi="Arial" w:cs="Arial"/>
          <w:sz w:val="22"/>
          <w:szCs w:val="22"/>
        </w:rPr>
        <w:t>n</w:t>
      </w:r>
      <w:r w:rsidRPr="00094814">
        <w:rPr>
          <w:rFonts w:ascii="Arial" w:eastAsia="Arial" w:hAnsi="Arial" w:cs="Arial"/>
          <w:sz w:val="22"/>
          <w:szCs w:val="22"/>
        </w:rPr>
        <w:t>a</w:t>
      </w:r>
      <w:r w:rsidRPr="00BD17CA">
        <w:rPr>
          <w:rFonts w:ascii="Arial" w:eastAsia="Arial" w:hAnsi="Arial" w:cs="Arial"/>
          <w:sz w:val="22"/>
          <w:szCs w:val="22"/>
        </w:rPr>
        <w:t>n</w:t>
      </w:r>
      <w:r w:rsidRPr="00094814">
        <w:rPr>
          <w:rFonts w:ascii="Arial" w:eastAsia="Arial" w:hAnsi="Arial" w:cs="Arial"/>
          <w:sz w:val="22"/>
          <w:szCs w:val="22"/>
        </w:rPr>
        <w:t>ci</w:t>
      </w:r>
      <w:r w:rsidRPr="00BD17CA">
        <w:rPr>
          <w:rFonts w:ascii="Arial" w:eastAsia="Arial" w:hAnsi="Arial" w:cs="Arial"/>
          <w:sz w:val="22"/>
          <w:szCs w:val="22"/>
        </w:rPr>
        <w:t>al</w:t>
      </w:r>
      <w:r w:rsidRPr="00094814">
        <w:rPr>
          <w:rFonts w:ascii="Arial" w:eastAsia="Arial" w:hAnsi="Arial" w:cs="Arial"/>
          <w:sz w:val="22"/>
          <w:szCs w:val="22"/>
        </w:rPr>
        <w:t xml:space="preserve"> lia</w:t>
      </w:r>
      <w:r w:rsidRPr="00BD17CA">
        <w:rPr>
          <w:rFonts w:ascii="Arial" w:eastAsia="Arial" w:hAnsi="Arial" w:cs="Arial"/>
          <w:sz w:val="22"/>
          <w:szCs w:val="22"/>
        </w:rPr>
        <w:t>b</w:t>
      </w:r>
      <w:r w:rsidRPr="00094814">
        <w:rPr>
          <w:rFonts w:ascii="Arial" w:eastAsia="Arial" w:hAnsi="Arial" w:cs="Arial"/>
          <w:sz w:val="22"/>
          <w:szCs w:val="22"/>
        </w:rPr>
        <w:t>ilit</w:t>
      </w:r>
      <w:r w:rsidRPr="00BD17CA">
        <w:rPr>
          <w:rFonts w:ascii="Arial" w:eastAsia="Arial" w:hAnsi="Arial" w:cs="Arial"/>
          <w:sz w:val="22"/>
          <w:szCs w:val="22"/>
        </w:rPr>
        <w:t>y</w:t>
      </w:r>
      <w:r w:rsidRPr="00094814">
        <w:rPr>
          <w:rFonts w:ascii="Arial" w:eastAsia="Arial" w:hAnsi="Arial" w:cs="Arial"/>
          <w:sz w:val="22"/>
          <w:szCs w:val="22"/>
        </w:rPr>
        <w:t xml:space="preserve"> i</w:t>
      </w:r>
      <w:r w:rsidRPr="00BD17CA">
        <w:rPr>
          <w:rFonts w:ascii="Arial" w:eastAsia="Arial" w:hAnsi="Arial" w:cs="Arial"/>
          <w:sz w:val="22"/>
          <w:szCs w:val="22"/>
        </w:rPr>
        <w:t xml:space="preserve">s </w:t>
      </w:r>
      <w:proofErr w:type="spellStart"/>
      <w:r w:rsidRPr="00BD17CA">
        <w:rPr>
          <w:rFonts w:ascii="Arial" w:eastAsia="Arial" w:hAnsi="Arial" w:cs="Arial"/>
          <w:sz w:val="22"/>
          <w:szCs w:val="22"/>
        </w:rPr>
        <w:t>re</w:t>
      </w:r>
      <w:r w:rsidRPr="00094814">
        <w:rPr>
          <w:rFonts w:ascii="Arial" w:eastAsia="Arial" w:hAnsi="Arial" w:cs="Arial"/>
          <w:sz w:val="22"/>
          <w:szCs w:val="22"/>
        </w:rPr>
        <w:t>co</w:t>
      </w:r>
      <w:r w:rsidRPr="00BD17CA">
        <w:rPr>
          <w:rFonts w:ascii="Arial" w:eastAsia="Arial" w:hAnsi="Arial" w:cs="Arial"/>
          <w:sz w:val="22"/>
          <w:szCs w:val="22"/>
        </w:rPr>
        <w:t>g</w:t>
      </w:r>
      <w:r w:rsidRPr="00094814">
        <w:rPr>
          <w:rFonts w:ascii="Arial" w:eastAsia="Arial" w:hAnsi="Arial" w:cs="Arial"/>
          <w:sz w:val="22"/>
          <w:szCs w:val="22"/>
        </w:rPr>
        <w:t>nis</w:t>
      </w:r>
      <w:r w:rsidRPr="00BD17CA">
        <w:rPr>
          <w:rFonts w:ascii="Arial" w:eastAsia="Arial" w:hAnsi="Arial" w:cs="Arial"/>
          <w:sz w:val="22"/>
          <w:szCs w:val="22"/>
        </w:rPr>
        <w:t>ed</w:t>
      </w:r>
      <w:proofErr w:type="spellEnd"/>
      <w:r w:rsidRPr="00094814">
        <w:rPr>
          <w:rFonts w:ascii="Arial" w:eastAsia="Arial" w:hAnsi="Arial" w:cs="Arial"/>
          <w:sz w:val="22"/>
          <w:szCs w:val="22"/>
        </w:rPr>
        <w:t xml:space="preserve"> i</w:t>
      </w:r>
      <w:r w:rsidRPr="00BD17CA">
        <w:rPr>
          <w:rFonts w:ascii="Arial" w:eastAsia="Arial" w:hAnsi="Arial" w:cs="Arial"/>
          <w:sz w:val="22"/>
          <w:szCs w:val="22"/>
        </w:rPr>
        <w:t>n the</w:t>
      </w:r>
      <w:r w:rsidRPr="00094814">
        <w:rPr>
          <w:rFonts w:ascii="Arial" w:eastAsia="Arial" w:hAnsi="Arial" w:cs="Arial"/>
          <w:sz w:val="22"/>
          <w:szCs w:val="22"/>
        </w:rPr>
        <w:t xml:space="preserve"> </w:t>
      </w:r>
      <w:r w:rsidRPr="00BD17CA">
        <w:rPr>
          <w:rFonts w:ascii="Arial" w:eastAsia="Arial" w:hAnsi="Arial" w:cs="Arial"/>
          <w:sz w:val="22"/>
          <w:szCs w:val="22"/>
        </w:rPr>
        <w:t>n</w:t>
      </w:r>
      <w:r w:rsidRPr="00094814">
        <w:rPr>
          <w:rFonts w:ascii="Arial" w:eastAsia="Arial" w:hAnsi="Arial" w:cs="Arial"/>
          <w:sz w:val="22"/>
          <w:szCs w:val="22"/>
        </w:rPr>
        <w:t>e</w:t>
      </w:r>
      <w:r w:rsidRPr="00BD17CA">
        <w:rPr>
          <w:rFonts w:ascii="Arial" w:eastAsia="Arial" w:hAnsi="Arial" w:cs="Arial"/>
          <w:sz w:val="22"/>
          <w:szCs w:val="22"/>
        </w:rPr>
        <w:t>t</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ss</w:t>
      </w:r>
      <w:r w:rsidRPr="00BD17CA">
        <w:rPr>
          <w:rFonts w:ascii="Arial" w:eastAsia="Arial" w:hAnsi="Arial" w:cs="Arial"/>
          <w:sz w:val="22"/>
          <w:szCs w:val="22"/>
        </w:rPr>
        <w:t>et</w:t>
      </w:r>
      <w:r w:rsidRPr="00094814">
        <w:rPr>
          <w:rFonts w:ascii="Arial" w:eastAsia="Arial" w:hAnsi="Arial" w:cs="Arial"/>
          <w:sz w:val="22"/>
          <w:szCs w:val="22"/>
        </w:rPr>
        <w:t xml:space="preserve"> s</w:t>
      </w:r>
      <w:r w:rsidRPr="00BD17CA">
        <w:rPr>
          <w:rFonts w:ascii="Arial" w:eastAsia="Arial" w:hAnsi="Arial" w:cs="Arial"/>
          <w:sz w:val="22"/>
          <w:szCs w:val="22"/>
        </w:rPr>
        <w:t>ta</w:t>
      </w:r>
      <w:r w:rsidRPr="00094814">
        <w:rPr>
          <w:rFonts w:ascii="Arial" w:eastAsia="Arial" w:hAnsi="Arial" w:cs="Arial"/>
          <w:sz w:val="22"/>
          <w:szCs w:val="22"/>
        </w:rPr>
        <w:t>t</w:t>
      </w:r>
      <w:r w:rsidRPr="00BD17CA">
        <w:rPr>
          <w:rFonts w:ascii="Arial" w:eastAsia="Arial" w:hAnsi="Arial" w:cs="Arial"/>
          <w:sz w:val="22"/>
          <w:szCs w:val="22"/>
        </w:rPr>
        <w:t>e</w:t>
      </w:r>
      <w:r w:rsidRPr="00094814">
        <w:rPr>
          <w:rFonts w:ascii="Arial" w:eastAsia="Arial" w:hAnsi="Arial" w:cs="Arial"/>
          <w:sz w:val="22"/>
          <w:szCs w:val="22"/>
        </w:rPr>
        <w:t>m</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t</w:t>
      </w:r>
      <w:r w:rsidRPr="00094814">
        <w:rPr>
          <w:rFonts w:ascii="Arial" w:eastAsia="Arial" w:hAnsi="Arial" w:cs="Arial"/>
          <w:sz w:val="22"/>
          <w:szCs w:val="22"/>
        </w:rPr>
        <w:t xml:space="preserve"> </w:t>
      </w:r>
      <w:r w:rsidRPr="00BD17CA">
        <w:rPr>
          <w:rFonts w:ascii="Arial" w:eastAsia="Arial" w:hAnsi="Arial" w:cs="Arial"/>
          <w:sz w:val="22"/>
          <w:szCs w:val="22"/>
        </w:rPr>
        <w:t>on</w:t>
      </w:r>
      <w:r w:rsidRPr="00094814">
        <w:rPr>
          <w:rFonts w:ascii="Arial" w:eastAsia="Arial" w:hAnsi="Arial" w:cs="Arial"/>
          <w:sz w:val="22"/>
          <w:szCs w:val="22"/>
        </w:rPr>
        <w:t xml:space="preserve"> </w:t>
      </w:r>
      <w:r w:rsidRPr="00BD17CA">
        <w:rPr>
          <w:rFonts w:ascii="Arial" w:eastAsia="Arial" w:hAnsi="Arial" w:cs="Arial"/>
          <w:sz w:val="22"/>
          <w:szCs w:val="22"/>
        </w:rPr>
        <w:t>the</w:t>
      </w:r>
      <w:r w:rsidRPr="00094814">
        <w:rPr>
          <w:rFonts w:ascii="Arial" w:eastAsia="Arial" w:hAnsi="Arial" w:cs="Arial"/>
          <w:sz w:val="22"/>
          <w:szCs w:val="22"/>
        </w:rPr>
        <w:t xml:space="preserve"> </w:t>
      </w:r>
      <w:r w:rsidRPr="00BD17CA">
        <w:rPr>
          <w:rFonts w:ascii="Arial" w:eastAsia="Arial" w:hAnsi="Arial" w:cs="Arial"/>
          <w:sz w:val="22"/>
          <w:szCs w:val="22"/>
        </w:rPr>
        <w:t>d</w:t>
      </w:r>
      <w:r w:rsidRPr="00094814">
        <w:rPr>
          <w:rFonts w:ascii="Arial" w:eastAsia="Arial" w:hAnsi="Arial" w:cs="Arial"/>
          <w:sz w:val="22"/>
          <w:szCs w:val="22"/>
        </w:rPr>
        <w:t>at</w:t>
      </w:r>
      <w:r w:rsidRPr="00BD17CA">
        <w:rPr>
          <w:rFonts w:ascii="Arial" w:eastAsia="Arial" w:hAnsi="Arial" w:cs="Arial"/>
          <w:sz w:val="22"/>
          <w:szCs w:val="22"/>
        </w:rPr>
        <w:t xml:space="preserve">e </w:t>
      </w:r>
      <w:r w:rsidRPr="00094814">
        <w:rPr>
          <w:rFonts w:ascii="Arial" w:eastAsia="Arial" w:hAnsi="Arial" w:cs="Arial"/>
          <w:sz w:val="22"/>
          <w:szCs w:val="22"/>
        </w:rPr>
        <w:t>t</w:t>
      </w:r>
      <w:r w:rsidRPr="00BD17CA">
        <w:rPr>
          <w:rFonts w:ascii="Arial" w:eastAsia="Arial" w:hAnsi="Arial" w:cs="Arial"/>
          <w:sz w:val="22"/>
          <w:szCs w:val="22"/>
        </w:rPr>
        <w:t>he</w:t>
      </w:r>
      <w:r w:rsidRPr="00094814">
        <w:rPr>
          <w:rFonts w:ascii="Arial" w:eastAsia="Arial" w:hAnsi="Arial" w:cs="Arial"/>
          <w:sz w:val="22"/>
          <w:szCs w:val="22"/>
        </w:rPr>
        <w:t xml:space="preserve"> f</w:t>
      </w:r>
      <w:r w:rsidRPr="00BD17CA">
        <w:rPr>
          <w:rFonts w:ascii="Arial" w:eastAsia="Arial" w:hAnsi="Arial" w:cs="Arial"/>
          <w:sz w:val="22"/>
          <w:szCs w:val="22"/>
        </w:rPr>
        <w:t>u</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 xml:space="preserve"> </w:t>
      </w:r>
      <w:r w:rsidRPr="00BD17CA">
        <w:rPr>
          <w:rFonts w:ascii="Arial" w:eastAsia="Arial" w:hAnsi="Arial" w:cs="Arial"/>
          <w:sz w:val="22"/>
          <w:szCs w:val="22"/>
        </w:rPr>
        <w:t>b</w:t>
      </w:r>
      <w:r w:rsidRPr="00094814">
        <w:rPr>
          <w:rFonts w:ascii="Arial" w:eastAsia="Arial" w:hAnsi="Arial" w:cs="Arial"/>
          <w:sz w:val="22"/>
          <w:szCs w:val="22"/>
        </w:rPr>
        <w:t>ec</w:t>
      </w:r>
      <w:r w:rsidRPr="00BD17CA">
        <w:rPr>
          <w:rFonts w:ascii="Arial" w:eastAsia="Arial" w:hAnsi="Arial" w:cs="Arial"/>
          <w:sz w:val="22"/>
          <w:szCs w:val="22"/>
        </w:rPr>
        <w:t>o</w:t>
      </w:r>
      <w:r w:rsidRPr="00094814">
        <w:rPr>
          <w:rFonts w:ascii="Arial" w:eastAsia="Arial" w:hAnsi="Arial" w:cs="Arial"/>
          <w:sz w:val="22"/>
          <w:szCs w:val="22"/>
        </w:rPr>
        <w:t>m</w:t>
      </w:r>
      <w:r w:rsidRPr="00BD17CA">
        <w:rPr>
          <w:rFonts w:ascii="Arial" w:eastAsia="Arial" w:hAnsi="Arial" w:cs="Arial"/>
          <w:sz w:val="22"/>
          <w:szCs w:val="22"/>
        </w:rPr>
        <w:t>es</w:t>
      </w:r>
      <w:r w:rsidRPr="00094814">
        <w:rPr>
          <w:rFonts w:ascii="Arial" w:eastAsia="Arial" w:hAnsi="Arial" w:cs="Arial"/>
          <w:sz w:val="22"/>
          <w:szCs w:val="22"/>
        </w:rPr>
        <w:t xml:space="preserve"> </w:t>
      </w:r>
      <w:r w:rsidRPr="00BD17CA">
        <w:rPr>
          <w:rFonts w:ascii="Arial" w:eastAsia="Arial" w:hAnsi="Arial" w:cs="Arial"/>
          <w:sz w:val="22"/>
          <w:szCs w:val="22"/>
        </w:rPr>
        <w:t>p</w:t>
      </w:r>
      <w:r w:rsidRPr="00094814">
        <w:rPr>
          <w:rFonts w:ascii="Arial" w:eastAsia="Arial" w:hAnsi="Arial" w:cs="Arial"/>
          <w:sz w:val="22"/>
          <w:szCs w:val="22"/>
        </w:rPr>
        <w:t>art</w:t>
      </w:r>
      <w:r w:rsidRPr="00BD17CA">
        <w:rPr>
          <w:rFonts w:ascii="Arial" w:eastAsia="Arial" w:hAnsi="Arial" w:cs="Arial"/>
          <w:sz w:val="22"/>
          <w:szCs w:val="22"/>
        </w:rPr>
        <w:t>y</w:t>
      </w:r>
      <w:r w:rsidRPr="00094814">
        <w:rPr>
          <w:rFonts w:ascii="Arial" w:eastAsia="Arial" w:hAnsi="Arial" w:cs="Arial"/>
          <w:sz w:val="22"/>
          <w:szCs w:val="22"/>
        </w:rPr>
        <w:t xml:space="preserve"> </w:t>
      </w:r>
      <w:r w:rsidRPr="00BD17CA">
        <w:rPr>
          <w:rFonts w:ascii="Arial" w:eastAsia="Arial" w:hAnsi="Arial" w:cs="Arial"/>
          <w:sz w:val="22"/>
          <w:szCs w:val="22"/>
        </w:rPr>
        <w:t>to</w:t>
      </w:r>
      <w:r w:rsidRPr="00094814">
        <w:rPr>
          <w:rFonts w:ascii="Arial" w:eastAsia="Arial" w:hAnsi="Arial" w:cs="Arial"/>
          <w:sz w:val="22"/>
          <w:szCs w:val="22"/>
        </w:rPr>
        <w:t xml:space="preserve"> </w:t>
      </w:r>
      <w:r w:rsidRPr="00BD17CA">
        <w:rPr>
          <w:rFonts w:ascii="Arial" w:eastAsia="Arial" w:hAnsi="Arial" w:cs="Arial"/>
          <w:sz w:val="22"/>
          <w:szCs w:val="22"/>
        </w:rPr>
        <w:t>t</w:t>
      </w:r>
      <w:r w:rsidRPr="00094814">
        <w:rPr>
          <w:rFonts w:ascii="Arial" w:eastAsia="Arial" w:hAnsi="Arial" w:cs="Arial"/>
          <w:sz w:val="22"/>
          <w:szCs w:val="22"/>
        </w:rPr>
        <w:t>h</w:t>
      </w:r>
      <w:r w:rsidRPr="00BD17CA">
        <w:rPr>
          <w:rFonts w:ascii="Arial" w:eastAsia="Arial" w:hAnsi="Arial" w:cs="Arial"/>
          <w:sz w:val="22"/>
          <w:szCs w:val="22"/>
        </w:rPr>
        <w:t>e</w:t>
      </w:r>
      <w:r w:rsidRPr="00094814">
        <w:rPr>
          <w:rFonts w:ascii="Arial" w:eastAsia="Arial" w:hAnsi="Arial" w:cs="Arial"/>
          <w:sz w:val="22"/>
          <w:szCs w:val="22"/>
        </w:rPr>
        <w:t xml:space="preserve"> li</w:t>
      </w:r>
      <w:r w:rsidRPr="00BD17CA">
        <w:rPr>
          <w:rFonts w:ascii="Arial" w:eastAsia="Arial" w:hAnsi="Arial" w:cs="Arial"/>
          <w:sz w:val="22"/>
          <w:szCs w:val="22"/>
        </w:rPr>
        <w:t>a</w:t>
      </w:r>
      <w:r w:rsidRPr="00094814">
        <w:rPr>
          <w:rFonts w:ascii="Arial" w:eastAsia="Arial" w:hAnsi="Arial" w:cs="Arial"/>
          <w:sz w:val="22"/>
          <w:szCs w:val="22"/>
        </w:rPr>
        <w:t>bility</w:t>
      </w:r>
      <w:r w:rsidRPr="00BD17CA">
        <w:rPr>
          <w:rFonts w:ascii="Arial" w:eastAsia="Arial" w:hAnsi="Arial" w:cs="Arial"/>
          <w:sz w:val="22"/>
          <w:szCs w:val="22"/>
        </w:rPr>
        <w:t>.</w:t>
      </w:r>
      <w:r w:rsidRPr="00094814">
        <w:rPr>
          <w:rFonts w:ascii="Arial" w:eastAsia="Arial" w:hAnsi="Arial" w:cs="Arial"/>
          <w:sz w:val="22"/>
          <w:szCs w:val="22"/>
        </w:rPr>
        <w:t xml:space="preserve"> </w:t>
      </w:r>
      <w:r w:rsidRPr="00BD17CA">
        <w:rPr>
          <w:rFonts w:ascii="Arial" w:eastAsia="Arial" w:hAnsi="Arial" w:cs="Arial"/>
          <w:sz w:val="22"/>
          <w:szCs w:val="22"/>
        </w:rPr>
        <w:t>F</w:t>
      </w:r>
      <w:r w:rsidRPr="00094814">
        <w:rPr>
          <w:rFonts w:ascii="Arial" w:eastAsia="Arial" w:hAnsi="Arial" w:cs="Arial"/>
          <w:sz w:val="22"/>
          <w:szCs w:val="22"/>
        </w:rPr>
        <w:t>r</w:t>
      </w:r>
      <w:r w:rsidRPr="00BD17CA">
        <w:rPr>
          <w:rFonts w:ascii="Arial" w:eastAsia="Arial" w:hAnsi="Arial" w:cs="Arial"/>
          <w:sz w:val="22"/>
          <w:szCs w:val="22"/>
        </w:rPr>
        <w:t>om</w:t>
      </w:r>
      <w:r w:rsidRPr="00094814">
        <w:rPr>
          <w:rFonts w:ascii="Arial" w:eastAsia="Arial" w:hAnsi="Arial" w:cs="Arial"/>
          <w:sz w:val="22"/>
          <w:szCs w:val="22"/>
        </w:rPr>
        <w:t xml:space="preserve"> </w:t>
      </w:r>
      <w:r w:rsidRPr="00BD17CA">
        <w:rPr>
          <w:rFonts w:ascii="Arial" w:eastAsia="Arial" w:hAnsi="Arial" w:cs="Arial"/>
          <w:sz w:val="22"/>
          <w:szCs w:val="22"/>
        </w:rPr>
        <w:t>th</w:t>
      </w:r>
      <w:r w:rsidRPr="00094814">
        <w:rPr>
          <w:rFonts w:ascii="Arial" w:eastAsia="Arial" w:hAnsi="Arial" w:cs="Arial"/>
          <w:sz w:val="22"/>
          <w:szCs w:val="22"/>
        </w:rPr>
        <w:t>i</w:t>
      </w:r>
      <w:r w:rsidRPr="00BD17CA">
        <w:rPr>
          <w:rFonts w:ascii="Arial" w:eastAsia="Arial" w:hAnsi="Arial" w:cs="Arial"/>
          <w:sz w:val="22"/>
          <w:szCs w:val="22"/>
        </w:rPr>
        <w:t>s</w:t>
      </w:r>
      <w:r w:rsidRPr="00094814">
        <w:rPr>
          <w:rFonts w:ascii="Arial" w:eastAsia="Arial" w:hAnsi="Arial" w:cs="Arial"/>
          <w:sz w:val="22"/>
          <w:szCs w:val="22"/>
        </w:rPr>
        <w:t xml:space="preserve"> d</w:t>
      </w:r>
      <w:r w:rsidRPr="00BD17CA">
        <w:rPr>
          <w:rFonts w:ascii="Arial" w:eastAsia="Arial" w:hAnsi="Arial" w:cs="Arial"/>
          <w:sz w:val="22"/>
          <w:szCs w:val="22"/>
        </w:rPr>
        <w:t>ate</w:t>
      </w:r>
      <w:r w:rsidRPr="00094814">
        <w:rPr>
          <w:rFonts w:ascii="Arial" w:eastAsia="Arial" w:hAnsi="Arial" w:cs="Arial"/>
          <w:sz w:val="22"/>
          <w:szCs w:val="22"/>
        </w:rPr>
        <w:t xml:space="preserve"> an</w:t>
      </w:r>
      <w:r w:rsidRPr="00BD17CA">
        <w:rPr>
          <w:rFonts w:ascii="Arial" w:eastAsia="Arial" w:hAnsi="Arial" w:cs="Arial"/>
          <w:sz w:val="22"/>
          <w:szCs w:val="22"/>
        </w:rPr>
        <w:t>y</w:t>
      </w:r>
      <w:r w:rsidRPr="00094814">
        <w:rPr>
          <w:rFonts w:ascii="Arial" w:eastAsia="Arial" w:hAnsi="Arial" w:cs="Arial"/>
          <w:sz w:val="22"/>
          <w:szCs w:val="22"/>
        </w:rPr>
        <w:t xml:space="preserve"> g</w:t>
      </w:r>
      <w:r w:rsidRPr="00BD17CA">
        <w:rPr>
          <w:rFonts w:ascii="Arial" w:eastAsia="Arial" w:hAnsi="Arial" w:cs="Arial"/>
          <w:sz w:val="22"/>
          <w:szCs w:val="22"/>
        </w:rPr>
        <w:t>a</w:t>
      </w:r>
      <w:r w:rsidRPr="00094814">
        <w:rPr>
          <w:rFonts w:ascii="Arial" w:eastAsia="Arial" w:hAnsi="Arial" w:cs="Arial"/>
          <w:sz w:val="22"/>
          <w:szCs w:val="22"/>
        </w:rPr>
        <w:t>i</w:t>
      </w:r>
      <w:r w:rsidRPr="00BD17CA">
        <w:rPr>
          <w:rFonts w:ascii="Arial" w:eastAsia="Arial" w:hAnsi="Arial" w:cs="Arial"/>
          <w:sz w:val="22"/>
          <w:szCs w:val="22"/>
        </w:rPr>
        <w:t>ns</w:t>
      </w:r>
      <w:r w:rsidRPr="00094814">
        <w:rPr>
          <w:rFonts w:ascii="Arial" w:eastAsia="Arial" w:hAnsi="Arial" w:cs="Arial"/>
          <w:sz w:val="22"/>
          <w:szCs w:val="22"/>
        </w:rPr>
        <w:t xml:space="preserve"> </w:t>
      </w:r>
      <w:r w:rsidRPr="00BD17CA">
        <w:rPr>
          <w:rFonts w:ascii="Arial" w:eastAsia="Arial" w:hAnsi="Arial" w:cs="Arial"/>
          <w:sz w:val="22"/>
          <w:szCs w:val="22"/>
        </w:rPr>
        <w:t>or</w:t>
      </w:r>
      <w:r w:rsidRPr="00094814">
        <w:rPr>
          <w:rFonts w:ascii="Arial" w:eastAsia="Arial" w:hAnsi="Arial" w:cs="Arial"/>
          <w:sz w:val="22"/>
          <w:szCs w:val="22"/>
        </w:rPr>
        <w:t xml:space="preserve"> l</w:t>
      </w:r>
      <w:r w:rsidRPr="00BD17CA">
        <w:rPr>
          <w:rFonts w:ascii="Arial" w:eastAsia="Arial" w:hAnsi="Arial" w:cs="Arial"/>
          <w:sz w:val="22"/>
          <w:szCs w:val="22"/>
        </w:rPr>
        <w:t>o</w:t>
      </w:r>
      <w:r w:rsidRPr="00094814">
        <w:rPr>
          <w:rFonts w:ascii="Arial" w:eastAsia="Arial" w:hAnsi="Arial" w:cs="Arial"/>
          <w:sz w:val="22"/>
          <w:szCs w:val="22"/>
        </w:rPr>
        <w:t>sse</w:t>
      </w:r>
      <w:r w:rsidRPr="00BD17CA">
        <w:rPr>
          <w:rFonts w:ascii="Arial" w:eastAsia="Arial" w:hAnsi="Arial" w:cs="Arial"/>
          <w:sz w:val="22"/>
          <w:szCs w:val="22"/>
        </w:rPr>
        <w:t>s aris</w:t>
      </w:r>
      <w:r w:rsidRPr="00094814">
        <w:rPr>
          <w:rFonts w:ascii="Arial" w:eastAsia="Arial" w:hAnsi="Arial" w:cs="Arial"/>
          <w:sz w:val="22"/>
          <w:szCs w:val="22"/>
        </w:rPr>
        <w:t>in</w:t>
      </w:r>
      <w:r w:rsidRPr="00BD17CA">
        <w:rPr>
          <w:rFonts w:ascii="Arial" w:eastAsia="Arial" w:hAnsi="Arial" w:cs="Arial"/>
          <w:sz w:val="22"/>
          <w:szCs w:val="22"/>
        </w:rPr>
        <w:t>g</w:t>
      </w:r>
      <w:r w:rsidRPr="00094814">
        <w:rPr>
          <w:rFonts w:ascii="Arial" w:eastAsia="Arial" w:hAnsi="Arial" w:cs="Arial"/>
          <w:sz w:val="22"/>
          <w:szCs w:val="22"/>
        </w:rPr>
        <w:t xml:space="preserve"> fro</w:t>
      </w:r>
      <w:r w:rsidRPr="00BD17CA">
        <w:rPr>
          <w:rFonts w:ascii="Arial" w:eastAsia="Arial" w:hAnsi="Arial" w:cs="Arial"/>
          <w:sz w:val="22"/>
          <w:szCs w:val="22"/>
        </w:rPr>
        <w:t xml:space="preserve">m </w:t>
      </w:r>
      <w:r w:rsidRPr="00094814">
        <w:rPr>
          <w:rFonts w:ascii="Arial" w:eastAsia="Arial" w:hAnsi="Arial" w:cs="Arial"/>
          <w:sz w:val="22"/>
          <w:szCs w:val="22"/>
        </w:rPr>
        <w:t>c</w:t>
      </w:r>
      <w:r w:rsidRPr="00BD17CA">
        <w:rPr>
          <w:rFonts w:ascii="Arial" w:eastAsia="Arial" w:hAnsi="Arial" w:cs="Arial"/>
          <w:sz w:val="22"/>
          <w:szCs w:val="22"/>
        </w:rPr>
        <w:t>h</w:t>
      </w:r>
      <w:r w:rsidRPr="00094814">
        <w:rPr>
          <w:rFonts w:ascii="Arial" w:eastAsia="Arial" w:hAnsi="Arial" w:cs="Arial"/>
          <w:sz w:val="22"/>
          <w:szCs w:val="22"/>
        </w:rPr>
        <w:t>a</w:t>
      </w:r>
      <w:r w:rsidRPr="00BD17CA">
        <w:rPr>
          <w:rFonts w:ascii="Arial" w:eastAsia="Arial" w:hAnsi="Arial" w:cs="Arial"/>
          <w:sz w:val="22"/>
          <w:szCs w:val="22"/>
        </w:rPr>
        <w:t>n</w:t>
      </w:r>
      <w:r w:rsidRPr="00094814">
        <w:rPr>
          <w:rFonts w:ascii="Arial" w:eastAsia="Arial" w:hAnsi="Arial" w:cs="Arial"/>
          <w:sz w:val="22"/>
          <w:szCs w:val="22"/>
        </w:rPr>
        <w:t>g</w:t>
      </w:r>
      <w:r w:rsidRPr="00BD17CA">
        <w:rPr>
          <w:rFonts w:ascii="Arial" w:eastAsia="Arial" w:hAnsi="Arial" w:cs="Arial"/>
          <w:sz w:val="22"/>
          <w:szCs w:val="22"/>
        </w:rPr>
        <w:t>es</w:t>
      </w:r>
      <w:r w:rsidRPr="00094814">
        <w:rPr>
          <w:rFonts w:ascii="Arial" w:eastAsia="Arial" w:hAnsi="Arial" w:cs="Arial"/>
          <w:sz w:val="22"/>
          <w:szCs w:val="22"/>
        </w:rPr>
        <w:t xml:space="preserve"> i</w:t>
      </w:r>
      <w:r w:rsidRPr="00BD17CA">
        <w:rPr>
          <w:rFonts w:ascii="Arial" w:eastAsia="Arial" w:hAnsi="Arial" w:cs="Arial"/>
          <w:sz w:val="22"/>
          <w:szCs w:val="22"/>
        </w:rPr>
        <w:t>n</w:t>
      </w:r>
      <w:r w:rsidRPr="00094814">
        <w:rPr>
          <w:rFonts w:ascii="Arial" w:eastAsia="Arial" w:hAnsi="Arial" w:cs="Arial"/>
          <w:sz w:val="22"/>
          <w:szCs w:val="22"/>
        </w:rPr>
        <w:t xml:space="preserve"> th</w:t>
      </w:r>
      <w:r w:rsidRPr="00BD17CA">
        <w:rPr>
          <w:rFonts w:ascii="Arial" w:eastAsia="Arial" w:hAnsi="Arial" w:cs="Arial"/>
          <w:sz w:val="22"/>
          <w:szCs w:val="22"/>
        </w:rPr>
        <w:t>e</w:t>
      </w:r>
      <w:r w:rsidRPr="00094814">
        <w:rPr>
          <w:rFonts w:ascii="Arial" w:eastAsia="Arial" w:hAnsi="Arial" w:cs="Arial"/>
          <w:sz w:val="22"/>
          <w:szCs w:val="22"/>
        </w:rPr>
        <w:t xml:space="preserve"> f</w:t>
      </w:r>
      <w:r w:rsidRPr="00BD17CA">
        <w:rPr>
          <w:rFonts w:ascii="Arial" w:eastAsia="Arial" w:hAnsi="Arial" w:cs="Arial"/>
          <w:sz w:val="22"/>
          <w:szCs w:val="22"/>
        </w:rPr>
        <w:t>a</w:t>
      </w:r>
      <w:r w:rsidRPr="00094814">
        <w:rPr>
          <w:rFonts w:ascii="Arial" w:eastAsia="Arial" w:hAnsi="Arial" w:cs="Arial"/>
          <w:sz w:val="22"/>
          <w:szCs w:val="22"/>
        </w:rPr>
        <w:t>i</w:t>
      </w:r>
      <w:r w:rsidRPr="00BD17CA">
        <w:rPr>
          <w:rFonts w:ascii="Arial" w:eastAsia="Arial" w:hAnsi="Arial" w:cs="Arial"/>
          <w:sz w:val="22"/>
          <w:szCs w:val="22"/>
        </w:rPr>
        <w:t>r</w:t>
      </w:r>
      <w:r w:rsidRPr="00094814">
        <w:rPr>
          <w:rFonts w:ascii="Arial" w:eastAsia="Arial" w:hAnsi="Arial" w:cs="Arial"/>
          <w:sz w:val="22"/>
          <w:szCs w:val="22"/>
        </w:rPr>
        <w:t xml:space="preserve"> val</w:t>
      </w:r>
      <w:r w:rsidRPr="00BD17CA">
        <w:rPr>
          <w:rFonts w:ascii="Arial" w:eastAsia="Arial" w:hAnsi="Arial" w:cs="Arial"/>
          <w:sz w:val="22"/>
          <w:szCs w:val="22"/>
        </w:rPr>
        <w:t>ue</w:t>
      </w:r>
      <w:r w:rsidRPr="00094814">
        <w:rPr>
          <w:rFonts w:ascii="Arial" w:eastAsia="Arial" w:hAnsi="Arial" w:cs="Arial"/>
          <w:sz w:val="22"/>
          <w:szCs w:val="22"/>
        </w:rPr>
        <w:t xml:space="preserve"> </w:t>
      </w:r>
      <w:r w:rsidRPr="00BD17CA">
        <w:rPr>
          <w:rFonts w:ascii="Arial" w:eastAsia="Arial" w:hAnsi="Arial" w:cs="Arial"/>
          <w:sz w:val="22"/>
          <w:szCs w:val="22"/>
        </w:rPr>
        <w:t>of t</w:t>
      </w:r>
      <w:r w:rsidRPr="00094814">
        <w:rPr>
          <w:rFonts w:ascii="Arial" w:eastAsia="Arial" w:hAnsi="Arial" w:cs="Arial"/>
          <w:sz w:val="22"/>
          <w:szCs w:val="22"/>
        </w:rPr>
        <w:t>h</w:t>
      </w:r>
      <w:r w:rsidRPr="00BD17CA">
        <w:rPr>
          <w:rFonts w:ascii="Arial" w:eastAsia="Arial" w:hAnsi="Arial" w:cs="Arial"/>
          <w:sz w:val="22"/>
          <w:szCs w:val="22"/>
        </w:rPr>
        <w:t>e</w:t>
      </w:r>
      <w:r w:rsidRPr="00094814">
        <w:rPr>
          <w:rFonts w:ascii="Arial" w:eastAsia="Arial" w:hAnsi="Arial" w:cs="Arial"/>
          <w:sz w:val="22"/>
          <w:szCs w:val="22"/>
        </w:rPr>
        <w:t xml:space="preserve"> li</w:t>
      </w:r>
      <w:r w:rsidRPr="00BD17CA">
        <w:rPr>
          <w:rFonts w:ascii="Arial" w:eastAsia="Arial" w:hAnsi="Arial" w:cs="Arial"/>
          <w:sz w:val="22"/>
          <w:szCs w:val="22"/>
        </w:rPr>
        <w:t>a</w:t>
      </w:r>
      <w:r w:rsidRPr="00094814">
        <w:rPr>
          <w:rFonts w:ascii="Arial" w:eastAsia="Arial" w:hAnsi="Arial" w:cs="Arial"/>
          <w:sz w:val="22"/>
          <w:szCs w:val="22"/>
        </w:rPr>
        <w:t>bilit</w:t>
      </w:r>
      <w:r w:rsidRPr="00BD17CA">
        <w:rPr>
          <w:rFonts w:ascii="Arial" w:eastAsia="Arial" w:hAnsi="Arial" w:cs="Arial"/>
          <w:sz w:val="22"/>
          <w:szCs w:val="22"/>
        </w:rPr>
        <w:t>y</w:t>
      </w:r>
      <w:r w:rsidRPr="00094814">
        <w:rPr>
          <w:rFonts w:ascii="Arial" w:eastAsia="Arial" w:hAnsi="Arial" w:cs="Arial"/>
          <w:sz w:val="22"/>
          <w:szCs w:val="22"/>
        </w:rPr>
        <w:t xml:space="preserve"> </w:t>
      </w:r>
      <w:r w:rsidRPr="00BD17CA">
        <w:rPr>
          <w:rFonts w:ascii="Arial" w:eastAsia="Arial" w:hAnsi="Arial" w:cs="Arial"/>
          <w:sz w:val="22"/>
          <w:szCs w:val="22"/>
        </w:rPr>
        <w:t>are</w:t>
      </w:r>
      <w:r w:rsidRPr="00094814">
        <w:rPr>
          <w:rFonts w:ascii="Arial" w:eastAsia="Arial" w:hAnsi="Arial" w:cs="Arial"/>
          <w:sz w:val="22"/>
          <w:szCs w:val="22"/>
        </w:rPr>
        <w:t xml:space="preserve"> </w:t>
      </w:r>
      <w:proofErr w:type="spellStart"/>
      <w:r w:rsidRPr="00BD17CA">
        <w:rPr>
          <w:rFonts w:ascii="Arial" w:eastAsia="Arial" w:hAnsi="Arial" w:cs="Arial"/>
          <w:sz w:val="22"/>
          <w:szCs w:val="22"/>
        </w:rPr>
        <w:t>re</w:t>
      </w:r>
      <w:r w:rsidRPr="00094814">
        <w:rPr>
          <w:rFonts w:ascii="Arial" w:eastAsia="Arial" w:hAnsi="Arial" w:cs="Arial"/>
          <w:sz w:val="22"/>
          <w:szCs w:val="22"/>
        </w:rPr>
        <w:t>c</w:t>
      </w:r>
      <w:r w:rsidRPr="00BD17CA">
        <w:rPr>
          <w:rFonts w:ascii="Arial" w:eastAsia="Arial" w:hAnsi="Arial" w:cs="Arial"/>
          <w:sz w:val="22"/>
          <w:szCs w:val="22"/>
        </w:rPr>
        <w:t>o</w:t>
      </w:r>
      <w:r w:rsidRPr="00094814">
        <w:rPr>
          <w:rFonts w:ascii="Arial" w:eastAsia="Arial" w:hAnsi="Arial" w:cs="Arial"/>
          <w:sz w:val="22"/>
          <w:szCs w:val="22"/>
        </w:rPr>
        <w:t>gnis</w:t>
      </w:r>
      <w:r w:rsidRPr="00BD17CA">
        <w:rPr>
          <w:rFonts w:ascii="Arial" w:eastAsia="Arial" w:hAnsi="Arial" w:cs="Arial"/>
          <w:sz w:val="22"/>
          <w:szCs w:val="22"/>
        </w:rPr>
        <w:t>ed</w:t>
      </w:r>
      <w:proofErr w:type="spellEnd"/>
      <w:r w:rsidRPr="00094814">
        <w:rPr>
          <w:rFonts w:ascii="Arial" w:eastAsia="Arial" w:hAnsi="Arial" w:cs="Arial"/>
          <w:sz w:val="22"/>
          <w:szCs w:val="22"/>
        </w:rPr>
        <w:t xml:space="preserve"> b</w:t>
      </w:r>
      <w:r w:rsidRPr="00BD17CA">
        <w:rPr>
          <w:rFonts w:ascii="Arial" w:eastAsia="Arial" w:hAnsi="Arial" w:cs="Arial"/>
          <w:sz w:val="22"/>
          <w:szCs w:val="22"/>
        </w:rPr>
        <w:t>y</w:t>
      </w:r>
      <w:r w:rsidRPr="00094814">
        <w:rPr>
          <w:rFonts w:ascii="Arial" w:eastAsia="Arial" w:hAnsi="Arial" w:cs="Arial"/>
          <w:sz w:val="22"/>
          <w:szCs w:val="22"/>
        </w:rPr>
        <w:t xml:space="preserve"> t</w:t>
      </w:r>
      <w:r w:rsidRPr="00BD17CA">
        <w:rPr>
          <w:rFonts w:ascii="Arial" w:eastAsia="Arial" w:hAnsi="Arial" w:cs="Arial"/>
          <w:sz w:val="22"/>
          <w:szCs w:val="22"/>
        </w:rPr>
        <w:t>he</w:t>
      </w:r>
      <w:r w:rsidRPr="00094814">
        <w:rPr>
          <w:rFonts w:ascii="Arial" w:eastAsia="Arial" w:hAnsi="Arial" w:cs="Arial"/>
          <w:sz w:val="22"/>
          <w:szCs w:val="22"/>
        </w:rPr>
        <w:t xml:space="preserve"> f</w:t>
      </w:r>
      <w:r w:rsidRPr="00BD17CA">
        <w:rPr>
          <w:rFonts w:ascii="Arial" w:eastAsia="Arial" w:hAnsi="Arial" w:cs="Arial"/>
          <w:sz w:val="22"/>
          <w:szCs w:val="22"/>
        </w:rPr>
        <w:t>u</w:t>
      </w:r>
      <w:r w:rsidRPr="00094814">
        <w:rPr>
          <w:rFonts w:ascii="Arial" w:eastAsia="Arial" w:hAnsi="Arial" w:cs="Arial"/>
          <w:sz w:val="22"/>
          <w:szCs w:val="22"/>
        </w:rPr>
        <w:t>nd</w:t>
      </w:r>
      <w:r w:rsidRPr="00BD17CA">
        <w:rPr>
          <w:rFonts w:ascii="Arial" w:eastAsia="Arial" w:hAnsi="Arial" w:cs="Arial"/>
          <w:sz w:val="22"/>
          <w:szCs w:val="22"/>
        </w:rPr>
        <w:t>.</w:t>
      </w:r>
    </w:p>
    <w:p w14:paraId="18FF3BCB" w14:textId="77777777" w:rsidR="009C7422" w:rsidRPr="00BD17CA" w:rsidRDefault="001706EB" w:rsidP="00094814">
      <w:pPr>
        <w:spacing w:after="200" w:line="276" w:lineRule="auto"/>
        <w:ind w:right="74"/>
        <w:jc w:val="both"/>
        <w:rPr>
          <w:rFonts w:ascii="Arial" w:eastAsia="Arial" w:hAnsi="Arial" w:cs="Arial"/>
          <w:sz w:val="22"/>
          <w:szCs w:val="22"/>
        </w:rPr>
      </w:pPr>
      <w:r w:rsidRPr="00094814">
        <w:rPr>
          <w:rFonts w:ascii="Arial" w:eastAsia="Arial" w:hAnsi="Arial" w:cs="Arial"/>
          <w:sz w:val="22"/>
          <w:szCs w:val="22"/>
        </w:rPr>
        <w:t>O</w:t>
      </w:r>
      <w:r w:rsidRPr="00BD17CA">
        <w:rPr>
          <w:rFonts w:ascii="Arial" w:eastAsia="Arial" w:hAnsi="Arial" w:cs="Arial"/>
          <w:sz w:val="22"/>
          <w:szCs w:val="22"/>
        </w:rPr>
        <w:t>th</w:t>
      </w:r>
      <w:r w:rsidRPr="00094814">
        <w:rPr>
          <w:rFonts w:ascii="Arial" w:eastAsia="Arial" w:hAnsi="Arial" w:cs="Arial"/>
          <w:sz w:val="22"/>
          <w:szCs w:val="22"/>
        </w:rPr>
        <w:t>e</w:t>
      </w:r>
      <w:r w:rsidRPr="00BD17CA">
        <w:rPr>
          <w:rFonts w:ascii="Arial" w:eastAsia="Arial" w:hAnsi="Arial" w:cs="Arial"/>
          <w:sz w:val="22"/>
          <w:szCs w:val="22"/>
        </w:rPr>
        <w:t>r</w:t>
      </w:r>
      <w:r w:rsidRPr="00094814">
        <w:rPr>
          <w:rFonts w:ascii="Arial" w:eastAsia="Arial" w:hAnsi="Arial" w:cs="Arial"/>
          <w:sz w:val="22"/>
          <w:szCs w:val="22"/>
        </w:rPr>
        <w:t xml:space="preserve"> fi</w:t>
      </w:r>
      <w:r w:rsidRPr="00BD17CA">
        <w:rPr>
          <w:rFonts w:ascii="Arial" w:eastAsia="Arial" w:hAnsi="Arial" w:cs="Arial"/>
          <w:sz w:val="22"/>
          <w:szCs w:val="22"/>
        </w:rPr>
        <w:t>n</w:t>
      </w:r>
      <w:r w:rsidRPr="00094814">
        <w:rPr>
          <w:rFonts w:ascii="Arial" w:eastAsia="Arial" w:hAnsi="Arial" w:cs="Arial"/>
          <w:sz w:val="22"/>
          <w:szCs w:val="22"/>
        </w:rPr>
        <w:t>a</w:t>
      </w:r>
      <w:r w:rsidRPr="00BD17CA">
        <w:rPr>
          <w:rFonts w:ascii="Arial" w:eastAsia="Arial" w:hAnsi="Arial" w:cs="Arial"/>
          <w:sz w:val="22"/>
          <w:szCs w:val="22"/>
        </w:rPr>
        <w:t>n</w:t>
      </w:r>
      <w:r w:rsidRPr="00094814">
        <w:rPr>
          <w:rFonts w:ascii="Arial" w:eastAsia="Arial" w:hAnsi="Arial" w:cs="Arial"/>
          <w:sz w:val="22"/>
          <w:szCs w:val="22"/>
        </w:rPr>
        <w:t>ci</w:t>
      </w:r>
      <w:r w:rsidRPr="00BD17CA">
        <w:rPr>
          <w:rFonts w:ascii="Arial" w:eastAsia="Arial" w:hAnsi="Arial" w:cs="Arial"/>
          <w:sz w:val="22"/>
          <w:szCs w:val="22"/>
        </w:rPr>
        <w:t>al</w:t>
      </w:r>
      <w:r w:rsidRPr="00094814">
        <w:rPr>
          <w:rFonts w:ascii="Arial" w:eastAsia="Arial" w:hAnsi="Arial" w:cs="Arial"/>
          <w:sz w:val="22"/>
          <w:szCs w:val="22"/>
        </w:rPr>
        <w:t xml:space="preserve"> lia</w:t>
      </w:r>
      <w:r w:rsidRPr="00BD17CA">
        <w:rPr>
          <w:rFonts w:ascii="Arial" w:eastAsia="Arial" w:hAnsi="Arial" w:cs="Arial"/>
          <w:sz w:val="22"/>
          <w:szCs w:val="22"/>
        </w:rPr>
        <w:t>b</w:t>
      </w:r>
      <w:r w:rsidRPr="00094814">
        <w:rPr>
          <w:rFonts w:ascii="Arial" w:eastAsia="Arial" w:hAnsi="Arial" w:cs="Arial"/>
          <w:sz w:val="22"/>
          <w:szCs w:val="22"/>
        </w:rPr>
        <w:t>iliti</w:t>
      </w:r>
      <w:r w:rsidRPr="00BD17CA">
        <w:rPr>
          <w:rFonts w:ascii="Arial" w:eastAsia="Arial" w:hAnsi="Arial" w:cs="Arial"/>
          <w:sz w:val="22"/>
          <w:szCs w:val="22"/>
        </w:rPr>
        <w:t>es</w:t>
      </w:r>
      <w:r w:rsidRPr="00094814">
        <w:rPr>
          <w:rFonts w:ascii="Arial" w:eastAsia="Arial" w:hAnsi="Arial" w:cs="Arial"/>
          <w:sz w:val="22"/>
          <w:szCs w:val="22"/>
        </w:rPr>
        <w:t xml:space="preserve"> class</w:t>
      </w:r>
      <w:r w:rsidRPr="00BD17CA">
        <w:rPr>
          <w:rFonts w:ascii="Arial" w:eastAsia="Arial" w:hAnsi="Arial" w:cs="Arial"/>
          <w:sz w:val="22"/>
          <w:szCs w:val="22"/>
        </w:rPr>
        <w:t>ed</w:t>
      </w:r>
      <w:r w:rsidRPr="00094814">
        <w:rPr>
          <w:rFonts w:ascii="Arial" w:eastAsia="Arial" w:hAnsi="Arial" w:cs="Arial"/>
          <w:sz w:val="22"/>
          <w:szCs w:val="22"/>
        </w:rPr>
        <w:t xml:space="preserve"> </w:t>
      </w:r>
      <w:r w:rsidRPr="00BD17CA">
        <w:rPr>
          <w:rFonts w:ascii="Arial" w:eastAsia="Arial" w:hAnsi="Arial" w:cs="Arial"/>
          <w:sz w:val="22"/>
          <w:szCs w:val="22"/>
        </w:rPr>
        <w:t>as</w:t>
      </w:r>
      <w:r w:rsidRPr="00094814">
        <w:rPr>
          <w:rFonts w:ascii="Arial" w:eastAsia="Arial" w:hAnsi="Arial" w:cs="Arial"/>
          <w:sz w:val="22"/>
          <w:szCs w:val="22"/>
        </w:rPr>
        <w:t xml:space="preserve"> </w:t>
      </w:r>
      <w:proofErr w:type="spellStart"/>
      <w:r w:rsidRPr="00BD17CA">
        <w:rPr>
          <w:rFonts w:ascii="Arial" w:eastAsia="Arial" w:hAnsi="Arial" w:cs="Arial"/>
          <w:sz w:val="22"/>
          <w:szCs w:val="22"/>
        </w:rPr>
        <w:t>a</w:t>
      </w:r>
      <w:r w:rsidRPr="00094814">
        <w:rPr>
          <w:rFonts w:ascii="Arial" w:eastAsia="Arial" w:hAnsi="Arial" w:cs="Arial"/>
          <w:sz w:val="22"/>
          <w:szCs w:val="22"/>
        </w:rPr>
        <w:t>m</w:t>
      </w:r>
      <w:r w:rsidRPr="00BD17CA">
        <w:rPr>
          <w:rFonts w:ascii="Arial" w:eastAsia="Arial" w:hAnsi="Arial" w:cs="Arial"/>
          <w:sz w:val="22"/>
          <w:szCs w:val="22"/>
        </w:rPr>
        <w:t>ort</w:t>
      </w:r>
      <w:r w:rsidRPr="00094814">
        <w:rPr>
          <w:rFonts w:ascii="Arial" w:eastAsia="Arial" w:hAnsi="Arial" w:cs="Arial"/>
          <w:sz w:val="22"/>
          <w:szCs w:val="22"/>
        </w:rPr>
        <w:t>is</w:t>
      </w:r>
      <w:r w:rsidRPr="00BD17CA">
        <w:rPr>
          <w:rFonts w:ascii="Arial" w:eastAsia="Arial" w:hAnsi="Arial" w:cs="Arial"/>
          <w:sz w:val="22"/>
          <w:szCs w:val="22"/>
        </w:rPr>
        <w:t>ed</w:t>
      </w:r>
      <w:proofErr w:type="spellEnd"/>
      <w:r w:rsidRPr="00094814">
        <w:rPr>
          <w:rFonts w:ascii="Arial" w:eastAsia="Arial" w:hAnsi="Arial" w:cs="Arial"/>
          <w:sz w:val="22"/>
          <w:szCs w:val="22"/>
        </w:rPr>
        <w:t xml:space="preserve"> c</w:t>
      </w:r>
      <w:r w:rsidRPr="00BD17CA">
        <w:rPr>
          <w:rFonts w:ascii="Arial" w:eastAsia="Arial" w:hAnsi="Arial" w:cs="Arial"/>
          <w:sz w:val="22"/>
          <w:szCs w:val="22"/>
        </w:rPr>
        <w:t>o</w:t>
      </w:r>
      <w:r w:rsidRPr="00094814">
        <w:rPr>
          <w:rFonts w:ascii="Arial" w:eastAsia="Arial" w:hAnsi="Arial" w:cs="Arial"/>
          <w:sz w:val="22"/>
          <w:szCs w:val="22"/>
        </w:rPr>
        <w:t>s</w:t>
      </w:r>
      <w:r w:rsidRPr="00BD17CA">
        <w:rPr>
          <w:rFonts w:ascii="Arial" w:eastAsia="Arial" w:hAnsi="Arial" w:cs="Arial"/>
          <w:sz w:val="22"/>
          <w:szCs w:val="22"/>
        </w:rPr>
        <w:t>t</w:t>
      </w:r>
      <w:r w:rsidRPr="00094814">
        <w:rPr>
          <w:rFonts w:ascii="Arial" w:eastAsia="Arial" w:hAnsi="Arial" w:cs="Arial"/>
          <w:sz w:val="22"/>
          <w:szCs w:val="22"/>
        </w:rPr>
        <w:t xml:space="preserve"> </w:t>
      </w:r>
      <w:r w:rsidRPr="00BD17CA">
        <w:rPr>
          <w:rFonts w:ascii="Arial" w:eastAsia="Arial" w:hAnsi="Arial" w:cs="Arial"/>
          <w:sz w:val="22"/>
          <w:szCs w:val="22"/>
        </w:rPr>
        <w:t>are</w:t>
      </w:r>
      <w:r w:rsidRPr="00094814">
        <w:rPr>
          <w:rFonts w:ascii="Arial" w:eastAsia="Arial" w:hAnsi="Arial" w:cs="Arial"/>
          <w:sz w:val="22"/>
          <w:szCs w:val="22"/>
        </w:rPr>
        <w:t xml:space="preserve"> c</w:t>
      </w:r>
      <w:r w:rsidRPr="00BD17CA">
        <w:rPr>
          <w:rFonts w:ascii="Arial" w:eastAsia="Arial" w:hAnsi="Arial" w:cs="Arial"/>
          <w:sz w:val="22"/>
          <w:szCs w:val="22"/>
        </w:rPr>
        <w:t>ar</w:t>
      </w:r>
      <w:r w:rsidRPr="00094814">
        <w:rPr>
          <w:rFonts w:ascii="Arial" w:eastAsia="Arial" w:hAnsi="Arial" w:cs="Arial"/>
          <w:sz w:val="22"/>
          <w:szCs w:val="22"/>
        </w:rPr>
        <w:t>ri</w:t>
      </w:r>
      <w:r w:rsidRPr="00BD17CA">
        <w:rPr>
          <w:rFonts w:ascii="Arial" w:eastAsia="Arial" w:hAnsi="Arial" w:cs="Arial"/>
          <w:sz w:val="22"/>
          <w:szCs w:val="22"/>
        </w:rPr>
        <w:t>ed</w:t>
      </w:r>
      <w:r w:rsidRPr="00094814">
        <w:rPr>
          <w:rFonts w:ascii="Arial" w:eastAsia="Arial" w:hAnsi="Arial" w:cs="Arial"/>
          <w:sz w:val="22"/>
          <w:szCs w:val="22"/>
        </w:rPr>
        <w:t xml:space="preserve"> </w:t>
      </w:r>
      <w:r w:rsidRPr="00BD17CA">
        <w:rPr>
          <w:rFonts w:ascii="Arial" w:eastAsia="Arial" w:hAnsi="Arial" w:cs="Arial"/>
          <w:sz w:val="22"/>
          <w:szCs w:val="22"/>
        </w:rPr>
        <w:t>at</w:t>
      </w:r>
      <w:r w:rsidRPr="00094814">
        <w:rPr>
          <w:rFonts w:ascii="Arial" w:eastAsia="Arial" w:hAnsi="Arial" w:cs="Arial"/>
          <w:sz w:val="22"/>
          <w:szCs w:val="22"/>
        </w:rPr>
        <w:t xml:space="preserve"> </w:t>
      </w:r>
      <w:proofErr w:type="spellStart"/>
      <w:r w:rsidRPr="00BD17CA">
        <w:rPr>
          <w:rFonts w:ascii="Arial" w:eastAsia="Arial" w:hAnsi="Arial" w:cs="Arial"/>
          <w:sz w:val="22"/>
          <w:szCs w:val="22"/>
        </w:rPr>
        <w:t>a</w:t>
      </w:r>
      <w:r w:rsidRPr="00094814">
        <w:rPr>
          <w:rFonts w:ascii="Arial" w:eastAsia="Arial" w:hAnsi="Arial" w:cs="Arial"/>
          <w:sz w:val="22"/>
          <w:szCs w:val="22"/>
        </w:rPr>
        <w:t>m</w:t>
      </w:r>
      <w:r w:rsidRPr="00BD17CA">
        <w:rPr>
          <w:rFonts w:ascii="Arial" w:eastAsia="Arial" w:hAnsi="Arial" w:cs="Arial"/>
          <w:sz w:val="22"/>
          <w:szCs w:val="22"/>
        </w:rPr>
        <w:t>ort</w:t>
      </w:r>
      <w:r w:rsidRPr="00094814">
        <w:rPr>
          <w:rFonts w:ascii="Arial" w:eastAsia="Arial" w:hAnsi="Arial" w:cs="Arial"/>
          <w:sz w:val="22"/>
          <w:szCs w:val="22"/>
        </w:rPr>
        <w:t>is</w:t>
      </w:r>
      <w:r w:rsidRPr="00BD17CA">
        <w:rPr>
          <w:rFonts w:ascii="Arial" w:eastAsia="Arial" w:hAnsi="Arial" w:cs="Arial"/>
          <w:sz w:val="22"/>
          <w:szCs w:val="22"/>
        </w:rPr>
        <w:t>ed</w:t>
      </w:r>
      <w:proofErr w:type="spellEnd"/>
      <w:r w:rsidRPr="00094814">
        <w:rPr>
          <w:rFonts w:ascii="Arial" w:eastAsia="Arial" w:hAnsi="Arial" w:cs="Arial"/>
          <w:sz w:val="22"/>
          <w:szCs w:val="22"/>
        </w:rPr>
        <w:t xml:space="preserve"> c</w:t>
      </w:r>
      <w:r w:rsidRPr="00BD17CA">
        <w:rPr>
          <w:rFonts w:ascii="Arial" w:eastAsia="Arial" w:hAnsi="Arial" w:cs="Arial"/>
          <w:sz w:val="22"/>
          <w:szCs w:val="22"/>
        </w:rPr>
        <w:t>o</w:t>
      </w:r>
      <w:r w:rsidRPr="00094814">
        <w:rPr>
          <w:rFonts w:ascii="Arial" w:eastAsia="Arial" w:hAnsi="Arial" w:cs="Arial"/>
          <w:sz w:val="22"/>
          <w:szCs w:val="22"/>
        </w:rPr>
        <w:t>s</w:t>
      </w:r>
      <w:r w:rsidRPr="00BD17CA">
        <w:rPr>
          <w:rFonts w:ascii="Arial" w:eastAsia="Arial" w:hAnsi="Arial" w:cs="Arial"/>
          <w:sz w:val="22"/>
          <w:szCs w:val="22"/>
        </w:rPr>
        <w:t>t</w:t>
      </w:r>
      <w:r w:rsidRPr="00094814">
        <w:rPr>
          <w:rFonts w:ascii="Arial" w:eastAsia="Arial" w:hAnsi="Arial" w:cs="Arial"/>
          <w:sz w:val="22"/>
          <w:szCs w:val="22"/>
        </w:rPr>
        <w:t xml:space="preserve"> i.</w:t>
      </w:r>
      <w:r w:rsidRPr="00BD17CA">
        <w:rPr>
          <w:rFonts w:ascii="Arial" w:eastAsia="Arial" w:hAnsi="Arial" w:cs="Arial"/>
          <w:sz w:val="22"/>
          <w:szCs w:val="22"/>
        </w:rPr>
        <w:t>e.</w:t>
      </w:r>
      <w:r w:rsidRPr="00094814">
        <w:rPr>
          <w:rFonts w:ascii="Arial" w:eastAsia="Arial" w:hAnsi="Arial" w:cs="Arial"/>
          <w:sz w:val="22"/>
          <w:szCs w:val="22"/>
        </w:rPr>
        <w:t xml:space="preserve"> </w:t>
      </w:r>
      <w:r w:rsidRPr="00BD17CA">
        <w:rPr>
          <w:rFonts w:ascii="Arial" w:eastAsia="Arial" w:hAnsi="Arial" w:cs="Arial"/>
          <w:sz w:val="22"/>
          <w:szCs w:val="22"/>
        </w:rPr>
        <w:t>t</w:t>
      </w:r>
      <w:r w:rsidRPr="00094814">
        <w:rPr>
          <w:rFonts w:ascii="Arial" w:eastAsia="Arial" w:hAnsi="Arial" w:cs="Arial"/>
          <w:sz w:val="22"/>
          <w:szCs w:val="22"/>
        </w:rPr>
        <w:t>h</w:t>
      </w:r>
      <w:r w:rsidRPr="00BD17CA">
        <w:rPr>
          <w:rFonts w:ascii="Arial" w:eastAsia="Arial" w:hAnsi="Arial" w:cs="Arial"/>
          <w:sz w:val="22"/>
          <w:szCs w:val="22"/>
        </w:rPr>
        <w:t>e</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m</w:t>
      </w:r>
      <w:r w:rsidRPr="00BD17CA">
        <w:rPr>
          <w:rFonts w:ascii="Arial" w:eastAsia="Arial" w:hAnsi="Arial" w:cs="Arial"/>
          <w:sz w:val="22"/>
          <w:szCs w:val="22"/>
        </w:rPr>
        <w:t>o</w:t>
      </w:r>
      <w:r w:rsidRPr="00094814">
        <w:rPr>
          <w:rFonts w:ascii="Arial" w:eastAsia="Arial" w:hAnsi="Arial" w:cs="Arial"/>
          <w:sz w:val="22"/>
          <w:szCs w:val="22"/>
        </w:rPr>
        <w:t>u</w:t>
      </w:r>
      <w:r w:rsidRPr="00BD17CA">
        <w:rPr>
          <w:rFonts w:ascii="Arial" w:eastAsia="Arial" w:hAnsi="Arial" w:cs="Arial"/>
          <w:sz w:val="22"/>
          <w:szCs w:val="22"/>
        </w:rPr>
        <w:t>nt</w:t>
      </w:r>
      <w:r w:rsidRPr="00094814">
        <w:rPr>
          <w:rFonts w:ascii="Arial" w:eastAsia="Arial" w:hAnsi="Arial" w:cs="Arial"/>
          <w:sz w:val="22"/>
          <w:szCs w:val="22"/>
        </w:rPr>
        <w:t xml:space="preserve"> c</w:t>
      </w:r>
      <w:r w:rsidRPr="00BD17CA">
        <w:rPr>
          <w:rFonts w:ascii="Arial" w:eastAsia="Arial" w:hAnsi="Arial" w:cs="Arial"/>
          <w:sz w:val="22"/>
          <w:szCs w:val="22"/>
        </w:rPr>
        <w:t>ar</w:t>
      </w:r>
      <w:r w:rsidRPr="00094814">
        <w:rPr>
          <w:rFonts w:ascii="Arial" w:eastAsia="Arial" w:hAnsi="Arial" w:cs="Arial"/>
          <w:sz w:val="22"/>
          <w:szCs w:val="22"/>
        </w:rPr>
        <w:t>ri</w:t>
      </w:r>
      <w:r w:rsidRPr="00BD17CA">
        <w:rPr>
          <w:rFonts w:ascii="Arial" w:eastAsia="Arial" w:hAnsi="Arial" w:cs="Arial"/>
          <w:sz w:val="22"/>
          <w:szCs w:val="22"/>
        </w:rPr>
        <w:t>ed</w:t>
      </w:r>
      <w:r w:rsidRPr="00094814">
        <w:rPr>
          <w:rFonts w:ascii="Arial" w:eastAsia="Arial" w:hAnsi="Arial" w:cs="Arial"/>
          <w:sz w:val="22"/>
          <w:szCs w:val="22"/>
        </w:rPr>
        <w:t xml:space="preserve"> i</w:t>
      </w:r>
      <w:r w:rsidRPr="00BD17CA">
        <w:rPr>
          <w:rFonts w:ascii="Arial" w:eastAsia="Arial" w:hAnsi="Arial" w:cs="Arial"/>
          <w:sz w:val="22"/>
          <w:szCs w:val="22"/>
        </w:rPr>
        <w:t>n</w:t>
      </w:r>
      <w:r w:rsidRPr="00094814">
        <w:rPr>
          <w:rFonts w:ascii="Arial" w:eastAsia="Arial" w:hAnsi="Arial" w:cs="Arial"/>
          <w:sz w:val="22"/>
          <w:szCs w:val="22"/>
        </w:rPr>
        <w:t xml:space="preserve"> </w:t>
      </w:r>
      <w:r w:rsidRPr="00BD17CA">
        <w:rPr>
          <w:rFonts w:ascii="Arial" w:eastAsia="Arial" w:hAnsi="Arial" w:cs="Arial"/>
          <w:sz w:val="22"/>
          <w:szCs w:val="22"/>
        </w:rPr>
        <w:t>t</w:t>
      </w:r>
      <w:r w:rsidRPr="00094814">
        <w:rPr>
          <w:rFonts w:ascii="Arial" w:eastAsia="Arial" w:hAnsi="Arial" w:cs="Arial"/>
          <w:sz w:val="22"/>
          <w:szCs w:val="22"/>
        </w:rPr>
        <w:t>h</w:t>
      </w:r>
      <w:r w:rsidRPr="00BD17CA">
        <w:rPr>
          <w:rFonts w:ascii="Arial" w:eastAsia="Arial" w:hAnsi="Arial" w:cs="Arial"/>
          <w:sz w:val="22"/>
          <w:szCs w:val="22"/>
        </w:rPr>
        <w:t>e n</w:t>
      </w:r>
      <w:r w:rsidRPr="00094814">
        <w:rPr>
          <w:rFonts w:ascii="Arial" w:eastAsia="Arial" w:hAnsi="Arial" w:cs="Arial"/>
          <w:sz w:val="22"/>
          <w:szCs w:val="22"/>
        </w:rPr>
        <w:t>e</w:t>
      </w:r>
      <w:r w:rsidRPr="00BD17CA">
        <w:rPr>
          <w:rFonts w:ascii="Arial" w:eastAsia="Arial" w:hAnsi="Arial" w:cs="Arial"/>
          <w:sz w:val="22"/>
          <w:szCs w:val="22"/>
        </w:rPr>
        <w:t>t</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ss</w:t>
      </w:r>
      <w:r w:rsidRPr="00BD17CA">
        <w:rPr>
          <w:rFonts w:ascii="Arial" w:eastAsia="Arial" w:hAnsi="Arial" w:cs="Arial"/>
          <w:sz w:val="22"/>
          <w:szCs w:val="22"/>
        </w:rPr>
        <w:t>et</w:t>
      </w:r>
      <w:r w:rsidRPr="00094814">
        <w:rPr>
          <w:rFonts w:ascii="Arial" w:eastAsia="Arial" w:hAnsi="Arial" w:cs="Arial"/>
          <w:sz w:val="22"/>
          <w:szCs w:val="22"/>
        </w:rPr>
        <w:t xml:space="preserve"> s</w:t>
      </w:r>
      <w:r w:rsidRPr="00BD17CA">
        <w:rPr>
          <w:rFonts w:ascii="Arial" w:eastAsia="Arial" w:hAnsi="Arial" w:cs="Arial"/>
          <w:sz w:val="22"/>
          <w:szCs w:val="22"/>
        </w:rPr>
        <w:t>ta</w:t>
      </w:r>
      <w:r w:rsidRPr="00094814">
        <w:rPr>
          <w:rFonts w:ascii="Arial" w:eastAsia="Arial" w:hAnsi="Arial" w:cs="Arial"/>
          <w:sz w:val="22"/>
          <w:szCs w:val="22"/>
        </w:rPr>
        <w:t>t</w:t>
      </w:r>
      <w:r w:rsidRPr="00BD17CA">
        <w:rPr>
          <w:rFonts w:ascii="Arial" w:eastAsia="Arial" w:hAnsi="Arial" w:cs="Arial"/>
          <w:sz w:val="22"/>
          <w:szCs w:val="22"/>
        </w:rPr>
        <w:t>e</w:t>
      </w:r>
      <w:r w:rsidRPr="00094814">
        <w:rPr>
          <w:rFonts w:ascii="Arial" w:eastAsia="Arial" w:hAnsi="Arial" w:cs="Arial"/>
          <w:sz w:val="22"/>
          <w:szCs w:val="22"/>
        </w:rPr>
        <w:t>m</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 xml:space="preserve">t </w:t>
      </w:r>
      <w:r w:rsidRPr="00094814">
        <w:rPr>
          <w:rFonts w:ascii="Arial" w:eastAsia="Arial" w:hAnsi="Arial" w:cs="Arial"/>
          <w:sz w:val="22"/>
          <w:szCs w:val="22"/>
        </w:rPr>
        <w:t>i</w:t>
      </w:r>
      <w:r w:rsidRPr="00BD17CA">
        <w:rPr>
          <w:rFonts w:ascii="Arial" w:eastAsia="Arial" w:hAnsi="Arial" w:cs="Arial"/>
          <w:sz w:val="22"/>
          <w:szCs w:val="22"/>
        </w:rPr>
        <w:t>s</w:t>
      </w:r>
      <w:r w:rsidRPr="00094814">
        <w:rPr>
          <w:rFonts w:ascii="Arial" w:eastAsia="Arial" w:hAnsi="Arial" w:cs="Arial"/>
          <w:sz w:val="22"/>
          <w:szCs w:val="22"/>
        </w:rPr>
        <w:t xml:space="preserve"> t</w:t>
      </w:r>
      <w:r w:rsidRPr="00BD17CA">
        <w:rPr>
          <w:rFonts w:ascii="Arial" w:eastAsia="Arial" w:hAnsi="Arial" w:cs="Arial"/>
          <w:sz w:val="22"/>
          <w:szCs w:val="22"/>
        </w:rPr>
        <w:t>he</w:t>
      </w:r>
      <w:r w:rsidRPr="00094814">
        <w:rPr>
          <w:rFonts w:ascii="Arial" w:eastAsia="Arial" w:hAnsi="Arial" w:cs="Arial"/>
          <w:sz w:val="22"/>
          <w:szCs w:val="22"/>
        </w:rPr>
        <w:t xml:space="preserve"> </w:t>
      </w:r>
      <w:r w:rsidRPr="00BD17CA">
        <w:rPr>
          <w:rFonts w:ascii="Arial" w:eastAsia="Arial" w:hAnsi="Arial" w:cs="Arial"/>
          <w:sz w:val="22"/>
          <w:szCs w:val="22"/>
        </w:rPr>
        <w:t>o</w:t>
      </w:r>
      <w:r w:rsidRPr="00094814">
        <w:rPr>
          <w:rFonts w:ascii="Arial" w:eastAsia="Arial" w:hAnsi="Arial" w:cs="Arial"/>
          <w:sz w:val="22"/>
          <w:szCs w:val="22"/>
        </w:rPr>
        <w:t>u</w:t>
      </w:r>
      <w:r w:rsidRPr="00BD17CA">
        <w:rPr>
          <w:rFonts w:ascii="Arial" w:eastAsia="Arial" w:hAnsi="Arial" w:cs="Arial"/>
          <w:sz w:val="22"/>
          <w:szCs w:val="22"/>
        </w:rPr>
        <w:t>t</w:t>
      </w:r>
      <w:r w:rsidRPr="00094814">
        <w:rPr>
          <w:rFonts w:ascii="Arial" w:eastAsia="Arial" w:hAnsi="Arial" w:cs="Arial"/>
          <w:sz w:val="22"/>
          <w:szCs w:val="22"/>
        </w:rPr>
        <w:t>st</w:t>
      </w:r>
      <w:r w:rsidRPr="00BD17CA">
        <w:rPr>
          <w:rFonts w:ascii="Arial" w:eastAsia="Arial" w:hAnsi="Arial" w:cs="Arial"/>
          <w:sz w:val="22"/>
          <w:szCs w:val="22"/>
        </w:rPr>
        <w:t>a</w:t>
      </w:r>
      <w:r w:rsidRPr="00094814">
        <w:rPr>
          <w:rFonts w:ascii="Arial" w:eastAsia="Arial" w:hAnsi="Arial" w:cs="Arial"/>
          <w:sz w:val="22"/>
          <w:szCs w:val="22"/>
        </w:rPr>
        <w:t>ndi</w:t>
      </w:r>
      <w:r w:rsidRPr="00BD17CA">
        <w:rPr>
          <w:rFonts w:ascii="Arial" w:eastAsia="Arial" w:hAnsi="Arial" w:cs="Arial"/>
          <w:sz w:val="22"/>
          <w:szCs w:val="22"/>
        </w:rPr>
        <w:t xml:space="preserve">ng </w:t>
      </w:r>
      <w:r w:rsidRPr="00094814">
        <w:rPr>
          <w:rFonts w:ascii="Arial" w:eastAsia="Arial" w:hAnsi="Arial" w:cs="Arial"/>
          <w:sz w:val="22"/>
          <w:szCs w:val="22"/>
        </w:rPr>
        <w:t>pri</w:t>
      </w:r>
      <w:r w:rsidRPr="00BD17CA">
        <w:rPr>
          <w:rFonts w:ascii="Arial" w:eastAsia="Arial" w:hAnsi="Arial" w:cs="Arial"/>
          <w:sz w:val="22"/>
          <w:szCs w:val="22"/>
        </w:rPr>
        <w:t>n</w:t>
      </w:r>
      <w:r w:rsidRPr="00094814">
        <w:rPr>
          <w:rFonts w:ascii="Arial" w:eastAsia="Arial" w:hAnsi="Arial" w:cs="Arial"/>
          <w:sz w:val="22"/>
          <w:szCs w:val="22"/>
        </w:rPr>
        <w:t>cip</w:t>
      </w:r>
      <w:r w:rsidRPr="00BD17CA">
        <w:rPr>
          <w:rFonts w:ascii="Arial" w:eastAsia="Arial" w:hAnsi="Arial" w:cs="Arial"/>
          <w:sz w:val="22"/>
          <w:szCs w:val="22"/>
        </w:rPr>
        <w:t>al</w:t>
      </w:r>
      <w:r w:rsidRPr="00094814">
        <w:rPr>
          <w:rFonts w:ascii="Arial" w:eastAsia="Arial" w:hAnsi="Arial" w:cs="Arial"/>
          <w:sz w:val="22"/>
          <w:szCs w:val="22"/>
        </w:rPr>
        <w:t xml:space="preserve"> r</w:t>
      </w:r>
      <w:r w:rsidRPr="00BD17CA">
        <w:rPr>
          <w:rFonts w:ascii="Arial" w:eastAsia="Arial" w:hAnsi="Arial" w:cs="Arial"/>
          <w:sz w:val="22"/>
          <w:szCs w:val="22"/>
        </w:rPr>
        <w:t>e</w:t>
      </w:r>
      <w:r w:rsidRPr="00094814">
        <w:rPr>
          <w:rFonts w:ascii="Arial" w:eastAsia="Arial" w:hAnsi="Arial" w:cs="Arial"/>
          <w:sz w:val="22"/>
          <w:szCs w:val="22"/>
        </w:rPr>
        <w:t>paya</w:t>
      </w:r>
      <w:r w:rsidRPr="00BD17CA">
        <w:rPr>
          <w:rFonts w:ascii="Arial" w:eastAsia="Arial" w:hAnsi="Arial" w:cs="Arial"/>
          <w:sz w:val="22"/>
          <w:szCs w:val="22"/>
        </w:rPr>
        <w:t>b</w:t>
      </w:r>
      <w:r w:rsidRPr="00094814">
        <w:rPr>
          <w:rFonts w:ascii="Arial" w:eastAsia="Arial" w:hAnsi="Arial" w:cs="Arial"/>
          <w:sz w:val="22"/>
          <w:szCs w:val="22"/>
        </w:rPr>
        <w:t>l</w:t>
      </w:r>
      <w:r w:rsidRPr="00BD17CA">
        <w:rPr>
          <w:rFonts w:ascii="Arial" w:eastAsia="Arial" w:hAnsi="Arial" w:cs="Arial"/>
          <w:sz w:val="22"/>
          <w:szCs w:val="22"/>
        </w:rPr>
        <w:t xml:space="preserve">e </w:t>
      </w:r>
      <w:r w:rsidRPr="00094814">
        <w:rPr>
          <w:rFonts w:ascii="Arial" w:eastAsia="Arial" w:hAnsi="Arial" w:cs="Arial"/>
          <w:sz w:val="22"/>
          <w:szCs w:val="22"/>
        </w:rPr>
        <w:t>pl</w:t>
      </w:r>
      <w:r w:rsidRPr="00BD17CA">
        <w:rPr>
          <w:rFonts w:ascii="Arial" w:eastAsia="Arial" w:hAnsi="Arial" w:cs="Arial"/>
          <w:sz w:val="22"/>
          <w:szCs w:val="22"/>
        </w:rPr>
        <w:t>us</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ccr</w:t>
      </w:r>
      <w:r w:rsidRPr="00BD17CA">
        <w:rPr>
          <w:rFonts w:ascii="Arial" w:eastAsia="Arial" w:hAnsi="Arial" w:cs="Arial"/>
          <w:sz w:val="22"/>
          <w:szCs w:val="22"/>
        </w:rPr>
        <w:t>u</w:t>
      </w:r>
      <w:r w:rsidRPr="00094814">
        <w:rPr>
          <w:rFonts w:ascii="Arial" w:eastAsia="Arial" w:hAnsi="Arial" w:cs="Arial"/>
          <w:sz w:val="22"/>
          <w:szCs w:val="22"/>
        </w:rPr>
        <w:t>e</w:t>
      </w:r>
      <w:r w:rsidRPr="00BD17CA">
        <w:rPr>
          <w:rFonts w:ascii="Arial" w:eastAsia="Arial" w:hAnsi="Arial" w:cs="Arial"/>
          <w:sz w:val="22"/>
          <w:szCs w:val="22"/>
        </w:rPr>
        <w:t>d</w:t>
      </w:r>
      <w:r w:rsidRPr="00094814">
        <w:rPr>
          <w:rFonts w:ascii="Arial" w:eastAsia="Arial" w:hAnsi="Arial" w:cs="Arial"/>
          <w:sz w:val="22"/>
          <w:szCs w:val="22"/>
        </w:rPr>
        <w:t xml:space="preserve"> i</w:t>
      </w:r>
      <w:r w:rsidRPr="00BD17CA">
        <w:rPr>
          <w:rFonts w:ascii="Arial" w:eastAsia="Arial" w:hAnsi="Arial" w:cs="Arial"/>
          <w:sz w:val="22"/>
          <w:szCs w:val="22"/>
        </w:rPr>
        <w:t>n</w:t>
      </w:r>
      <w:r w:rsidRPr="00094814">
        <w:rPr>
          <w:rFonts w:ascii="Arial" w:eastAsia="Arial" w:hAnsi="Arial" w:cs="Arial"/>
          <w:sz w:val="22"/>
          <w:szCs w:val="22"/>
        </w:rPr>
        <w:t>t</w:t>
      </w:r>
      <w:r w:rsidRPr="00BD17CA">
        <w:rPr>
          <w:rFonts w:ascii="Arial" w:eastAsia="Arial" w:hAnsi="Arial" w:cs="Arial"/>
          <w:sz w:val="22"/>
          <w:szCs w:val="22"/>
        </w:rPr>
        <w:t>e</w:t>
      </w:r>
      <w:r w:rsidRPr="00094814">
        <w:rPr>
          <w:rFonts w:ascii="Arial" w:eastAsia="Arial" w:hAnsi="Arial" w:cs="Arial"/>
          <w:sz w:val="22"/>
          <w:szCs w:val="22"/>
        </w:rPr>
        <w:t>r</w:t>
      </w:r>
      <w:r w:rsidRPr="00BD17CA">
        <w:rPr>
          <w:rFonts w:ascii="Arial" w:eastAsia="Arial" w:hAnsi="Arial" w:cs="Arial"/>
          <w:sz w:val="22"/>
          <w:szCs w:val="22"/>
        </w:rPr>
        <w:t>e</w:t>
      </w:r>
      <w:r w:rsidRPr="00094814">
        <w:rPr>
          <w:rFonts w:ascii="Arial" w:eastAsia="Arial" w:hAnsi="Arial" w:cs="Arial"/>
          <w:sz w:val="22"/>
          <w:szCs w:val="22"/>
        </w:rPr>
        <w:t>s</w:t>
      </w:r>
      <w:r w:rsidRPr="00BD17CA">
        <w:rPr>
          <w:rFonts w:ascii="Arial" w:eastAsia="Arial" w:hAnsi="Arial" w:cs="Arial"/>
          <w:sz w:val="22"/>
          <w:szCs w:val="22"/>
        </w:rPr>
        <w:t>t.</w:t>
      </w:r>
      <w:r w:rsidRPr="00094814">
        <w:rPr>
          <w:rFonts w:ascii="Arial" w:eastAsia="Arial" w:hAnsi="Arial" w:cs="Arial"/>
          <w:sz w:val="22"/>
          <w:szCs w:val="22"/>
        </w:rPr>
        <w:t xml:space="preserve"> An</w:t>
      </w:r>
      <w:r w:rsidRPr="00BD17CA">
        <w:rPr>
          <w:rFonts w:ascii="Arial" w:eastAsia="Arial" w:hAnsi="Arial" w:cs="Arial"/>
          <w:sz w:val="22"/>
          <w:szCs w:val="22"/>
        </w:rPr>
        <w:t>y</w:t>
      </w:r>
      <w:r w:rsidRPr="00094814">
        <w:rPr>
          <w:rFonts w:ascii="Arial" w:eastAsia="Arial" w:hAnsi="Arial" w:cs="Arial"/>
          <w:sz w:val="22"/>
          <w:szCs w:val="22"/>
        </w:rPr>
        <w:t xml:space="preserve"> i</w:t>
      </w:r>
      <w:r w:rsidRPr="00BD17CA">
        <w:rPr>
          <w:rFonts w:ascii="Arial" w:eastAsia="Arial" w:hAnsi="Arial" w:cs="Arial"/>
          <w:sz w:val="22"/>
          <w:szCs w:val="22"/>
        </w:rPr>
        <w:t>nt</w:t>
      </w:r>
      <w:r w:rsidRPr="00094814">
        <w:rPr>
          <w:rFonts w:ascii="Arial" w:eastAsia="Arial" w:hAnsi="Arial" w:cs="Arial"/>
          <w:sz w:val="22"/>
          <w:szCs w:val="22"/>
        </w:rPr>
        <w:t>er</w:t>
      </w:r>
      <w:r w:rsidRPr="00BD17CA">
        <w:rPr>
          <w:rFonts w:ascii="Arial" w:eastAsia="Arial" w:hAnsi="Arial" w:cs="Arial"/>
          <w:sz w:val="22"/>
          <w:szCs w:val="22"/>
        </w:rPr>
        <w:t>e</w:t>
      </w:r>
      <w:r w:rsidRPr="00094814">
        <w:rPr>
          <w:rFonts w:ascii="Arial" w:eastAsia="Arial" w:hAnsi="Arial" w:cs="Arial"/>
          <w:sz w:val="22"/>
          <w:szCs w:val="22"/>
        </w:rPr>
        <w:t>s</w:t>
      </w:r>
      <w:r w:rsidRPr="00BD17CA">
        <w:rPr>
          <w:rFonts w:ascii="Arial" w:eastAsia="Arial" w:hAnsi="Arial" w:cs="Arial"/>
          <w:sz w:val="22"/>
          <w:szCs w:val="22"/>
        </w:rPr>
        <w:t>t</w:t>
      </w:r>
      <w:r w:rsidRPr="00094814">
        <w:rPr>
          <w:rFonts w:ascii="Arial" w:eastAsia="Arial" w:hAnsi="Arial" w:cs="Arial"/>
          <w:sz w:val="22"/>
          <w:szCs w:val="22"/>
        </w:rPr>
        <w:t xml:space="preserve"> c</w:t>
      </w:r>
      <w:r w:rsidRPr="00BD17CA">
        <w:rPr>
          <w:rFonts w:ascii="Arial" w:eastAsia="Arial" w:hAnsi="Arial" w:cs="Arial"/>
          <w:sz w:val="22"/>
          <w:szCs w:val="22"/>
        </w:rPr>
        <w:t>h</w:t>
      </w:r>
      <w:r w:rsidRPr="00094814">
        <w:rPr>
          <w:rFonts w:ascii="Arial" w:eastAsia="Arial" w:hAnsi="Arial" w:cs="Arial"/>
          <w:sz w:val="22"/>
          <w:szCs w:val="22"/>
        </w:rPr>
        <w:t>arg</w:t>
      </w:r>
      <w:r w:rsidRPr="00BD17CA">
        <w:rPr>
          <w:rFonts w:ascii="Arial" w:eastAsia="Arial" w:hAnsi="Arial" w:cs="Arial"/>
          <w:sz w:val="22"/>
          <w:szCs w:val="22"/>
        </w:rPr>
        <w:t>ed</w:t>
      </w:r>
      <w:r w:rsidRPr="00094814">
        <w:rPr>
          <w:rFonts w:ascii="Arial" w:eastAsia="Arial" w:hAnsi="Arial" w:cs="Arial"/>
          <w:sz w:val="22"/>
          <w:szCs w:val="22"/>
        </w:rPr>
        <w:t xml:space="preserve"> i</w:t>
      </w:r>
      <w:r w:rsidRPr="00BD17CA">
        <w:rPr>
          <w:rFonts w:ascii="Arial" w:eastAsia="Arial" w:hAnsi="Arial" w:cs="Arial"/>
          <w:sz w:val="22"/>
          <w:szCs w:val="22"/>
        </w:rPr>
        <w:t>s a</w:t>
      </w:r>
      <w:r w:rsidRPr="00094814">
        <w:rPr>
          <w:rFonts w:ascii="Arial" w:eastAsia="Arial" w:hAnsi="Arial" w:cs="Arial"/>
          <w:sz w:val="22"/>
          <w:szCs w:val="22"/>
        </w:rPr>
        <w:t>cc</w:t>
      </w:r>
      <w:r w:rsidRPr="00BD17CA">
        <w:rPr>
          <w:rFonts w:ascii="Arial" w:eastAsia="Arial" w:hAnsi="Arial" w:cs="Arial"/>
          <w:sz w:val="22"/>
          <w:szCs w:val="22"/>
        </w:rPr>
        <w:t>o</w:t>
      </w:r>
      <w:r w:rsidRPr="00094814">
        <w:rPr>
          <w:rFonts w:ascii="Arial" w:eastAsia="Arial" w:hAnsi="Arial" w:cs="Arial"/>
          <w:sz w:val="22"/>
          <w:szCs w:val="22"/>
        </w:rPr>
        <w:t>u</w:t>
      </w:r>
      <w:r w:rsidRPr="00BD17CA">
        <w:rPr>
          <w:rFonts w:ascii="Arial" w:eastAsia="Arial" w:hAnsi="Arial" w:cs="Arial"/>
          <w:sz w:val="22"/>
          <w:szCs w:val="22"/>
        </w:rPr>
        <w:t>nt</w:t>
      </w:r>
      <w:r w:rsidRPr="00094814">
        <w:rPr>
          <w:rFonts w:ascii="Arial" w:eastAsia="Arial" w:hAnsi="Arial" w:cs="Arial"/>
          <w:sz w:val="22"/>
          <w:szCs w:val="22"/>
        </w:rPr>
        <w:t>e</w:t>
      </w:r>
      <w:r w:rsidRPr="00BD17CA">
        <w:rPr>
          <w:rFonts w:ascii="Arial" w:eastAsia="Arial" w:hAnsi="Arial" w:cs="Arial"/>
          <w:sz w:val="22"/>
          <w:szCs w:val="22"/>
        </w:rPr>
        <w:t>d</w:t>
      </w:r>
      <w:r w:rsidRPr="00094814">
        <w:rPr>
          <w:rFonts w:ascii="Arial" w:eastAsia="Arial" w:hAnsi="Arial" w:cs="Arial"/>
          <w:sz w:val="22"/>
          <w:szCs w:val="22"/>
        </w:rPr>
        <w:t xml:space="preserve"> f</w:t>
      </w:r>
      <w:r w:rsidRPr="00BD17CA">
        <w:rPr>
          <w:rFonts w:ascii="Arial" w:eastAsia="Arial" w:hAnsi="Arial" w:cs="Arial"/>
          <w:sz w:val="22"/>
          <w:szCs w:val="22"/>
        </w:rPr>
        <w:t>or</w:t>
      </w:r>
      <w:r w:rsidRPr="00094814">
        <w:rPr>
          <w:rFonts w:ascii="Arial" w:eastAsia="Arial" w:hAnsi="Arial" w:cs="Arial"/>
          <w:sz w:val="22"/>
          <w:szCs w:val="22"/>
        </w:rPr>
        <w:t xml:space="preserve"> </w:t>
      </w:r>
      <w:r w:rsidRPr="00BD17CA">
        <w:rPr>
          <w:rFonts w:ascii="Arial" w:eastAsia="Arial" w:hAnsi="Arial" w:cs="Arial"/>
          <w:sz w:val="22"/>
          <w:szCs w:val="22"/>
        </w:rPr>
        <w:t>on</w:t>
      </w:r>
      <w:r w:rsidRPr="00094814">
        <w:rPr>
          <w:rFonts w:ascii="Arial" w:eastAsia="Arial" w:hAnsi="Arial" w:cs="Arial"/>
          <w:sz w:val="22"/>
          <w:szCs w:val="22"/>
        </w:rPr>
        <w:t xml:space="preserve"> a</w:t>
      </w:r>
      <w:r w:rsidRPr="00BD17CA">
        <w:rPr>
          <w:rFonts w:ascii="Arial" w:eastAsia="Arial" w:hAnsi="Arial" w:cs="Arial"/>
          <w:sz w:val="22"/>
          <w:szCs w:val="22"/>
        </w:rPr>
        <w:t>n</w:t>
      </w:r>
      <w:r w:rsidRPr="00094814">
        <w:rPr>
          <w:rFonts w:ascii="Arial" w:eastAsia="Arial" w:hAnsi="Arial" w:cs="Arial"/>
          <w:sz w:val="22"/>
          <w:szCs w:val="22"/>
        </w:rPr>
        <w:t xml:space="preserve"> accr</w:t>
      </w:r>
      <w:r w:rsidRPr="00BD17CA">
        <w:rPr>
          <w:rFonts w:ascii="Arial" w:eastAsia="Arial" w:hAnsi="Arial" w:cs="Arial"/>
          <w:sz w:val="22"/>
          <w:szCs w:val="22"/>
        </w:rPr>
        <w:t>u</w:t>
      </w:r>
      <w:r w:rsidRPr="00094814">
        <w:rPr>
          <w:rFonts w:ascii="Arial" w:eastAsia="Arial" w:hAnsi="Arial" w:cs="Arial"/>
          <w:sz w:val="22"/>
          <w:szCs w:val="22"/>
        </w:rPr>
        <w:t>al</w:t>
      </w:r>
      <w:r w:rsidRPr="00BD17CA">
        <w:rPr>
          <w:rFonts w:ascii="Arial" w:eastAsia="Arial" w:hAnsi="Arial" w:cs="Arial"/>
          <w:sz w:val="22"/>
          <w:szCs w:val="22"/>
        </w:rPr>
        <w:t>s</w:t>
      </w:r>
      <w:r w:rsidRPr="00094814">
        <w:rPr>
          <w:rFonts w:ascii="Arial" w:eastAsia="Arial" w:hAnsi="Arial" w:cs="Arial"/>
          <w:sz w:val="22"/>
          <w:szCs w:val="22"/>
        </w:rPr>
        <w:t xml:space="preserve"> </w:t>
      </w:r>
      <w:r w:rsidRPr="00BD17CA">
        <w:rPr>
          <w:rFonts w:ascii="Arial" w:eastAsia="Arial" w:hAnsi="Arial" w:cs="Arial"/>
          <w:sz w:val="22"/>
          <w:szCs w:val="22"/>
        </w:rPr>
        <w:t>b</w:t>
      </w:r>
      <w:r w:rsidRPr="00094814">
        <w:rPr>
          <w:rFonts w:ascii="Arial" w:eastAsia="Arial" w:hAnsi="Arial" w:cs="Arial"/>
          <w:sz w:val="22"/>
          <w:szCs w:val="22"/>
        </w:rPr>
        <w:t>asi</w:t>
      </w:r>
      <w:r w:rsidRPr="00BD17CA">
        <w:rPr>
          <w:rFonts w:ascii="Arial" w:eastAsia="Arial" w:hAnsi="Arial" w:cs="Arial"/>
          <w:sz w:val="22"/>
          <w:szCs w:val="22"/>
        </w:rPr>
        <w:t>s</w:t>
      </w:r>
      <w:r w:rsidRPr="00094814">
        <w:rPr>
          <w:rFonts w:ascii="Arial" w:eastAsia="Arial" w:hAnsi="Arial" w:cs="Arial"/>
          <w:sz w:val="22"/>
          <w:szCs w:val="22"/>
        </w:rPr>
        <w:t xml:space="preserve"> a</w:t>
      </w:r>
      <w:r w:rsidRPr="00BD17CA">
        <w:rPr>
          <w:rFonts w:ascii="Arial" w:eastAsia="Arial" w:hAnsi="Arial" w:cs="Arial"/>
          <w:sz w:val="22"/>
          <w:szCs w:val="22"/>
        </w:rPr>
        <w:t>nd</w:t>
      </w:r>
      <w:r w:rsidRPr="00094814">
        <w:rPr>
          <w:rFonts w:ascii="Arial" w:eastAsia="Arial" w:hAnsi="Arial" w:cs="Arial"/>
          <w:sz w:val="22"/>
          <w:szCs w:val="22"/>
        </w:rPr>
        <w:t xml:space="preserve"> i</w:t>
      </w:r>
      <w:r w:rsidRPr="00BD17CA">
        <w:rPr>
          <w:rFonts w:ascii="Arial" w:eastAsia="Arial" w:hAnsi="Arial" w:cs="Arial"/>
          <w:sz w:val="22"/>
          <w:szCs w:val="22"/>
        </w:rPr>
        <w:t>n</w:t>
      </w:r>
      <w:r w:rsidRPr="00094814">
        <w:rPr>
          <w:rFonts w:ascii="Arial" w:eastAsia="Arial" w:hAnsi="Arial" w:cs="Arial"/>
          <w:sz w:val="22"/>
          <w:szCs w:val="22"/>
        </w:rPr>
        <w:t>cl</w:t>
      </w:r>
      <w:r w:rsidRPr="00BD17CA">
        <w:rPr>
          <w:rFonts w:ascii="Arial" w:eastAsia="Arial" w:hAnsi="Arial" w:cs="Arial"/>
          <w:sz w:val="22"/>
          <w:szCs w:val="22"/>
        </w:rPr>
        <w:t>u</w:t>
      </w:r>
      <w:r w:rsidRPr="00094814">
        <w:rPr>
          <w:rFonts w:ascii="Arial" w:eastAsia="Arial" w:hAnsi="Arial" w:cs="Arial"/>
          <w:sz w:val="22"/>
          <w:szCs w:val="22"/>
        </w:rPr>
        <w:t>de</w:t>
      </w:r>
      <w:r w:rsidRPr="00BD17CA">
        <w:rPr>
          <w:rFonts w:ascii="Arial" w:eastAsia="Arial" w:hAnsi="Arial" w:cs="Arial"/>
          <w:sz w:val="22"/>
          <w:szCs w:val="22"/>
        </w:rPr>
        <w:t>d</w:t>
      </w:r>
      <w:r w:rsidRPr="00094814">
        <w:rPr>
          <w:rFonts w:ascii="Arial" w:eastAsia="Arial" w:hAnsi="Arial" w:cs="Arial"/>
          <w:sz w:val="22"/>
          <w:szCs w:val="22"/>
        </w:rPr>
        <w:t xml:space="preserve"> i</w:t>
      </w:r>
      <w:r w:rsidRPr="00BD17CA">
        <w:rPr>
          <w:rFonts w:ascii="Arial" w:eastAsia="Arial" w:hAnsi="Arial" w:cs="Arial"/>
          <w:sz w:val="22"/>
          <w:szCs w:val="22"/>
        </w:rPr>
        <w:t>n</w:t>
      </w:r>
      <w:r w:rsidRPr="00094814">
        <w:rPr>
          <w:rFonts w:ascii="Arial" w:eastAsia="Arial" w:hAnsi="Arial" w:cs="Arial"/>
          <w:sz w:val="22"/>
          <w:szCs w:val="22"/>
        </w:rPr>
        <w:t xml:space="preserve"> admi</w:t>
      </w:r>
      <w:r w:rsidRPr="00BD17CA">
        <w:rPr>
          <w:rFonts w:ascii="Arial" w:eastAsia="Arial" w:hAnsi="Arial" w:cs="Arial"/>
          <w:sz w:val="22"/>
          <w:szCs w:val="22"/>
        </w:rPr>
        <w:t>n</w:t>
      </w:r>
      <w:r w:rsidRPr="00094814">
        <w:rPr>
          <w:rFonts w:ascii="Arial" w:eastAsia="Arial" w:hAnsi="Arial" w:cs="Arial"/>
          <w:sz w:val="22"/>
          <w:szCs w:val="22"/>
        </w:rPr>
        <w:t>is</w:t>
      </w:r>
      <w:r w:rsidRPr="00BD17CA">
        <w:rPr>
          <w:rFonts w:ascii="Arial" w:eastAsia="Arial" w:hAnsi="Arial" w:cs="Arial"/>
          <w:sz w:val="22"/>
          <w:szCs w:val="22"/>
        </w:rPr>
        <w:t>trat</w:t>
      </w:r>
      <w:r w:rsidRPr="00094814">
        <w:rPr>
          <w:rFonts w:ascii="Arial" w:eastAsia="Arial" w:hAnsi="Arial" w:cs="Arial"/>
          <w:sz w:val="22"/>
          <w:szCs w:val="22"/>
        </w:rPr>
        <w:t>i</w:t>
      </w:r>
      <w:r w:rsidRPr="00BD17CA">
        <w:rPr>
          <w:rFonts w:ascii="Arial" w:eastAsia="Arial" w:hAnsi="Arial" w:cs="Arial"/>
          <w:sz w:val="22"/>
          <w:szCs w:val="22"/>
        </w:rPr>
        <w:t>on</w:t>
      </w:r>
      <w:r w:rsidRPr="00094814">
        <w:rPr>
          <w:rFonts w:ascii="Arial" w:eastAsia="Arial" w:hAnsi="Arial" w:cs="Arial"/>
          <w:sz w:val="22"/>
          <w:szCs w:val="22"/>
        </w:rPr>
        <w:t xml:space="preserve"> c</w:t>
      </w:r>
      <w:r w:rsidRPr="00BD17CA">
        <w:rPr>
          <w:rFonts w:ascii="Arial" w:eastAsia="Arial" w:hAnsi="Arial" w:cs="Arial"/>
          <w:sz w:val="22"/>
          <w:szCs w:val="22"/>
        </w:rPr>
        <w:t>o</w:t>
      </w:r>
      <w:r w:rsidRPr="00094814">
        <w:rPr>
          <w:rFonts w:ascii="Arial" w:eastAsia="Arial" w:hAnsi="Arial" w:cs="Arial"/>
          <w:sz w:val="22"/>
          <w:szCs w:val="22"/>
        </w:rPr>
        <w:t>s</w:t>
      </w:r>
      <w:r w:rsidRPr="00BD17CA">
        <w:rPr>
          <w:rFonts w:ascii="Arial" w:eastAsia="Arial" w:hAnsi="Arial" w:cs="Arial"/>
          <w:sz w:val="22"/>
          <w:szCs w:val="22"/>
        </w:rPr>
        <w:t>t</w:t>
      </w:r>
      <w:r w:rsidRPr="00094814">
        <w:rPr>
          <w:rFonts w:ascii="Arial" w:eastAsia="Arial" w:hAnsi="Arial" w:cs="Arial"/>
          <w:sz w:val="22"/>
          <w:szCs w:val="22"/>
        </w:rPr>
        <w:t>s</w:t>
      </w:r>
      <w:r w:rsidRPr="00BD17CA">
        <w:rPr>
          <w:rFonts w:ascii="Arial" w:eastAsia="Arial" w:hAnsi="Arial" w:cs="Arial"/>
          <w:sz w:val="22"/>
          <w:szCs w:val="22"/>
        </w:rPr>
        <w:t>.</w:t>
      </w:r>
    </w:p>
    <w:p w14:paraId="74EEEB22" w14:textId="7D27C7B0" w:rsidR="009C7422" w:rsidRPr="00094814" w:rsidRDefault="00716307" w:rsidP="00094814">
      <w:pPr>
        <w:spacing w:after="200" w:line="276" w:lineRule="auto"/>
        <w:ind w:right="74"/>
        <w:jc w:val="both"/>
        <w:rPr>
          <w:rFonts w:ascii="Arial" w:eastAsia="Arial" w:hAnsi="Arial" w:cs="Arial"/>
          <w:b/>
          <w:sz w:val="22"/>
          <w:szCs w:val="22"/>
        </w:rPr>
      </w:pPr>
      <w:r>
        <w:rPr>
          <w:rFonts w:ascii="Arial" w:eastAsia="Arial" w:hAnsi="Arial" w:cs="Arial"/>
          <w:b/>
          <w:sz w:val="22"/>
          <w:szCs w:val="22"/>
        </w:rPr>
        <w:t>l</w:t>
      </w:r>
      <w:r w:rsidR="001706EB" w:rsidRPr="00BD17CA">
        <w:rPr>
          <w:rFonts w:ascii="Arial" w:eastAsia="Arial" w:hAnsi="Arial" w:cs="Arial"/>
          <w:b/>
          <w:sz w:val="22"/>
          <w:szCs w:val="22"/>
        </w:rPr>
        <w:t>)</w:t>
      </w:r>
      <w:r w:rsidR="001706EB" w:rsidRPr="00094814">
        <w:rPr>
          <w:rFonts w:ascii="Arial" w:eastAsia="Arial" w:hAnsi="Arial" w:cs="Arial"/>
          <w:b/>
          <w:sz w:val="22"/>
          <w:szCs w:val="22"/>
        </w:rPr>
        <w:t xml:space="preserve"> A</w:t>
      </w:r>
      <w:r w:rsidR="001706EB" w:rsidRPr="00BD17CA">
        <w:rPr>
          <w:rFonts w:ascii="Arial" w:eastAsia="Arial" w:hAnsi="Arial" w:cs="Arial"/>
          <w:b/>
          <w:sz w:val="22"/>
          <w:szCs w:val="22"/>
        </w:rPr>
        <w:t>ct</w:t>
      </w:r>
      <w:r w:rsidR="001706EB" w:rsidRPr="00094814">
        <w:rPr>
          <w:rFonts w:ascii="Arial" w:eastAsia="Arial" w:hAnsi="Arial" w:cs="Arial"/>
          <w:b/>
          <w:sz w:val="22"/>
          <w:szCs w:val="22"/>
        </w:rPr>
        <w:t>uar</w:t>
      </w:r>
      <w:r w:rsidR="001706EB" w:rsidRPr="00BD17CA">
        <w:rPr>
          <w:rFonts w:ascii="Arial" w:eastAsia="Arial" w:hAnsi="Arial" w:cs="Arial"/>
          <w:b/>
          <w:sz w:val="22"/>
          <w:szCs w:val="22"/>
        </w:rPr>
        <w:t>ial</w:t>
      </w:r>
      <w:r w:rsidR="001706EB" w:rsidRPr="00094814">
        <w:rPr>
          <w:rFonts w:ascii="Arial" w:eastAsia="Arial" w:hAnsi="Arial" w:cs="Arial"/>
          <w:b/>
          <w:sz w:val="22"/>
          <w:szCs w:val="22"/>
        </w:rPr>
        <w:t xml:space="preserve"> </w:t>
      </w:r>
      <w:r w:rsidR="001706EB" w:rsidRPr="00BD17CA">
        <w:rPr>
          <w:rFonts w:ascii="Arial" w:eastAsia="Arial" w:hAnsi="Arial" w:cs="Arial"/>
          <w:b/>
          <w:sz w:val="22"/>
          <w:szCs w:val="22"/>
        </w:rPr>
        <w:t>pr</w:t>
      </w:r>
      <w:r w:rsidR="001706EB" w:rsidRPr="00094814">
        <w:rPr>
          <w:rFonts w:ascii="Arial" w:eastAsia="Arial" w:hAnsi="Arial" w:cs="Arial"/>
          <w:b/>
          <w:sz w:val="22"/>
          <w:szCs w:val="22"/>
        </w:rPr>
        <w:t>e</w:t>
      </w:r>
      <w:r w:rsidR="001706EB" w:rsidRPr="00BD17CA">
        <w:rPr>
          <w:rFonts w:ascii="Arial" w:eastAsia="Arial" w:hAnsi="Arial" w:cs="Arial"/>
          <w:b/>
          <w:sz w:val="22"/>
          <w:szCs w:val="22"/>
        </w:rPr>
        <w:t>s</w:t>
      </w:r>
      <w:r w:rsidR="001706EB" w:rsidRPr="00094814">
        <w:rPr>
          <w:rFonts w:ascii="Arial" w:eastAsia="Arial" w:hAnsi="Arial" w:cs="Arial"/>
          <w:b/>
          <w:sz w:val="22"/>
          <w:szCs w:val="22"/>
        </w:rPr>
        <w:t>e</w:t>
      </w:r>
      <w:r w:rsidR="001706EB" w:rsidRPr="00BD17CA">
        <w:rPr>
          <w:rFonts w:ascii="Arial" w:eastAsia="Arial" w:hAnsi="Arial" w:cs="Arial"/>
          <w:b/>
          <w:sz w:val="22"/>
          <w:szCs w:val="22"/>
        </w:rPr>
        <w:t>nt</w:t>
      </w:r>
      <w:r w:rsidR="001706EB" w:rsidRPr="00094814">
        <w:rPr>
          <w:rFonts w:ascii="Arial" w:eastAsia="Arial" w:hAnsi="Arial" w:cs="Arial"/>
          <w:b/>
          <w:sz w:val="22"/>
          <w:szCs w:val="22"/>
        </w:rPr>
        <w:t xml:space="preserve"> v</w:t>
      </w:r>
      <w:r w:rsidR="001706EB" w:rsidRPr="00BD17CA">
        <w:rPr>
          <w:rFonts w:ascii="Arial" w:eastAsia="Arial" w:hAnsi="Arial" w:cs="Arial"/>
          <w:b/>
          <w:sz w:val="22"/>
          <w:szCs w:val="22"/>
        </w:rPr>
        <w:t>alue</w:t>
      </w:r>
      <w:r w:rsidR="001706EB" w:rsidRPr="00094814">
        <w:rPr>
          <w:rFonts w:ascii="Arial" w:eastAsia="Arial" w:hAnsi="Arial" w:cs="Arial"/>
          <w:b/>
          <w:sz w:val="22"/>
          <w:szCs w:val="22"/>
        </w:rPr>
        <w:t xml:space="preserve"> </w:t>
      </w:r>
      <w:r w:rsidR="001706EB" w:rsidRPr="00BD17CA">
        <w:rPr>
          <w:rFonts w:ascii="Arial" w:eastAsia="Arial" w:hAnsi="Arial" w:cs="Arial"/>
          <w:b/>
          <w:sz w:val="22"/>
          <w:szCs w:val="22"/>
        </w:rPr>
        <w:t>of</w:t>
      </w:r>
      <w:r w:rsidR="001706EB" w:rsidRPr="00094814">
        <w:rPr>
          <w:rFonts w:ascii="Arial" w:eastAsia="Arial" w:hAnsi="Arial" w:cs="Arial"/>
          <w:b/>
          <w:sz w:val="22"/>
          <w:szCs w:val="22"/>
        </w:rPr>
        <w:t xml:space="preserve"> </w:t>
      </w:r>
      <w:r w:rsidR="001706EB" w:rsidRPr="00BD17CA">
        <w:rPr>
          <w:rFonts w:ascii="Arial" w:eastAsia="Arial" w:hAnsi="Arial" w:cs="Arial"/>
          <w:b/>
          <w:sz w:val="22"/>
          <w:szCs w:val="22"/>
        </w:rPr>
        <w:t>pro</w:t>
      </w:r>
      <w:r w:rsidR="001706EB" w:rsidRPr="00094814">
        <w:rPr>
          <w:rFonts w:ascii="Arial" w:eastAsia="Arial" w:hAnsi="Arial" w:cs="Arial"/>
          <w:b/>
          <w:sz w:val="22"/>
          <w:szCs w:val="22"/>
        </w:rPr>
        <w:t>m</w:t>
      </w:r>
      <w:r w:rsidR="001706EB" w:rsidRPr="00BD17CA">
        <w:rPr>
          <w:rFonts w:ascii="Arial" w:eastAsia="Arial" w:hAnsi="Arial" w:cs="Arial"/>
          <w:b/>
          <w:sz w:val="22"/>
          <w:szCs w:val="22"/>
        </w:rPr>
        <w:t>is</w:t>
      </w:r>
      <w:r w:rsidR="001706EB" w:rsidRPr="00094814">
        <w:rPr>
          <w:rFonts w:ascii="Arial" w:eastAsia="Arial" w:hAnsi="Arial" w:cs="Arial"/>
          <w:b/>
          <w:sz w:val="22"/>
          <w:szCs w:val="22"/>
        </w:rPr>
        <w:t>e</w:t>
      </w:r>
      <w:r w:rsidR="001706EB" w:rsidRPr="00BD17CA">
        <w:rPr>
          <w:rFonts w:ascii="Arial" w:eastAsia="Arial" w:hAnsi="Arial" w:cs="Arial"/>
          <w:b/>
          <w:sz w:val="22"/>
          <w:szCs w:val="22"/>
        </w:rPr>
        <w:t>d</w:t>
      </w:r>
      <w:r w:rsidR="001706EB" w:rsidRPr="00094814">
        <w:rPr>
          <w:rFonts w:ascii="Arial" w:eastAsia="Arial" w:hAnsi="Arial" w:cs="Arial"/>
          <w:b/>
          <w:sz w:val="22"/>
          <w:szCs w:val="22"/>
        </w:rPr>
        <w:t xml:space="preserve"> r</w:t>
      </w:r>
      <w:r w:rsidR="001706EB" w:rsidRPr="00BD17CA">
        <w:rPr>
          <w:rFonts w:ascii="Arial" w:eastAsia="Arial" w:hAnsi="Arial" w:cs="Arial"/>
          <w:b/>
          <w:sz w:val="22"/>
          <w:szCs w:val="22"/>
        </w:rPr>
        <w:t>eti</w:t>
      </w:r>
      <w:r w:rsidR="001706EB" w:rsidRPr="00094814">
        <w:rPr>
          <w:rFonts w:ascii="Arial" w:eastAsia="Arial" w:hAnsi="Arial" w:cs="Arial"/>
          <w:b/>
          <w:sz w:val="22"/>
          <w:szCs w:val="22"/>
        </w:rPr>
        <w:t>r</w:t>
      </w:r>
      <w:r w:rsidR="001706EB" w:rsidRPr="00BD17CA">
        <w:rPr>
          <w:rFonts w:ascii="Arial" w:eastAsia="Arial" w:hAnsi="Arial" w:cs="Arial"/>
          <w:b/>
          <w:sz w:val="22"/>
          <w:szCs w:val="22"/>
        </w:rPr>
        <w:t>ement</w:t>
      </w:r>
      <w:r w:rsidR="001706EB" w:rsidRPr="00094814">
        <w:rPr>
          <w:rFonts w:ascii="Arial" w:eastAsia="Arial" w:hAnsi="Arial" w:cs="Arial"/>
          <w:b/>
          <w:sz w:val="22"/>
          <w:szCs w:val="22"/>
        </w:rPr>
        <w:t xml:space="preserve"> b</w:t>
      </w:r>
      <w:r w:rsidR="001706EB" w:rsidRPr="00BD17CA">
        <w:rPr>
          <w:rFonts w:ascii="Arial" w:eastAsia="Arial" w:hAnsi="Arial" w:cs="Arial"/>
          <w:b/>
          <w:sz w:val="22"/>
          <w:szCs w:val="22"/>
        </w:rPr>
        <w:t>ene</w:t>
      </w:r>
      <w:r w:rsidR="001706EB" w:rsidRPr="00094814">
        <w:rPr>
          <w:rFonts w:ascii="Arial" w:eastAsia="Arial" w:hAnsi="Arial" w:cs="Arial"/>
          <w:b/>
          <w:sz w:val="22"/>
          <w:szCs w:val="22"/>
        </w:rPr>
        <w:t>f</w:t>
      </w:r>
      <w:r w:rsidR="001706EB" w:rsidRPr="00BD17CA">
        <w:rPr>
          <w:rFonts w:ascii="Arial" w:eastAsia="Arial" w:hAnsi="Arial" w:cs="Arial"/>
          <w:b/>
          <w:sz w:val="22"/>
          <w:szCs w:val="22"/>
        </w:rPr>
        <w:t>its</w:t>
      </w:r>
    </w:p>
    <w:p w14:paraId="0CBF7682" w14:textId="77777777" w:rsidR="009C7422" w:rsidRPr="00BD17CA" w:rsidRDefault="001706EB" w:rsidP="00094814">
      <w:pPr>
        <w:spacing w:after="200" w:line="276" w:lineRule="auto"/>
        <w:ind w:right="74"/>
        <w:jc w:val="both"/>
        <w:rPr>
          <w:rFonts w:ascii="Arial" w:eastAsia="Arial" w:hAnsi="Arial" w:cs="Arial"/>
          <w:sz w:val="22"/>
          <w:szCs w:val="22"/>
        </w:rPr>
      </w:pPr>
      <w:r w:rsidRPr="00094814">
        <w:rPr>
          <w:rFonts w:ascii="Arial" w:eastAsia="Arial" w:hAnsi="Arial" w:cs="Arial"/>
          <w:sz w:val="22"/>
          <w:szCs w:val="22"/>
        </w:rPr>
        <w:t>T</w:t>
      </w:r>
      <w:r w:rsidRPr="00BD17CA">
        <w:rPr>
          <w:rFonts w:ascii="Arial" w:eastAsia="Arial" w:hAnsi="Arial" w:cs="Arial"/>
          <w:sz w:val="22"/>
          <w:szCs w:val="22"/>
        </w:rPr>
        <w:t>he</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c</w:t>
      </w:r>
      <w:r w:rsidRPr="00BD17CA">
        <w:rPr>
          <w:rFonts w:ascii="Arial" w:eastAsia="Arial" w:hAnsi="Arial" w:cs="Arial"/>
          <w:sz w:val="22"/>
          <w:szCs w:val="22"/>
        </w:rPr>
        <w:t>tu</w:t>
      </w:r>
      <w:r w:rsidRPr="00094814">
        <w:rPr>
          <w:rFonts w:ascii="Arial" w:eastAsia="Arial" w:hAnsi="Arial" w:cs="Arial"/>
          <w:sz w:val="22"/>
          <w:szCs w:val="22"/>
        </w:rPr>
        <w:t>ari</w:t>
      </w:r>
      <w:r w:rsidRPr="00BD17CA">
        <w:rPr>
          <w:rFonts w:ascii="Arial" w:eastAsia="Arial" w:hAnsi="Arial" w:cs="Arial"/>
          <w:sz w:val="22"/>
          <w:szCs w:val="22"/>
        </w:rPr>
        <w:t>al</w:t>
      </w:r>
      <w:r w:rsidRPr="00094814">
        <w:rPr>
          <w:rFonts w:ascii="Arial" w:eastAsia="Arial" w:hAnsi="Arial" w:cs="Arial"/>
          <w:sz w:val="22"/>
          <w:szCs w:val="22"/>
        </w:rPr>
        <w:t xml:space="preserve"> </w:t>
      </w:r>
      <w:r w:rsidRPr="00BD17CA">
        <w:rPr>
          <w:rFonts w:ascii="Arial" w:eastAsia="Arial" w:hAnsi="Arial" w:cs="Arial"/>
          <w:sz w:val="22"/>
          <w:szCs w:val="22"/>
        </w:rPr>
        <w:t>pre</w:t>
      </w:r>
      <w:r w:rsidRPr="00094814">
        <w:rPr>
          <w:rFonts w:ascii="Arial" w:eastAsia="Arial" w:hAnsi="Arial" w:cs="Arial"/>
          <w:sz w:val="22"/>
          <w:szCs w:val="22"/>
        </w:rPr>
        <w:t>se</w:t>
      </w:r>
      <w:r w:rsidRPr="00BD17CA">
        <w:rPr>
          <w:rFonts w:ascii="Arial" w:eastAsia="Arial" w:hAnsi="Arial" w:cs="Arial"/>
          <w:sz w:val="22"/>
          <w:szCs w:val="22"/>
        </w:rPr>
        <w:t>nt</w:t>
      </w:r>
      <w:r w:rsidRPr="00094814">
        <w:rPr>
          <w:rFonts w:ascii="Arial" w:eastAsia="Arial" w:hAnsi="Arial" w:cs="Arial"/>
          <w:sz w:val="22"/>
          <w:szCs w:val="22"/>
        </w:rPr>
        <w:t xml:space="preserve"> valu</w:t>
      </w:r>
      <w:r w:rsidRPr="00BD17CA">
        <w:rPr>
          <w:rFonts w:ascii="Arial" w:eastAsia="Arial" w:hAnsi="Arial" w:cs="Arial"/>
          <w:sz w:val="22"/>
          <w:szCs w:val="22"/>
        </w:rPr>
        <w:t>e</w:t>
      </w:r>
      <w:r w:rsidRPr="00094814">
        <w:rPr>
          <w:rFonts w:ascii="Arial" w:eastAsia="Arial" w:hAnsi="Arial" w:cs="Arial"/>
          <w:sz w:val="22"/>
          <w:szCs w:val="22"/>
        </w:rPr>
        <w:t xml:space="preserve"> </w:t>
      </w:r>
      <w:r w:rsidRPr="00BD17CA">
        <w:rPr>
          <w:rFonts w:ascii="Arial" w:eastAsia="Arial" w:hAnsi="Arial" w:cs="Arial"/>
          <w:sz w:val="22"/>
          <w:szCs w:val="22"/>
        </w:rPr>
        <w:t>of</w:t>
      </w:r>
      <w:r w:rsidRPr="00094814">
        <w:rPr>
          <w:rFonts w:ascii="Arial" w:eastAsia="Arial" w:hAnsi="Arial" w:cs="Arial"/>
          <w:sz w:val="22"/>
          <w:szCs w:val="22"/>
        </w:rPr>
        <w:t xml:space="preserve"> </w:t>
      </w:r>
      <w:r w:rsidRPr="00BD17CA">
        <w:rPr>
          <w:rFonts w:ascii="Arial" w:eastAsia="Arial" w:hAnsi="Arial" w:cs="Arial"/>
          <w:sz w:val="22"/>
          <w:szCs w:val="22"/>
        </w:rPr>
        <w:t>pro</w:t>
      </w:r>
      <w:r w:rsidRPr="00094814">
        <w:rPr>
          <w:rFonts w:ascii="Arial" w:eastAsia="Arial" w:hAnsi="Arial" w:cs="Arial"/>
          <w:sz w:val="22"/>
          <w:szCs w:val="22"/>
        </w:rPr>
        <w:t>mis</w:t>
      </w:r>
      <w:r w:rsidRPr="00BD17CA">
        <w:rPr>
          <w:rFonts w:ascii="Arial" w:eastAsia="Arial" w:hAnsi="Arial" w:cs="Arial"/>
          <w:sz w:val="22"/>
          <w:szCs w:val="22"/>
        </w:rPr>
        <w:t xml:space="preserve">ed </w:t>
      </w:r>
      <w:r w:rsidRPr="00094814">
        <w:rPr>
          <w:rFonts w:ascii="Arial" w:eastAsia="Arial" w:hAnsi="Arial" w:cs="Arial"/>
          <w:sz w:val="22"/>
          <w:szCs w:val="22"/>
        </w:rPr>
        <w:t>re</w:t>
      </w:r>
      <w:r w:rsidRPr="00BD17CA">
        <w:rPr>
          <w:rFonts w:ascii="Arial" w:eastAsia="Arial" w:hAnsi="Arial" w:cs="Arial"/>
          <w:sz w:val="22"/>
          <w:szCs w:val="22"/>
        </w:rPr>
        <w:t>t</w:t>
      </w:r>
      <w:r w:rsidRPr="00094814">
        <w:rPr>
          <w:rFonts w:ascii="Arial" w:eastAsia="Arial" w:hAnsi="Arial" w:cs="Arial"/>
          <w:sz w:val="22"/>
          <w:szCs w:val="22"/>
        </w:rPr>
        <w:t>ir</w:t>
      </w:r>
      <w:r w:rsidRPr="00BD17CA">
        <w:rPr>
          <w:rFonts w:ascii="Arial" w:eastAsia="Arial" w:hAnsi="Arial" w:cs="Arial"/>
          <w:sz w:val="22"/>
          <w:szCs w:val="22"/>
        </w:rPr>
        <w:t>e</w:t>
      </w:r>
      <w:r w:rsidRPr="00094814">
        <w:rPr>
          <w:rFonts w:ascii="Arial" w:eastAsia="Arial" w:hAnsi="Arial" w:cs="Arial"/>
          <w:sz w:val="22"/>
          <w:szCs w:val="22"/>
        </w:rPr>
        <w:t>m</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 xml:space="preserve">t </w:t>
      </w:r>
      <w:r w:rsidRPr="00094814">
        <w:rPr>
          <w:rFonts w:ascii="Arial" w:eastAsia="Arial" w:hAnsi="Arial" w:cs="Arial"/>
          <w:sz w:val="22"/>
          <w:szCs w:val="22"/>
        </w:rPr>
        <w:t>b</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e</w:t>
      </w:r>
      <w:r w:rsidRPr="00094814">
        <w:rPr>
          <w:rFonts w:ascii="Arial" w:eastAsia="Arial" w:hAnsi="Arial" w:cs="Arial"/>
          <w:sz w:val="22"/>
          <w:szCs w:val="22"/>
        </w:rPr>
        <w:t>fi</w:t>
      </w:r>
      <w:r w:rsidRPr="00BD17CA">
        <w:rPr>
          <w:rFonts w:ascii="Arial" w:eastAsia="Arial" w:hAnsi="Arial" w:cs="Arial"/>
          <w:sz w:val="22"/>
          <w:szCs w:val="22"/>
        </w:rPr>
        <w:t>ts</w:t>
      </w:r>
      <w:r w:rsidRPr="00094814">
        <w:rPr>
          <w:rFonts w:ascii="Arial" w:eastAsia="Arial" w:hAnsi="Arial" w:cs="Arial"/>
          <w:sz w:val="22"/>
          <w:szCs w:val="22"/>
        </w:rPr>
        <w:t xml:space="preserve"> i</w:t>
      </w:r>
      <w:r w:rsidRPr="00BD17CA">
        <w:rPr>
          <w:rFonts w:ascii="Arial" w:eastAsia="Arial" w:hAnsi="Arial" w:cs="Arial"/>
          <w:sz w:val="22"/>
          <w:szCs w:val="22"/>
        </w:rPr>
        <w:t>s</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ss</w:t>
      </w:r>
      <w:r w:rsidRPr="00BD17CA">
        <w:rPr>
          <w:rFonts w:ascii="Arial" w:eastAsia="Arial" w:hAnsi="Arial" w:cs="Arial"/>
          <w:sz w:val="22"/>
          <w:szCs w:val="22"/>
        </w:rPr>
        <w:t>e</w:t>
      </w:r>
      <w:r w:rsidRPr="00094814">
        <w:rPr>
          <w:rFonts w:ascii="Arial" w:eastAsia="Arial" w:hAnsi="Arial" w:cs="Arial"/>
          <w:sz w:val="22"/>
          <w:szCs w:val="22"/>
        </w:rPr>
        <w:t>ss</w:t>
      </w:r>
      <w:r w:rsidRPr="00BD17CA">
        <w:rPr>
          <w:rFonts w:ascii="Arial" w:eastAsia="Arial" w:hAnsi="Arial" w:cs="Arial"/>
          <w:sz w:val="22"/>
          <w:szCs w:val="22"/>
        </w:rPr>
        <w:t>ed</w:t>
      </w:r>
      <w:r w:rsidRPr="00094814">
        <w:rPr>
          <w:rFonts w:ascii="Arial" w:eastAsia="Arial" w:hAnsi="Arial" w:cs="Arial"/>
          <w:sz w:val="22"/>
          <w:szCs w:val="22"/>
        </w:rPr>
        <w:t xml:space="preserve"> </w:t>
      </w:r>
      <w:r w:rsidRPr="00BD17CA">
        <w:rPr>
          <w:rFonts w:ascii="Arial" w:eastAsia="Arial" w:hAnsi="Arial" w:cs="Arial"/>
          <w:sz w:val="22"/>
          <w:szCs w:val="22"/>
        </w:rPr>
        <w:t>on</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 xml:space="preserve"> </w:t>
      </w:r>
      <w:r w:rsidRPr="00BD17CA">
        <w:rPr>
          <w:rFonts w:ascii="Arial" w:eastAsia="Arial" w:hAnsi="Arial" w:cs="Arial"/>
          <w:sz w:val="22"/>
          <w:szCs w:val="22"/>
        </w:rPr>
        <w:t>t</w:t>
      </w:r>
      <w:r w:rsidRPr="00094814">
        <w:rPr>
          <w:rFonts w:ascii="Arial" w:eastAsia="Arial" w:hAnsi="Arial" w:cs="Arial"/>
          <w:sz w:val="22"/>
          <w:szCs w:val="22"/>
        </w:rPr>
        <w:t>ri</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n</w:t>
      </w:r>
      <w:r w:rsidRPr="00094814">
        <w:rPr>
          <w:rFonts w:ascii="Arial" w:eastAsia="Arial" w:hAnsi="Arial" w:cs="Arial"/>
          <w:sz w:val="22"/>
          <w:szCs w:val="22"/>
        </w:rPr>
        <w:t>ia</w:t>
      </w:r>
      <w:r w:rsidRPr="00BD17CA">
        <w:rPr>
          <w:rFonts w:ascii="Arial" w:eastAsia="Arial" w:hAnsi="Arial" w:cs="Arial"/>
          <w:sz w:val="22"/>
          <w:szCs w:val="22"/>
        </w:rPr>
        <w:t>l</w:t>
      </w:r>
      <w:r w:rsidRPr="00094814">
        <w:rPr>
          <w:rFonts w:ascii="Arial" w:eastAsia="Arial" w:hAnsi="Arial" w:cs="Arial"/>
          <w:sz w:val="22"/>
          <w:szCs w:val="22"/>
        </w:rPr>
        <w:t xml:space="preserve"> </w:t>
      </w:r>
      <w:r w:rsidRPr="00BD17CA">
        <w:rPr>
          <w:rFonts w:ascii="Arial" w:eastAsia="Arial" w:hAnsi="Arial" w:cs="Arial"/>
          <w:sz w:val="22"/>
          <w:szCs w:val="22"/>
        </w:rPr>
        <w:t>b</w:t>
      </w:r>
      <w:r w:rsidRPr="00094814">
        <w:rPr>
          <w:rFonts w:ascii="Arial" w:eastAsia="Arial" w:hAnsi="Arial" w:cs="Arial"/>
          <w:sz w:val="22"/>
          <w:szCs w:val="22"/>
        </w:rPr>
        <w:t>asi</w:t>
      </w:r>
      <w:r w:rsidRPr="00BD17CA">
        <w:rPr>
          <w:rFonts w:ascii="Arial" w:eastAsia="Arial" w:hAnsi="Arial" w:cs="Arial"/>
          <w:sz w:val="22"/>
          <w:szCs w:val="22"/>
        </w:rPr>
        <w:t>s</w:t>
      </w:r>
      <w:r w:rsidRPr="00094814">
        <w:rPr>
          <w:rFonts w:ascii="Arial" w:eastAsia="Arial" w:hAnsi="Arial" w:cs="Arial"/>
          <w:sz w:val="22"/>
          <w:szCs w:val="22"/>
        </w:rPr>
        <w:t xml:space="preserve"> b</w:t>
      </w:r>
      <w:r w:rsidRPr="00BD17CA">
        <w:rPr>
          <w:rFonts w:ascii="Arial" w:eastAsia="Arial" w:hAnsi="Arial" w:cs="Arial"/>
          <w:sz w:val="22"/>
          <w:szCs w:val="22"/>
        </w:rPr>
        <w:t>y</w:t>
      </w:r>
      <w:r w:rsidRPr="00094814">
        <w:rPr>
          <w:rFonts w:ascii="Arial" w:eastAsia="Arial" w:hAnsi="Arial" w:cs="Arial"/>
          <w:sz w:val="22"/>
          <w:szCs w:val="22"/>
        </w:rPr>
        <w:t xml:space="preserve"> t</w:t>
      </w:r>
      <w:r w:rsidRPr="00BD17CA">
        <w:rPr>
          <w:rFonts w:ascii="Arial" w:eastAsia="Arial" w:hAnsi="Arial" w:cs="Arial"/>
          <w:sz w:val="22"/>
          <w:szCs w:val="22"/>
        </w:rPr>
        <w:t>he</w:t>
      </w:r>
      <w:r w:rsidRPr="00094814">
        <w:rPr>
          <w:rFonts w:ascii="Arial" w:eastAsia="Arial" w:hAnsi="Arial" w:cs="Arial"/>
          <w:sz w:val="22"/>
          <w:szCs w:val="22"/>
        </w:rPr>
        <w:t xml:space="preserve"> sc</w:t>
      </w:r>
      <w:r w:rsidRPr="00BD17CA">
        <w:rPr>
          <w:rFonts w:ascii="Arial" w:eastAsia="Arial" w:hAnsi="Arial" w:cs="Arial"/>
          <w:sz w:val="22"/>
          <w:szCs w:val="22"/>
        </w:rPr>
        <w:t>h</w:t>
      </w:r>
      <w:r w:rsidRPr="00094814">
        <w:rPr>
          <w:rFonts w:ascii="Arial" w:eastAsia="Arial" w:hAnsi="Arial" w:cs="Arial"/>
          <w:sz w:val="22"/>
          <w:szCs w:val="22"/>
        </w:rPr>
        <w:t>em</w:t>
      </w:r>
      <w:r w:rsidRPr="00BD17CA">
        <w:rPr>
          <w:rFonts w:ascii="Arial" w:eastAsia="Arial" w:hAnsi="Arial" w:cs="Arial"/>
          <w:sz w:val="22"/>
          <w:szCs w:val="22"/>
        </w:rPr>
        <w:t>e a</w:t>
      </w:r>
      <w:r w:rsidRPr="00094814">
        <w:rPr>
          <w:rFonts w:ascii="Arial" w:eastAsia="Arial" w:hAnsi="Arial" w:cs="Arial"/>
          <w:sz w:val="22"/>
          <w:szCs w:val="22"/>
        </w:rPr>
        <w:t>c</w:t>
      </w:r>
      <w:r w:rsidRPr="00BD17CA">
        <w:rPr>
          <w:rFonts w:ascii="Arial" w:eastAsia="Arial" w:hAnsi="Arial" w:cs="Arial"/>
          <w:sz w:val="22"/>
          <w:szCs w:val="22"/>
        </w:rPr>
        <w:t>tu</w:t>
      </w:r>
      <w:r w:rsidRPr="00094814">
        <w:rPr>
          <w:rFonts w:ascii="Arial" w:eastAsia="Arial" w:hAnsi="Arial" w:cs="Arial"/>
          <w:sz w:val="22"/>
          <w:szCs w:val="22"/>
        </w:rPr>
        <w:t>ar</w:t>
      </w:r>
      <w:r w:rsidRPr="00BD17CA">
        <w:rPr>
          <w:rFonts w:ascii="Arial" w:eastAsia="Arial" w:hAnsi="Arial" w:cs="Arial"/>
          <w:sz w:val="22"/>
          <w:szCs w:val="22"/>
        </w:rPr>
        <w:t>y</w:t>
      </w:r>
      <w:r w:rsidRPr="00094814">
        <w:rPr>
          <w:rFonts w:ascii="Arial" w:eastAsia="Arial" w:hAnsi="Arial" w:cs="Arial"/>
          <w:sz w:val="22"/>
          <w:szCs w:val="22"/>
        </w:rPr>
        <w:t xml:space="preserve"> i</w:t>
      </w:r>
      <w:r w:rsidRPr="00BD17CA">
        <w:rPr>
          <w:rFonts w:ascii="Arial" w:eastAsia="Arial" w:hAnsi="Arial" w:cs="Arial"/>
          <w:sz w:val="22"/>
          <w:szCs w:val="22"/>
        </w:rPr>
        <w:t>n a</w:t>
      </w:r>
      <w:r w:rsidRPr="00094814">
        <w:rPr>
          <w:rFonts w:ascii="Arial" w:eastAsia="Arial" w:hAnsi="Arial" w:cs="Arial"/>
          <w:sz w:val="22"/>
          <w:szCs w:val="22"/>
        </w:rPr>
        <w:t>cc</w:t>
      </w:r>
      <w:r w:rsidRPr="00BD17CA">
        <w:rPr>
          <w:rFonts w:ascii="Arial" w:eastAsia="Arial" w:hAnsi="Arial" w:cs="Arial"/>
          <w:sz w:val="22"/>
          <w:szCs w:val="22"/>
        </w:rPr>
        <w:t>ordance</w:t>
      </w:r>
      <w:r w:rsidRPr="00094814">
        <w:rPr>
          <w:rFonts w:ascii="Arial" w:eastAsia="Arial" w:hAnsi="Arial" w:cs="Arial"/>
          <w:sz w:val="22"/>
          <w:szCs w:val="22"/>
        </w:rPr>
        <w:t xml:space="preserve"> </w:t>
      </w:r>
      <w:r w:rsidRPr="00BD17CA">
        <w:rPr>
          <w:rFonts w:ascii="Arial" w:eastAsia="Arial" w:hAnsi="Arial" w:cs="Arial"/>
          <w:sz w:val="22"/>
          <w:szCs w:val="22"/>
        </w:rPr>
        <w:t>w</w:t>
      </w:r>
      <w:r w:rsidRPr="00094814">
        <w:rPr>
          <w:rFonts w:ascii="Arial" w:eastAsia="Arial" w:hAnsi="Arial" w:cs="Arial"/>
          <w:sz w:val="22"/>
          <w:szCs w:val="22"/>
        </w:rPr>
        <w:t>it</w:t>
      </w:r>
      <w:r w:rsidRPr="00BD17CA">
        <w:rPr>
          <w:rFonts w:ascii="Arial" w:eastAsia="Arial" w:hAnsi="Arial" w:cs="Arial"/>
          <w:sz w:val="22"/>
          <w:szCs w:val="22"/>
        </w:rPr>
        <w:t>h</w:t>
      </w:r>
      <w:r w:rsidRPr="00094814">
        <w:rPr>
          <w:rFonts w:ascii="Arial" w:eastAsia="Arial" w:hAnsi="Arial" w:cs="Arial"/>
          <w:sz w:val="22"/>
          <w:szCs w:val="22"/>
        </w:rPr>
        <w:t xml:space="preserve"> </w:t>
      </w:r>
      <w:r w:rsidRPr="00BD17CA">
        <w:rPr>
          <w:rFonts w:ascii="Arial" w:eastAsia="Arial" w:hAnsi="Arial" w:cs="Arial"/>
          <w:sz w:val="22"/>
          <w:szCs w:val="22"/>
        </w:rPr>
        <w:t>the</w:t>
      </w:r>
      <w:r w:rsidRPr="00094814">
        <w:rPr>
          <w:rFonts w:ascii="Arial" w:eastAsia="Arial" w:hAnsi="Arial" w:cs="Arial"/>
          <w:sz w:val="22"/>
          <w:szCs w:val="22"/>
        </w:rPr>
        <w:t xml:space="preserve"> r</w:t>
      </w:r>
      <w:r w:rsidRPr="00BD17CA">
        <w:rPr>
          <w:rFonts w:ascii="Arial" w:eastAsia="Arial" w:hAnsi="Arial" w:cs="Arial"/>
          <w:sz w:val="22"/>
          <w:szCs w:val="22"/>
        </w:rPr>
        <w:t>e</w:t>
      </w:r>
      <w:r w:rsidRPr="00094814">
        <w:rPr>
          <w:rFonts w:ascii="Arial" w:eastAsia="Arial" w:hAnsi="Arial" w:cs="Arial"/>
          <w:sz w:val="22"/>
          <w:szCs w:val="22"/>
        </w:rPr>
        <w:t>q</w:t>
      </w:r>
      <w:r w:rsidRPr="00BD17CA">
        <w:rPr>
          <w:rFonts w:ascii="Arial" w:eastAsia="Arial" w:hAnsi="Arial" w:cs="Arial"/>
          <w:sz w:val="22"/>
          <w:szCs w:val="22"/>
        </w:rPr>
        <w:t>u</w:t>
      </w:r>
      <w:r w:rsidRPr="00094814">
        <w:rPr>
          <w:rFonts w:ascii="Arial" w:eastAsia="Arial" w:hAnsi="Arial" w:cs="Arial"/>
          <w:sz w:val="22"/>
          <w:szCs w:val="22"/>
        </w:rPr>
        <w:t>ir</w:t>
      </w:r>
      <w:r w:rsidRPr="00BD17CA">
        <w:rPr>
          <w:rFonts w:ascii="Arial" w:eastAsia="Arial" w:hAnsi="Arial" w:cs="Arial"/>
          <w:sz w:val="22"/>
          <w:szCs w:val="22"/>
        </w:rPr>
        <w:t>e</w:t>
      </w:r>
      <w:r w:rsidRPr="00094814">
        <w:rPr>
          <w:rFonts w:ascii="Arial" w:eastAsia="Arial" w:hAnsi="Arial" w:cs="Arial"/>
          <w:sz w:val="22"/>
          <w:szCs w:val="22"/>
        </w:rPr>
        <w:t>m</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ts</w:t>
      </w:r>
      <w:r w:rsidRPr="00094814">
        <w:rPr>
          <w:rFonts w:ascii="Arial" w:eastAsia="Arial" w:hAnsi="Arial" w:cs="Arial"/>
          <w:sz w:val="22"/>
          <w:szCs w:val="22"/>
        </w:rPr>
        <w:t xml:space="preserve"> </w:t>
      </w:r>
      <w:r w:rsidRPr="00BD17CA">
        <w:rPr>
          <w:rFonts w:ascii="Arial" w:eastAsia="Arial" w:hAnsi="Arial" w:cs="Arial"/>
          <w:sz w:val="22"/>
          <w:szCs w:val="22"/>
        </w:rPr>
        <w:t>of</w:t>
      </w:r>
      <w:r w:rsidRPr="00094814">
        <w:rPr>
          <w:rFonts w:ascii="Arial" w:eastAsia="Arial" w:hAnsi="Arial" w:cs="Arial"/>
          <w:sz w:val="22"/>
          <w:szCs w:val="22"/>
        </w:rPr>
        <w:t xml:space="preserve"> </w:t>
      </w:r>
      <w:r w:rsidRPr="00BD17CA">
        <w:rPr>
          <w:rFonts w:ascii="Arial" w:eastAsia="Arial" w:hAnsi="Arial" w:cs="Arial"/>
          <w:sz w:val="22"/>
          <w:szCs w:val="22"/>
        </w:rPr>
        <w:t>I</w:t>
      </w:r>
      <w:r w:rsidRPr="00094814">
        <w:rPr>
          <w:rFonts w:ascii="Arial" w:eastAsia="Arial" w:hAnsi="Arial" w:cs="Arial"/>
          <w:sz w:val="22"/>
          <w:szCs w:val="22"/>
        </w:rPr>
        <w:t>A</w:t>
      </w:r>
      <w:r w:rsidRPr="00BD17CA">
        <w:rPr>
          <w:rFonts w:ascii="Arial" w:eastAsia="Arial" w:hAnsi="Arial" w:cs="Arial"/>
          <w:sz w:val="22"/>
          <w:szCs w:val="22"/>
        </w:rPr>
        <w:t>S</w:t>
      </w:r>
      <w:r w:rsidRPr="00094814">
        <w:rPr>
          <w:rFonts w:ascii="Arial" w:eastAsia="Arial" w:hAnsi="Arial" w:cs="Arial"/>
          <w:sz w:val="22"/>
          <w:szCs w:val="22"/>
        </w:rPr>
        <w:t xml:space="preserve"> </w:t>
      </w:r>
      <w:r w:rsidRPr="00BD17CA">
        <w:rPr>
          <w:rFonts w:ascii="Arial" w:eastAsia="Arial" w:hAnsi="Arial" w:cs="Arial"/>
          <w:sz w:val="22"/>
          <w:szCs w:val="22"/>
        </w:rPr>
        <w:t>19</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 xml:space="preserve"> </w:t>
      </w:r>
      <w:r w:rsidRPr="00BD17CA">
        <w:rPr>
          <w:rFonts w:ascii="Arial" w:eastAsia="Arial" w:hAnsi="Arial" w:cs="Arial"/>
          <w:sz w:val="22"/>
          <w:szCs w:val="22"/>
        </w:rPr>
        <w:t>r</w:t>
      </w:r>
      <w:r w:rsidRPr="00094814">
        <w:rPr>
          <w:rFonts w:ascii="Arial" w:eastAsia="Arial" w:hAnsi="Arial" w:cs="Arial"/>
          <w:sz w:val="22"/>
          <w:szCs w:val="22"/>
        </w:rPr>
        <w:t>eleva</w:t>
      </w:r>
      <w:r w:rsidRPr="00BD17CA">
        <w:rPr>
          <w:rFonts w:ascii="Arial" w:eastAsia="Arial" w:hAnsi="Arial" w:cs="Arial"/>
          <w:sz w:val="22"/>
          <w:szCs w:val="22"/>
        </w:rPr>
        <w:t>nt</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c</w:t>
      </w:r>
      <w:r w:rsidRPr="00BD17CA">
        <w:rPr>
          <w:rFonts w:ascii="Arial" w:eastAsia="Arial" w:hAnsi="Arial" w:cs="Arial"/>
          <w:sz w:val="22"/>
          <w:szCs w:val="22"/>
        </w:rPr>
        <w:t>t</w:t>
      </w:r>
      <w:r w:rsidRPr="00094814">
        <w:rPr>
          <w:rFonts w:ascii="Arial" w:eastAsia="Arial" w:hAnsi="Arial" w:cs="Arial"/>
          <w:sz w:val="22"/>
          <w:szCs w:val="22"/>
        </w:rPr>
        <w:t>u</w:t>
      </w:r>
      <w:r w:rsidRPr="00BD17CA">
        <w:rPr>
          <w:rFonts w:ascii="Arial" w:eastAsia="Arial" w:hAnsi="Arial" w:cs="Arial"/>
          <w:sz w:val="22"/>
          <w:szCs w:val="22"/>
        </w:rPr>
        <w:t>ari</w:t>
      </w:r>
      <w:r w:rsidRPr="00094814">
        <w:rPr>
          <w:rFonts w:ascii="Arial" w:eastAsia="Arial" w:hAnsi="Arial" w:cs="Arial"/>
          <w:sz w:val="22"/>
          <w:szCs w:val="22"/>
        </w:rPr>
        <w:t>a</w:t>
      </w:r>
      <w:r w:rsidRPr="00BD17CA">
        <w:rPr>
          <w:rFonts w:ascii="Arial" w:eastAsia="Arial" w:hAnsi="Arial" w:cs="Arial"/>
          <w:sz w:val="22"/>
          <w:szCs w:val="22"/>
        </w:rPr>
        <w:t>l</w:t>
      </w:r>
      <w:r w:rsidRPr="00094814">
        <w:rPr>
          <w:rFonts w:ascii="Arial" w:eastAsia="Arial" w:hAnsi="Arial" w:cs="Arial"/>
          <w:sz w:val="22"/>
          <w:szCs w:val="22"/>
        </w:rPr>
        <w:t xml:space="preserve"> s</w:t>
      </w:r>
      <w:r w:rsidRPr="00BD17CA">
        <w:rPr>
          <w:rFonts w:ascii="Arial" w:eastAsia="Arial" w:hAnsi="Arial" w:cs="Arial"/>
          <w:sz w:val="22"/>
          <w:szCs w:val="22"/>
        </w:rPr>
        <w:t>t</w:t>
      </w:r>
      <w:r w:rsidRPr="00094814">
        <w:rPr>
          <w:rFonts w:ascii="Arial" w:eastAsia="Arial" w:hAnsi="Arial" w:cs="Arial"/>
          <w:sz w:val="22"/>
          <w:szCs w:val="22"/>
        </w:rPr>
        <w:t>an</w:t>
      </w:r>
      <w:r w:rsidRPr="00BD17CA">
        <w:rPr>
          <w:rFonts w:ascii="Arial" w:eastAsia="Arial" w:hAnsi="Arial" w:cs="Arial"/>
          <w:sz w:val="22"/>
          <w:szCs w:val="22"/>
        </w:rPr>
        <w:t>d</w:t>
      </w:r>
      <w:r w:rsidRPr="00094814">
        <w:rPr>
          <w:rFonts w:ascii="Arial" w:eastAsia="Arial" w:hAnsi="Arial" w:cs="Arial"/>
          <w:sz w:val="22"/>
          <w:szCs w:val="22"/>
        </w:rPr>
        <w:t>ar</w:t>
      </w:r>
      <w:r w:rsidRPr="00BD17CA">
        <w:rPr>
          <w:rFonts w:ascii="Arial" w:eastAsia="Arial" w:hAnsi="Arial" w:cs="Arial"/>
          <w:sz w:val="22"/>
          <w:szCs w:val="22"/>
        </w:rPr>
        <w:t>d</w:t>
      </w:r>
      <w:r w:rsidRPr="00094814">
        <w:rPr>
          <w:rFonts w:ascii="Arial" w:eastAsia="Arial" w:hAnsi="Arial" w:cs="Arial"/>
          <w:sz w:val="22"/>
          <w:szCs w:val="22"/>
        </w:rPr>
        <w:t>s</w:t>
      </w:r>
      <w:r w:rsidRPr="00BD17CA">
        <w:rPr>
          <w:rFonts w:ascii="Arial" w:eastAsia="Arial" w:hAnsi="Arial" w:cs="Arial"/>
          <w:sz w:val="22"/>
          <w:szCs w:val="22"/>
        </w:rPr>
        <w:t>.</w:t>
      </w:r>
    </w:p>
    <w:p w14:paraId="248856C5" w14:textId="4C8182D3" w:rsidR="009C7422" w:rsidRPr="00BD17CA" w:rsidRDefault="001706EB" w:rsidP="00094814">
      <w:pPr>
        <w:spacing w:after="200" w:line="276" w:lineRule="auto"/>
        <w:ind w:right="74"/>
        <w:jc w:val="both"/>
        <w:rPr>
          <w:rFonts w:ascii="Arial" w:eastAsia="Arial" w:hAnsi="Arial" w:cs="Arial"/>
          <w:sz w:val="22"/>
          <w:szCs w:val="22"/>
        </w:rPr>
      </w:pPr>
      <w:r w:rsidRPr="00094814">
        <w:rPr>
          <w:rFonts w:ascii="Arial" w:eastAsia="Arial" w:hAnsi="Arial" w:cs="Arial"/>
          <w:sz w:val="22"/>
          <w:szCs w:val="22"/>
        </w:rPr>
        <w:t>A</w:t>
      </w:r>
      <w:r w:rsidRPr="00BD17CA">
        <w:rPr>
          <w:rFonts w:ascii="Arial" w:eastAsia="Arial" w:hAnsi="Arial" w:cs="Arial"/>
          <w:sz w:val="22"/>
          <w:szCs w:val="22"/>
        </w:rPr>
        <w:t>s</w:t>
      </w:r>
      <w:r w:rsidRPr="00094814">
        <w:rPr>
          <w:rFonts w:ascii="Arial" w:eastAsia="Arial" w:hAnsi="Arial" w:cs="Arial"/>
          <w:sz w:val="22"/>
          <w:szCs w:val="22"/>
        </w:rPr>
        <w:t xml:space="preserve"> </w:t>
      </w:r>
      <w:r w:rsidRPr="00BD17CA">
        <w:rPr>
          <w:rFonts w:ascii="Arial" w:eastAsia="Arial" w:hAnsi="Arial" w:cs="Arial"/>
          <w:sz w:val="22"/>
          <w:szCs w:val="22"/>
        </w:rPr>
        <w:t>p</w:t>
      </w:r>
      <w:r w:rsidRPr="00094814">
        <w:rPr>
          <w:rFonts w:ascii="Arial" w:eastAsia="Arial" w:hAnsi="Arial" w:cs="Arial"/>
          <w:sz w:val="22"/>
          <w:szCs w:val="22"/>
        </w:rPr>
        <w:t>ermi</w:t>
      </w:r>
      <w:r w:rsidRPr="00BD17CA">
        <w:rPr>
          <w:rFonts w:ascii="Arial" w:eastAsia="Arial" w:hAnsi="Arial" w:cs="Arial"/>
          <w:sz w:val="22"/>
          <w:szCs w:val="22"/>
        </w:rPr>
        <w:t>tt</w:t>
      </w:r>
      <w:r w:rsidRPr="00094814">
        <w:rPr>
          <w:rFonts w:ascii="Arial" w:eastAsia="Arial" w:hAnsi="Arial" w:cs="Arial"/>
          <w:sz w:val="22"/>
          <w:szCs w:val="22"/>
        </w:rPr>
        <w:t>e</w:t>
      </w:r>
      <w:r w:rsidRPr="00BD17CA">
        <w:rPr>
          <w:rFonts w:ascii="Arial" w:eastAsia="Arial" w:hAnsi="Arial" w:cs="Arial"/>
          <w:sz w:val="22"/>
          <w:szCs w:val="22"/>
        </w:rPr>
        <w:t>d</w:t>
      </w:r>
      <w:r w:rsidRPr="00094814">
        <w:rPr>
          <w:rFonts w:ascii="Arial" w:eastAsia="Arial" w:hAnsi="Arial" w:cs="Arial"/>
          <w:sz w:val="22"/>
          <w:szCs w:val="22"/>
        </w:rPr>
        <w:t xml:space="preserve"> </w:t>
      </w:r>
      <w:r w:rsidRPr="00BD17CA">
        <w:rPr>
          <w:rFonts w:ascii="Arial" w:eastAsia="Arial" w:hAnsi="Arial" w:cs="Arial"/>
          <w:sz w:val="22"/>
          <w:szCs w:val="22"/>
        </w:rPr>
        <w:t>u</w:t>
      </w:r>
      <w:r w:rsidRPr="00094814">
        <w:rPr>
          <w:rFonts w:ascii="Arial" w:eastAsia="Arial" w:hAnsi="Arial" w:cs="Arial"/>
          <w:sz w:val="22"/>
          <w:szCs w:val="22"/>
        </w:rPr>
        <w:t>nd</w:t>
      </w:r>
      <w:r w:rsidRPr="00BD17CA">
        <w:rPr>
          <w:rFonts w:ascii="Arial" w:eastAsia="Arial" w:hAnsi="Arial" w:cs="Arial"/>
          <w:sz w:val="22"/>
          <w:szCs w:val="22"/>
        </w:rPr>
        <w:t>er</w:t>
      </w:r>
      <w:r w:rsidRPr="00094814">
        <w:rPr>
          <w:rFonts w:ascii="Arial" w:eastAsia="Arial" w:hAnsi="Arial" w:cs="Arial"/>
          <w:sz w:val="22"/>
          <w:szCs w:val="22"/>
        </w:rPr>
        <w:t xml:space="preserve"> </w:t>
      </w:r>
      <w:r w:rsidRPr="00BD17CA">
        <w:rPr>
          <w:rFonts w:ascii="Arial" w:eastAsia="Arial" w:hAnsi="Arial" w:cs="Arial"/>
          <w:sz w:val="22"/>
          <w:szCs w:val="22"/>
        </w:rPr>
        <w:t>the</w:t>
      </w:r>
      <w:r w:rsidRPr="00094814">
        <w:rPr>
          <w:rFonts w:ascii="Arial" w:eastAsia="Arial" w:hAnsi="Arial" w:cs="Arial"/>
          <w:sz w:val="22"/>
          <w:szCs w:val="22"/>
        </w:rPr>
        <w:t xml:space="preserve"> </w:t>
      </w:r>
      <w:r w:rsidR="00FB0C09" w:rsidRPr="00094814">
        <w:rPr>
          <w:rFonts w:ascii="Arial" w:eastAsia="Arial" w:hAnsi="Arial" w:cs="Arial"/>
          <w:sz w:val="22"/>
          <w:szCs w:val="22"/>
        </w:rPr>
        <w:t>C</w:t>
      </w:r>
      <w:r w:rsidR="00FB0C09" w:rsidRPr="00BD17CA">
        <w:rPr>
          <w:rFonts w:ascii="Arial" w:eastAsia="Arial" w:hAnsi="Arial" w:cs="Arial"/>
          <w:sz w:val="22"/>
          <w:szCs w:val="22"/>
        </w:rPr>
        <w:t>o</w:t>
      </w:r>
      <w:r w:rsidR="00FB0C09" w:rsidRPr="00094814">
        <w:rPr>
          <w:rFonts w:ascii="Arial" w:eastAsia="Arial" w:hAnsi="Arial" w:cs="Arial"/>
          <w:sz w:val="22"/>
          <w:szCs w:val="22"/>
        </w:rPr>
        <w:t>d</w:t>
      </w:r>
      <w:r w:rsidR="00FB0C09" w:rsidRPr="00BD17CA">
        <w:rPr>
          <w:rFonts w:ascii="Arial" w:eastAsia="Arial" w:hAnsi="Arial" w:cs="Arial"/>
          <w:sz w:val="22"/>
          <w:szCs w:val="22"/>
        </w:rPr>
        <w:t>e</w:t>
      </w:r>
      <w:r w:rsidRPr="00BD17CA">
        <w:rPr>
          <w:rFonts w:ascii="Arial" w:eastAsia="Arial" w:hAnsi="Arial" w:cs="Arial"/>
          <w:sz w:val="22"/>
          <w:szCs w:val="22"/>
        </w:rPr>
        <w:t>,</w:t>
      </w:r>
      <w:r w:rsidRPr="00094814">
        <w:rPr>
          <w:rFonts w:ascii="Arial" w:eastAsia="Arial" w:hAnsi="Arial" w:cs="Arial"/>
          <w:sz w:val="22"/>
          <w:szCs w:val="22"/>
        </w:rPr>
        <w:t xml:space="preserve"> </w:t>
      </w:r>
      <w:r w:rsidRPr="00BD17CA">
        <w:rPr>
          <w:rFonts w:ascii="Arial" w:eastAsia="Arial" w:hAnsi="Arial" w:cs="Arial"/>
          <w:sz w:val="22"/>
          <w:szCs w:val="22"/>
        </w:rPr>
        <w:t>the</w:t>
      </w:r>
      <w:r w:rsidRPr="00094814">
        <w:rPr>
          <w:rFonts w:ascii="Arial" w:eastAsia="Arial" w:hAnsi="Arial" w:cs="Arial"/>
          <w:sz w:val="22"/>
          <w:szCs w:val="22"/>
        </w:rPr>
        <w:t xml:space="preserve"> f</w:t>
      </w:r>
      <w:r w:rsidRPr="00BD17CA">
        <w:rPr>
          <w:rFonts w:ascii="Arial" w:eastAsia="Arial" w:hAnsi="Arial" w:cs="Arial"/>
          <w:sz w:val="22"/>
          <w:szCs w:val="22"/>
        </w:rPr>
        <w:t>u</w:t>
      </w:r>
      <w:r w:rsidRPr="00094814">
        <w:rPr>
          <w:rFonts w:ascii="Arial" w:eastAsia="Arial" w:hAnsi="Arial" w:cs="Arial"/>
          <w:sz w:val="22"/>
          <w:szCs w:val="22"/>
        </w:rPr>
        <w:t>n</w:t>
      </w:r>
      <w:r w:rsidRPr="00BD17CA">
        <w:rPr>
          <w:rFonts w:ascii="Arial" w:eastAsia="Arial" w:hAnsi="Arial" w:cs="Arial"/>
          <w:sz w:val="22"/>
          <w:szCs w:val="22"/>
        </w:rPr>
        <w:t>d</w:t>
      </w:r>
      <w:r w:rsidRPr="00094814">
        <w:rPr>
          <w:rFonts w:ascii="Arial" w:eastAsia="Arial" w:hAnsi="Arial" w:cs="Arial"/>
          <w:sz w:val="22"/>
          <w:szCs w:val="22"/>
        </w:rPr>
        <w:t xml:space="preserve"> h</w:t>
      </w:r>
      <w:r w:rsidRPr="00BD17CA">
        <w:rPr>
          <w:rFonts w:ascii="Arial" w:eastAsia="Arial" w:hAnsi="Arial" w:cs="Arial"/>
          <w:sz w:val="22"/>
          <w:szCs w:val="22"/>
        </w:rPr>
        <w:t>as o</w:t>
      </w:r>
      <w:r w:rsidRPr="00094814">
        <w:rPr>
          <w:rFonts w:ascii="Arial" w:eastAsia="Arial" w:hAnsi="Arial" w:cs="Arial"/>
          <w:sz w:val="22"/>
          <w:szCs w:val="22"/>
        </w:rPr>
        <w:t>p</w:t>
      </w:r>
      <w:r w:rsidRPr="00BD17CA">
        <w:rPr>
          <w:rFonts w:ascii="Arial" w:eastAsia="Arial" w:hAnsi="Arial" w:cs="Arial"/>
          <w:sz w:val="22"/>
          <w:szCs w:val="22"/>
        </w:rPr>
        <w:t>t</w:t>
      </w:r>
      <w:r w:rsidRPr="00094814">
        <w:rPr>
          <w:rFonts w:ascii="Arial" w:eastAsia="Arial" w:hAnsi="Arial" w:cs="Arial"/>
          <w:sz w:val="22"/>
          <w:szCs w:val="22"/>
        </w:rPr>
        <w:t>e</w:t>
      </w:r>
      <w:r w:rsidRPr="00BD17CA">
        <w:rPr>
          <w:rFonts w:ascii="Arial" w:eastAsia="Arial" w:hAnsi="Arial" w:cs="Arial"/>
          <w:sz w:val="22"/>
          <w:szCs w:val="22"/>
        </w:rPr>
        <w:t>d</w:t>
      </w:r>
      <w:r w:rsidRPr="00094814">
        <w:rPr>
          <w:rFonts w:ascii="Arial" w:eastAsia="Arial" w:hAnsi="Arial" w:cs="Arial"/>
          <w:sz w:val="22"/>
          <w:szCs w:val="22"/>
        </w:rPr>
        <w:t xml:space="preserve"> </w:t>
      </w:r>
      <w:r w:rsidRPr="00BD17CA">
        <w:rPr>
          <w:rFonts w:ascii="Arial" w:eastAsia="Arial" w:hAnsi="Arial" w:cs="Arial"/>
          <w:sz w:val="22"/>
          <w:szCs w:val="22"/>
        </w:rPr>
        <w:t>to</w:t>
      </w:r>
      <w:r w:rsidRPr="00094814">
        <w:rPr>
          <w:rFonts w:ascii="Arial" w:eastAsia="Arial" w:hAnsi="Arial" w:cs="Arial"/>
          <w:sz w:val="22"/>
          <w:szCs w:val="22"/>
        </w:rPr>
        <w:t xml:space="preserve"> discl</w:t>
      </w:r>
      <w:r w:rsidRPr="00BD17CA">
        <w:rPr>
          <w:rFonts w:ascii="Arial" w:eastAsia="Arial" w:hAnsi="Arial" w:cs="Arial"/>
          <w:sz w:val="22"/>
          <w:szCs w:val="22"/>
        </w:rPr>
        <w:t>o</w:t>
      </w:r>
      <w:r w:rsidRPr="00094814">
        <w:rPr>
          <w:rFonts w:ascii="Arial" w:eastAsia="Arial" w:hAnsi="Arial" w:cs="Arial"/>
          <w:sz w:val="22"/>
          <w:szCs w:val="22"/>
        </w:rPr>
        <w:t>s</w:t>
      </w:r>
      <w:r w:rsidRPr="00BD17CA">
        <w:rPr>
          <w:rFonts w:ascii="Arial" w:eastAsia="Arial" w:hAnsi="Arial" w:cs="Arial"/>
          <w:sz w:val="22"/>
          <w:szCs w:val="22"/>
        </w:rPr>
        <w:t>e</w:t>
      </w:r>
      <w:r w:rsidRPr="00094814">
        <w:rPr>
          <w:rFonts w:ascii="Arial" w:eastAsia="Arial" w:hAnsi="Arial" w:cs="Arial"/>
          <w:sz w:val="22"/>
          <w:szCs w:val="22"/>
        </w:rPr>
        <w:t xml:space="preserve"> </w:t>
      </w:r>
      <w:r w:rsidRPr="00BD17CA">
        <w:rPr>
          <w:rFonts w:ascii="Arial" w:eastAsia="Arial" w:hAnsi="Arial" w:cs="Arial"/>
          <w:sz w:val="22"/>
          <w:szCs w:val="22"/>
        </w:rPr>
        <w:t>the</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ct</w:t>
      </w:r>
      <w:r w:rsidRPr="00BD17CA">
        <w:rPr>
          <w:rFonts w:ascii="Arial" w:eastAsia="Arial" w:hAnsi="Arial" w:cs="Arial"/>
          <w:sz w:val="22"/>
          <w:szCs w:val="22"/>
        </w:rPr>
        <w:t>u</w:t>
      </w:r>
      <w:r w:rsidRPr="00094814">
        <w:rPr>
          <w:rFonts w:ascii="Arial" w:eastAsia="Arial" w:hAnsi="Arial" w:cs="Arial"/>
          <w:sz w:val="22"/>
          <w:szCs w:val="22"/>
        </w:rPr>
        <w:t>ari</w:t>
      </w:r>
      <w:r w:rsidRPr="00BD17CA">
        <w:rPr>
          <w:rFonts w:ascii="Arial" w:eastAsia="Arial" w:hAnsi="Arial" w:cs="Arial"/>
          <w:sz w:val="22"/>
          <w:szCs w:val="22"/>
        </w:rPr>
        <w:t>al</w:t>
      </w:r>
      <w:r w:rsidRPr="00094814">
        <w:rPr>
          <w:rFonts w:ascii="Arial" w:eastAsia="Arial" w:hAnsi="Arial" w:cs="Arial"/>
          <w:sz w:val="22"/>
          <w:szCs w:val="22"/>
        </w:rPr>
        <w:t xml:space="preserve"> </w:t>
      </w:r>
      <w:r w:rsidRPr="00BD17CA">
        <w:rPr>
          <w:rFonts w:ascii="Arial" w:eastAsia="Arial" w:hAnsi="Arial" w:cs="Arial"/>
          <w:sz w:val="22"/>
          <w:szCs w:val="22"/>
        </w:rPr>
        <w:t>pre</w:t>
      </w:r>
      <w:r w:rsidRPr="00094814">
        <w:rPr>
          <w:rFonts w:ascii="Arial" w:eastAsia="Arial" w:hAnsi="Arial" w:cs="Arial"/>
          <w:sz w:val="22"/>
          <w:szCs w:val="22"/>
        </w:rPr>
        <w:t>se</w:t>
      </w:r>
      <w:r w:rsidRPr="00BD17CA">
        <w:rPr>
          <w:rFonts w:ascii="Arial" w:eastAsia="Arial" w:hAnsi="Arial" w:cs="Arial"/>
          <w:sz w:val="22"/>
          <w:szCs w:val="22"/>
        </w:rPr>
        <w:t>nt</w:t>
      </w:r>
      <w:r w:rsidRPr="00094814">
        <w:rPr>
          <w:rFonts w:ascii="Arial" w:eastAsia="Arial" w:hAnsi="Arial" w:cs="Arial"/>
          <w:sz w:val="22"/>
          <w:szCs w:val="22"/>
        </w:rPr>
        <w:t xml:space="preserve"> val</w:t>
      </w:r>
      <w:r w:rsidRPr="00BD17CA">
        <w:rPr>
          <w:rFonts w:ascii="Arial" w:eastAsia="Arial" w:hAnsi="Arial" w:cs="Arial"/>
          <w:sz w:val="22"/>
          <w:szCs w:val="22"/>
        </w:rPr>
        <w:t>ue</w:t>
      </w:r>
      <w:r w:rsidRPr="00094814">
        <w:rPr>
          <w:rFonts w:ascii="Arial" w:eastAsia="Arial" w:hAnsi="Arial" w:cs="Arial"/>
          <w:sz w:val="22"/>
          <w:szCs w:val="22"/>
        </w:rPr>
        <w:t xml:space="preserve"> </w:t>
      </w:r>
      <w:r w:rsidRPr="00BD17CA">
        <w:rPr>
          <w:rFonts w:ascii="Arial" w:eastAsia="Arial" w:hAnsi="Arial" w:cs="Arial"/>
          <w:sz w:val="22"/>
          <w:szCs w:val="22"/>
        </w:rPr>
        <w:t>of</w:t>
      </w:r>
      <w:r w:rsidRPr="00094814">
        <w:rPr>
          <w:rFonts w:ascii="Arial" w:eastAsia="Arial" w:hAnsi="Arial" w:cs="Arial"/>
          <w:sz w:val="22"/>
          <w:szCs w:val="22"/>
        </w:rPr>
        <w:t xml:space="preserve"> </w:t>
      </w:r>
      <w:r w:rsidRPr="00BD17CA">
        <w:rPr>
          <w:rFonts w:ascii="Arial" w:eastAsia="Arial" w:hAnsi="Arial" w:cs="Arial"/>
          <w:sz w:val="22"/>
          <w:szCs w:val="22"/>
        </w:rPr>
        <w:t>pro</w:t>
      </w:r>
      <w:r w:rsidRPr="00094814">
        <w:rPr>
          <w:rFonts w:ascii="Arial" w:eastAsia="Arial" w:hAnsi="Arial" w:cs="Arial"/>
          <w:sz w:val="22"/>
          <w:szCs w:val="22"/>
        </w:rPr>
        <w:t>mis</w:t>
      </w:r>
      <w:r w:rsidRPr="00BD17CA">
        <w:rPr>
          <w:rFonts w:ascii="Arial" w:eastAsia="Arial" w:hAnsi="Arial" w:cs="Arial"/>
          <w:sz w:val="22"/>
          <w:szCs w:val="22"/>
        </w:rPr>
        <w:t>ed</w:t>
      </w:r>
      <w:r w:rsidRPr="00094814">
        <w:rPr>
          <w:rFonts w:ascii="Arial" w:eastAsia="Arial" w:hAnsi="Arial" w:cs="Arial"/>
          <w:sz w:val="22"/>
          <w:szCs w:val="22"/>
        </w:rPr>
        <w:t xml:space="preserve"> r</w:t>
      </w:r>
      <w:r w:rsidRPr="00BD17CA">
        <w:rPr>
          <w:rFonts w:ascii="Arial" w:eastAsia="Arial" w:hAnsi="Arial" w:cs="Arial"/>
          <w:sz w:val="22"/>
          <w:szCs w:val="22"/>
        </w:rPr>
        <w:t>et</w:t>
      </w:r>
      <w:r w:rsidRPr="00094814">
        <w:rPr>
          <w:rFonts w:ascii="Arial" w:eastAsia="Arial" w:hAnsi="Arial" w:cs="Arial"/>
          <w:sz w:val="22"/>
          <w:szCs w:val="22"/>
        </w:rPr>
        <w:t>ir</w:t>
      </w:r>
      <w:r w:rsidRPr="00BD17CA">
        <w:rPr>
          <w:rFonts w:ascii="Arial" w:eastAsia="Arial" w:hAnsi="Arial" w:cs="Arial"/>
          <w:sz w:val="22"/>
          <w:szCs w:val="22"/>
        </w:rPr>
        <w:t>e</w:t>
      </w:r>
      <w:r w:rsidRPr="00094814">
        <w:rPr>
          <w:rFonts w:ascii="Arial" w:eastAsia="Arial" w:hAnsi="Arial" w:cs="Arial"/>
          <w:sz w:val="22"/>
          <w:szCs w:val="22"/>
        </w:rPr>
        <w:t>m</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t b</w:t>
      </w:r>
      <w:r w:rsidRPr="00094814">
        <w:rPr>
          <w:rFonts w:ascii="Arial" w:eastAsia="Arial" w:hAnsi="Arial" w:cs="Arial"/>
          <w:sz w:val="22"/>
          <w:szCs w:val="22"/>
        </w:rPr>
        <w:t>e</w:t>
      </w:r>
      <w:r w:rsidRPr="00BD17CA">
        <w:rPr>
          <w:rFonts w:ascii="Arial" w:eastAsia="Arial" w:hAnsi="Arial" w:cs="Arial"/>
          <w:sz w:val="22"/>
          <w:szCs w:val="22"/>
        </w:rPr>
        <w:t>n</w:t>
      </w:r>
      <w:r w:rsidRPr="00094814">
        <w:rPr>
          <w:rFonts w:ascii="Arial" w:eastAsia="Arial" w:hAnsi="Arial" w:cs="Arial"/>
          <w:sz w:val="22"/>
          <w:szCs w:val="22"/>
        </w:rPr>
        <w:t>ef</w:t>
      </w:r>
      <w:r w:rsidRPr="00BD17CA">
        <w:rPr>
          <w:rFonts w:ascii="Arial" w:eastAsia="Arial" w:hAnsi="Arial" w:cs="Arial"/>
          <w:sz w:val="22"/>
          <w:szCs w:val="22"/>
        </w:rPr>
        <w:t>its</w:t>
      </w:r>
      <w:r w:rsidRPr="00094814">
        <w:rPr>
          <w:rFonts w:ascii="Arial" w:eastAsia="Arial" w:hAnsi="Arial" w:cs="Arial"/>
          <w:sz w:val="22"/>
          <w:szCs w:val="22"/>
        </w:rPr>
        <w:t xml:space="preserve"> b</w:t>
      </w:r>
      <w:r w:rsidRPr="00BD17CA">
        <w:rPr>
          <w:rFonts w:ascii="Arial" w:eastAsia="Arial" w:hAnsi="Arial" w:cs="Arial"/>
          <w:sz w:val="22"/>
          <w:szCs w:val="22"/>
        </w:rPr>
        <w:t>y</w:t>
      </w:r>
      <w:r w:rsidRPr="00094814">
        <w:rPr>
          <w:rFonts w:ascii="Arial" w:eastAsia="Arial" w:hAnsi="Arial" w:cs="Arial"/>
          <w:sz w:val="22"/>
          <w:szCs w:val="22"/>
        </w:rPr>
        <w:t xml:space="preserve"> </w:t>
      </w:r>
      <w:r w:rsidRPr="00BD17CA">
        <w:rPr>
          <w:rFonts w:ascii="Arial" w:eastAsia="Arial" w:hAnsi="Arial" w:cs="Arial"/>
          <w:sz w:val="22"/>
          <w:szCs w:val="22"/>
        </w:rPr>
        <w:t>w</w:t>
      </w:r>
      <w:r w:rsidRPr="00094814">
        <w:rPr>
          <w:rFonts w:ascii="Arial" w:eastAsia="Arial" w:hAnsi="Arial" w:cs="Arial"/>
          <w:sz w:val="22"/>
          <w:szCs w:val="22"/>
        </w:rPr>
        <w:t>a</w:t>
      </w:r>
      <w:r w:rsidRPr="00BD17CA">
        <w:rPr>
          <w:rFonts w:ascii="Arial" w:eastAsia="Arial" w:hAnsi="Arial" w:cs="Arial"/>
          <w:sz w:val="22"/>
          <w:szCs w:val="22"/>
        </w:rPr>
        <w:t>y</w:t>
      </w:r>
      <w:r w:rsidRPr="00094814">
        <w:rPr>
          <w:rFonts w:ascii="Arial" w:eastAsia="Arial" w:hAnsi="Arial" w:cs="Arial"/>
          <w:sz w:val="22"/>
          <w:szCs w:val="22"/>
        </w:rPr>
        <w:t xml:space="preserve"> </w:t>
      </w:r>
      <w:r w:rsidRPr="00BD17CA">
        <w:rPr>
          <w:rFonts w:ascii="Arial" w:eastAsia="Arial" w:hAnsi="Arial" w:cs="Arial"/>
          <w:sz w:val="22"/>
          <w:szCs w:val="22"/>
        </w:rPr>
        <w:t>of a</w:t>
      </w:r>
      <w:r w:rsidRPr="00094814">
        <w:rPr>
          <w:rFonts w:ascii="Arial" w:eastAsia="Arial" w:hAnsi="Arial" w:cs="Arial"/>
          <w:sz w:val="22"/>
          <w:szCs w:val="22"/>
        </w:rPr>
        <w:t xml:space="preserve"> </w:t>
      </w:r>
      <w:r w:rsidRPr="00BD17CA">
        <w:rPr>
          <w:rFonts w:ascii="Arial" w:eastAsia="Arial" w:hAnsi="Arial" w:cs="Arial"/>
          <w:sz w:val="22"/>
          <w:szCs w:val="22"/>
        </w:rPr>
        <w:t>n</w:t>
      </w:r>
      <w:r w:rsidRPr="00094814">
        <w:rPr>
          <w:rFonts w:ascii="Arial" w:eastAsia="Arial" w:hAnsi="Arial" w:cs="Arial"/>
          <w:sz w:val="22"/>
          <w:szCs w:val="22"/>
        </w:rPr>
        <w:t>o</w:t>
      </w:r>
      <w:r w:rsidRPr="00BD17CA">
        <w:rPr>
          <w:rFonts w:ascii="Arial" w:eastAsia="Arial" w:hAnsi="Arial" w:cs="Arial"/>
          <w:sz w:val="22"/>
          <w:szCs w:val="22"/>
        </w:rPr>
        <w:t>te</w:t>
      </w:r>
      <w:r w:rsidRPr="00094814">
        <w:rPr>
          <w:rFonts w:ascii="Arial" w:eastAsia="Arial" w:hAnsi="Arial" w:cs="Arial"/>
          <w:sz w:val="22"/>
          <w:szCs w:val="22"/>
        </w:rPr>
        <w:t xml:space="preserve"> t</w:t>
      </w:r>
      <w:r w:rsidRPr="00BD17CA">
        <w:rPr>
          <w:rFonts w:ascii="Arial" w:eastAsia="Arial" w:hAnsi="Arial" w:cs="Arial"/>
          <w:sz w:val="22"/>
          <w:szCs w:val="22"/>
        </w:rPr>
        <w:t>o t</w:t>
      </w:r>
      <w:r w:rsidRPr="00094814">
        <w:rPr>
          <w:rFonts w:ascii="Arial" w:eastAsia="Arial" w:hAnsi="Arial" w:cs="Arial"/>
          <w:sz w:val="22"/>
          <w:szCs w:val="22"/>
        </w:rPr>
        <w:t>h</w:t>
      </w:r>
      <w:r w:rsidRPr="00BD17CA">
        <w:rPr>
          <w:rFonts w:ascii="Arial" w:eastAsia="Arial" w:hAnsi="Arial" w:cs="Arial"/>
          <w:sz w:val="22"/>
          <w:szCs w:val="22"/>
        </w:rPr>
        <w:t>e</w:t>
      </w:r>
      <w:r w:rsidRPr="00094814">
        <w:rPr>
          <w:rFonts w:ascii="Arial" w:eastAsia="Arial" w:hAnsi="Arial" w:cs="Arial"/>
          <w:sz w:val="22"/>
          <w:szCs w:val="22"/>
        </w:rPr>
        <w:t xml:space="preserve"> </w:t>
      </w:r>
      <w:r w:rsidRPr="00BD17CA">
        <w:rPr>
          <w:rFonts w:ascii="Arial" w:eastAsia="Arial" w:hAnsi="Arial" w:cs="Arial"/>
          <w:sz w:val="22"/>
          <w:szCs w:val="22"/>
        </w:rPr>
        <w:t>n</w:t>
      </w:r>
      <w:r w:rsidRPr="00094814">
        <w:rPr>
          <w:rFonts w:ascii="Arial" w:eastAsia="Arial" w:hAnsi="Arial" w:cs="Arial"/>
          <w:sz w:val="22"/>
          <w:szCs w:val="22"/>
        </w:rPr>
        <w:t>e</w:t>
      </w:r>
      <w:r w:rsidRPr="00BD17CA">
        <w:rPr>
          <w:rFonts w:ascii="Arial" w:eastAsia="Arial" w:hAnsi="Arial" w:cs="Arial"/>
          <w:sz w:val="22"/>
          <w:szCs w:val="22"/>
        </w:rPr>
        <w:t>t</w:t>
      </w:r>
      <w:r w:rsidRPr="00094814">
        <w:rPr>
          <w:rFonts w:ascii="Arial" w:eastAsia="Arial" w:hAnsi="Arial" w:cs="Arial"/>
          <w:sz w:val="22"/>
          <w:szCs w:val="22"/>
        </w:rPr>
        <w:t xml:space="preserve"> </w:t>
      </w:r>
      <w:r w:rsidRPr="00BD17CA">
        <w:rPr>
          <w:rFonts w:ascii="Arial" w:eastAsia="Arial" w:hAnsi="Arial" w:cs="Arial"/>
          <w:sz w:val="22"/>
          <w:szCs w:val="22"/>
        </w:rPr>
        <w:t>a</w:t>
      </w:r>
      <w:r w:rsidRPr="00094814">
        <w:rPr>
          <w:rFonts w:ascii="Arial" w:eastAsia="Arial" w:hAnsi="Arial" w:cs="Arial"/>
          <w:sz w:val="22"/>
          <w:szCs w:val="22"/>
        </w:rPr>
        <w:t>ss</w:t>
      </w:r>
      <w:r w:rsidRPr="00BD17CA">
        <w:rPr>
          <w:rFonts w:ascii="Arial" w:eastAsia="Arial" w:hAnsi="Arial" w:cs="Arial"/>
          <w:sz w:val="22"/>
          <w:szCs w:val="22"/>
        </w:rPr>
        <w:t>ets</w:t>
      </w:r>
      <w:r w:rsidRPr="00094814">
        <w:rPr>
          <w:rFonts w:ascii="Arial" w:eastAsia="Arial" w:hAnsi="Arial" w:cs="Arial"/>
          <w:sz w:val="22"/>
          <w:szCs w:val="22"/>
        </w:rPr>
        <w:t xml:space="preserve"> s</w:t>
      </w:r>
      <w:r w:rsidRPr="00BD17CA">
        <w:rPr>
          <w:rFonts w:ascii="Arial" w:eastAsia="Arial" w:hAnsi="Arial" w:cs="Arial"/>
          <w:sz w:val="22"/>
          <w:szCs w:val="22"/>
        </w:rPr>
        <w:t>ta</w:t>
      </w:r>
      <w:r w:rsidRPr="00094814">
        <w:rPr>
          <w:rFonts w:ascii="Arial" w:eastAsia="Arial" w:hAnsi="Arial" w:cs="Arial"/>
          <w:sz w:val="22"/>
          <w:szCs w:val="22"/>
        </w:rPr>
        <w:t>t</w:t>
      </w:r>
      <w:r w:rsidRPr="00BD17CA">
        <w:rPr>
          <w:rFonts w:ascii="Arial" w:eastAsia="Arial" w:hAnsi="Arial" w:cs="Arial"/>
          <w:sz w:val="22"/>
          <w:szCs w:val="22"/>
        </w:rPr>
        <w:t>e</w:t>
      </w:r>
      <w:r w:rsidRPr="00094814">
        <w:rPr>
          <w:rFonts w:ascii="Arial" w:eastAsia="Arial" w:hAnsi="Arial" w:cs="Arial"/>
          <w:sz w:val="22"/>
          <w:szCs w:val="22"/>
        </w:rPr>
        <w:t>m</w:t>
      </w:r>
      <w:r w:rsidRPr="00BD17CA">
        <w:rPr>
          <w:rFonts w:ascii="Arial" w:eastAsia="Arial" w:hAnsi="Arial" w:cs="Arial"/>
          <w:sz w:val="22"/>
          <w:szCs w:val="22"/>
        </w:rPr>
        <w:t>e</w:t>
      </w:r>
      <w:r w:rsidRPr="00094814">
        <w:rPr>
          <w:rFonts w:ascii="Arial" w:eastAsia="Arial" w:hAnsi="Arial" w:cs="Arial"/>
          <w:sz w:val="22"/>
          <w:szCs w:val="22"/>
        </w:rPr>
        <w:t>n</w:t>
      </w:r>
      <w:r w:rsidRPr="00BD17CA">
        <w:rPr>
          <w:rFonts w:ascii="Arial" w:eastAsia="Arial" w:hAnsi="Arial" w:cs="Arial"/>
          <w:sz w:val="22"/>
          <w:szCs w:val="22"/>
        </w:rPr>
        <w:t>t</w:t>
      </w:r>
      <w:r w:rsidRPr="00094814">
        <w:rPr>
          <w:rFonts w:ascii="Arial" w:eastAsia="Arial" w:hAnsi="Arial" w:cs="Arial"/>
          <w:sz w:val="22"/>
          <w:szCs w:val="22"/>
        </w:rPr>
        <w:t xml:space="preserve"> (Note </w:t>
      </w:r>
      <w:r w:rsidR="00247116" w:rsidRPr="00094814">
        <w:rPr>
          <w:rFonts w:ascii="Arial" w:eastAsia="Arial" w:hAnsi="Arial" w:cs="Arial"/>
          <w:sz w:val="22"/>
          <w:szCs w:val="22"/>
        </w:rPr>
        <w:t>1</w:t>
      </w:r>
      <w:r w:rsidR="00247116">
        <w:rPr>
          <w:rFonts w:ascii="Arial" w:eastAsia="Arial" w:hAnsi="Arial" w:cs="Arial"/>
          <w:sz w:val="22"/>
          <w:szCs w:val="22"/>
        </w:rPr>
        <w:t>7</w:t>
      </w:r>
      <w:r w:rsidRPr="00094814">
        <w:rPr>
          <w:rFonts w:ascii="Arial" w:eastAsia="Arial" w:hAnsi="Arial" w:cs="Arial"/>
          <w:sz w:val="22"/>
          <w:szCs w:val="22"/>
        </w:rPr>
        <w:t>).</w:t>
      </w:r>
    </w:p>
    <w:p w14:paraId="40FF94AA" w14:textId="7A249854" w:rsidR="009C7422" w:rsidRPr="00B13795" w:rsidRDefault="00716307" w:rsidP="00B13795">
      <w:pPr>
        <w:spacing w:after="200" w:line="276" w:lineRule="auto"/>
        <w:ind w:right="74"/>
        <w:jc w:val="both"/>
        <w:rPr>
          <w:rFonts w:ascii="Arial" w:eastAsia="Arial" w:hAnsi="Arial" w:cs="Arial"/>
          <w:b/>
          <w:sz w:val="22"/>
          <w:szCs w:val="22"/>
        </w:rPr>
      </w:pPr>
      <w:r>
        <w:rPr>
          <w:rFonts w:ascii="Arial" w:eastAsia="Arial" w:hAnsi="Arial" w:cs="Arial"/>
          <w:b/>
          <w:sz w:val="22"/>
          <w:szCs w:val="22"/>
        </w:rPr>
        <w:t>m</w:t>
      </w:r>
      <w:r w:rsidR="001706EB" w:rsidRPr="00BD17CA">
        <w:rPr>
          <w:rFonts w:ascii="Arial" w:eastAsia="Arial" w:hAnsi="Arial" w:cs="Arial"/>
          <w:b/>
          <w:sz w:val="22"/>
          <w:szCs w:val="22"/>
        </w:rPr>
        <w:t xml:space="preserve">) </w:t>
      </w:r>
      <w:r w:rsidR="001706EB" w:rsidRPr="00B13795">
        <w:rPr>
          <w:rFonts w:ascii="Arial" w:eastAsia="Arial" w:hAnsi="Arial" w:cs="Arial"/>
          <w:b/>
          <w:sz w:val="22"/>
          <w:szCs w:val="22"/>
        </w:rPr>
        <w:t>A</w:t>
      </w:r>
      <w:r w:rsidR="001706EB" w:rsidRPr="00BD17CA">
        <w:rPr>
          <w:rFonts w:ascii="Arial" w:eastAsia="Arial" w:hAnsi="Arial" w:cs="Arial"/>
          <w:b/>
          <w:sz w:val="22"/>
          <w:szCs w:val="22"/>
        </w:rPr>
        <w:t>dditio</w:t>
      </w:r>
      <w:r w:rsidR="001706EB" w:rsidRPr="00B13795">
        <w:rPr>
          <w:rFonts w:ascii="Arial" w:eastAsia="Arial" w:hAnsi="Arial" w:cs="Arial"/>
          <w:b/>
          <w:sz w:val="22"/>
          <w:szCs w:val="22"/>
        </w:rPr>
        <w:t>n</w:t>
      </w:r>
      <w:r w:rsidR="001706EB" w:rsidRPr="00BD17CA">
        <w:rPr>
          <w:rFonts w:ascii="Arial" w:eastAsia="Arial" w:hAnsi="Arial" w:cs="Arial"/>
          <w:b/>
          <w:sz w:val="22"/>
          <w:szCs w:val="22"/>
        </w:rPr>
        <w:t>al</w:t>
      </w:r>
      <w:r w:rsidR="001706EB" w:rsidRPr="00B13795">
        <w:rPr>
          <w:rFonts w:ascii="Arial" w:eastAsia="Arial" w:hAnsi="Arial" w:cs="Arial"/>
          <w:b/>
          <w:sz w:val="22"/>
          <w:szCs w:val="22"/>
        </w:rPr>
        <w:t xml:space="preserve"> V</w:t>
      </w:r>
      <w:r w:rsidR="001706EB" w:rsidRPr="00BD17CA">
        <w:rPr>
          <w:rFonts w:ascii="Arial" w:eastAsia="Arial" w:hAnsi="Arial" w:cs="Arial"/>
          <w:b/>
          <w:sz w:val="22"/>
          <w:szCs w:val="22"/>
        </w:rPr>
        <w:t>olu</w:t>
      </w:r>
      <w:r w:rsidR="001706EB" w:rsidRPr="00B13795">
        <w:rPr>
          <w:rFonts w:ascii="Arial" w:eastAsia="Arial" w:hAnsi="Arial" w:cs="Arial"/>
          <w:b/>
          <w:sz w:val="22"/>
          <w:szCs w:val="22"/>
        </w:rPr>
        <w:t>ntar</w:t>
      </w:r>
      <w:r w:rsidR="001706EB" w:rsidRPr="00BD17CA">
        <w:rPr>
          <w:rFonts w:ascii="Arial" w:eastAsia="Arial" w:hAnsi="Arial" w:cs="Arial"/>
          <w:b/>
          <w:sz w:val="22"/>
          <w:szCs w:val="22"/>
        </w:rPr>
        <w:t>y</w:t>
      </w:r>
      <w:r w:rsidR="001706EB" w:rsidRPr="00B13795">
        <w:rPr>
          <w:rFonts w:ascii="Arial" w:eastAsia="Arial" w:hAnsi="Arial" w:cs="Arial"/>
          <w:b/>
          <w:sz w:val="22"/>
          <w:szCs w:val="22"/>
        </w:rPr>
        <w:t xml:space="preserve"> C</w:t>
      </w:r>
      <w:r w:rsidR="001706EB" w:rsidRPr="00BD17CA">
        <w:rPr>
          <w:rFonts w:ascii="Arial" w:eastAsia="Arial" w:hAnsi="Arial" w:cs="Arial"/>
          <w:b/>
          <w:sz w:val="22"/>
          <w:szCs w:val="22"/>
        </w:rPr>
        <w:t>on</w:t>
      </w:r>
      <w:r w:rsidR="001706EB" w:rsidRPr="00B13795">
        <w:rPr>
          <w:rFonts w:ascii="Arial" w:eastAsia="Arial" w:hAnsi="Arial" w:cs="Arial"/>
          <w:b/>
          <w:sz w:val="22"/>
          <w:szCs w:val="22"/>
        </w:rPr>
        <w:t>tr</w:t>
      </w:r>
      <w:r w:rsidR="001706EB" w:rsidRPr="00BD17CA">
        <w:rPr>
          <w:rFonts w:ascii="Arial" w:eastAsia="Arial" w:hAnsi="Arial" w:cs="Arial"/>
          <w:b/>
          <w:sz w:val="22"/>
          <w:szCs w:val="22"/>
        </w:rPr>
        <w:t>ib</w:t>
      </w:r>
      <w:r w:rsidR="001706EB" w:rsidRPr="00B13795">
        <w:rPr>
          <w:rFonts w:ascii="Arial" w:eastAsia="Arial" w:hAnsi="Arial" w:cs="Arial"/>
          <w:b/>
          <w:sz w:val="22"/>
          <w:szCs w:val="22"/>
        </w:rPr>
        <w:t>ut</w:t>
      </w:r>
      <w:r w:rsidR="001706EB" w:rsidRPr="00BD17CA">
        <w:rPr>
          <w:rFonts w:ascii="Arial" w:eastAsia="Arial" w:hAnsi="Arial" w:cs="Arial"/>
          <w:b/>
          <w:sz w:val="22"/>
          <w:szCs w:val="22"/>
        </w:rPr>
        <w:t>io</w:t>
      </w:r>
      <w:r w:rsidR="001706EB" w:rsidRPr="00B13795">
        <w:rPr>
          <w:rFonts w:ascii="Arial" w:eastAsia="Arial" w:hAnsi="Arial" w:cs="Arial"/>
          <w:b/>
          <w:sz w:val="22"/>
          <w:szCs w:val="22"/>
        </w:rPr>
        <w:t>n</w:t>
      </w:r>
      <w:r w:rsidR="001706EB" w:rsidRPr="00BD17CA">
        <w:rPr>
          <w:rFonts w:ascii="Arial" w:eastAsia="Arial" w:hAnsi="Arial" w:cs="Arial"/>
          <w:b/>
          <w:sz w:val="22"/>
          <w:szCs w:val="22"/>
        </w:rPr>
        <w:t>s</w:t>
      </w:r>
    </w:p>
    <w:p w14:paraId="4DB2D5DB" w14:textId="5D0EA586" w:rsidR="009C7422" w:rsidRPr="00BD17CA" w:rsidRDefault="001706EB" w:rsidP="00B13795">
      <w:pPr>
        <w:spacing w:after="200" w:line="276" w:lineRule="auto"/>
        <w:ind w:right="74"/>
        <w:jc w:val="both"/>
        <w:rPr>
          <w:rFonts w:ascii="Arial" w:eastAsia="Arial" w:hAnsi="Arial" w:cs="Arial"/>
          <w:sz w:val="22"/>
          <w:szCs w:val="22"/>
        </w:rPr>
      </w:pPr>
      <w:r w:rsidRPr="00B13795">
        <w:rPr>
          <w:rFonts w:ascii="Arial" w:eastAsia="Arial" w:hAnsi="Arial" w:cs="Arial"/>
          <w:sz w:val="22"/>
          <w:szCs w:val="22"/>
        </w:rPr>
        <w:t>T</w:t>
      </w:r>
      <w:r w:rsidRPr="00BD17CA">
        <w:rPr>
          <w:rFonts w:ascii="Arial" w:eastAsia="Arial" w:hAnsi="Arial" w:cs="Arial"/>
          <w:sz w:val="22"/>
          <w:szCs w:val="22"/>
        </w:rPr>
        <w:t>he</w:t>
      </w:r>
      <w:r w:rsidRPr="00B13795">
        <w:rPr>
          <w:rFonts w:ascii="Arial" w:eastAsia="Arial" w:hAnsi="Arial" w:cs="Arial"/>
          <w:sz w:val="22"/>
          <w:szCs w:val="22"/>
        </w:rPr>
        <w:t xml:space="preserve"> </w:t>
      </w:r>
      <w:r w:rsidRPr="00BD17CA">
        <w:rPr>
          <w:rFonts w:ascii="Arial" w:eastAsia="Arial" w:hAnsi="Arial" w:cs="Arial"/>
          <w:sz w:val="22"/>
          <w:szCs w:val="22"/>
        </w:rPr>
        <w:t>L</w:t>
      </w:r>
      <w:r w:rsidRPr="00B13795">
        <w:rPr>
          <w:rFonts w:ascii="Arial" w:eastAsia="Arial" w:hAnsi="Arial" w:cs="Arial"/>
          <w:sz w:val="22"/>
          <w:szCs w:val="22"/>
        </w:rPr>
        <w:t>o</w:t>
      </w:r>
      <w:r w:rsidRPr="00BD17CA">
        <w:rPr>
          <w:rFonts w:ascii="Arial" w:eastAsia="Arial" w:hAnsi="Arial" w:cs="Arial"/>
          <w:sz w:val="22"/>
          <w:szCs w:val="22"/>
        </w:rPr>
        <w:t>n</w:t>
      </w:r>
      <w:r w:rsidRPr="00B13795">
        <w:rPr>
          <w:rFonts w:ascii="Arial" w:eastAsia="Arial" w:hAnsi="Arial" w:cs="Arial"/>
          <w:sz w:val="22"/>
          <w:szCs w:val="22"/>
        </w:rPr>
        <w:t>d</w:t>
      </w:r>
      <w:r w:rsidRPr="00BD17CA">
        <w:rPr>
          <w:rFonts w:ascii="Arial" w:eastAsia="Arial" w:hAnsi="Arial" w:cs="Arial"/>
          <w:sz w:val="22"/>
          <w:szCs w:val="22"/>
        </w:rPr>
        <w:t>on</w:t>
      </w:r>
      <w:r w:rsidRPr="00B13795">
        <w:rPr>
          <w:rFonts w:ascii="Arial" w:eastAsia="Arial" w:hAnsi="Arial" w:cs="Arial"/>
          <w:sz w:val="22"/>
          <w:szCs w:val="22"/>
        </w:rPr>
        <w:t xml:space="preserve"> B</w:t>
      </w:r>
      <w:r w:rsidRPr="00BD17CA">
        <w:rPr>
          <w:rFonts w:ascii="Arial" w:eastAsia="Arial" w:hAnsi="Arial" w:cs="Arial"/>
          <w:sz w:val="22"/>
          <w:szCs w:val="22"/>
        </w:rPr>
        <w:t>or</w:t>
      </w:r>
      <w:r w:rsidRPr="00B13795">
        <w:rPr>
          <w:rFonts w:ascii="Arial" w:eastAsia="Arial" w:hAnsi="Arial" w:cs="Arial"/>
          <w:sz w:val="22"/>
          <w:szCs w:val="22"/>
        </w:rPr>
        <w:t>o</w:t>
      </w:r>
      <w:r w:rsidRPr="00BD17CA">
        <w:rPr>
          <w:rFonts w:ascii="Arial" w:eastAsia="Arial" w:hAnsi="Arial" w:cs="Arial"/>
          <w:sz w:val="22"/>
          <w:szCs w:val="22"/>
        </w:rPr>
        <w:t>u</w:t>
      </w:r>
      <w:r w:rsidRPr="00B13795">
        <w:rPr>
          <w:rFonts w:ascii="Arial" w:eastAsia="Arial" w:hAnsi="Arial" w:cs="Arial"/>
          <w:sz w:val="22"/>
          <w:szCs w:val="22"/>
        </w:rPr>
        <w:t>g</w:t>
      </w:r>
      <w:r w:rsidRPr="00BD17CA">
        <w:rPr>
          <w:rFonts w:ascii="Arial" w:eastAsia="Arial" w:hAnsi="Arial" w:cs="Arial"/>
          <w:sz w:val="22"/>
          <w:szCs w:val="22"/>
        </w:rPr>
        <w:t>h</w:t>
      </w:r>
      <w:r w:rsidRPr="00B13795">
        <w:rPr>
          <w:rFonts w:ascii="Arial" w:eastAsia="Arial" w:hAnsi="Arial" w:cs="Arial"/>
          <w:sz w:val="22"/>
          <w:szCs w:val="22"/>
        </w:rPr>
        <w:t xml:space="preserve"> </w:t>
      </w:r>
      <w:r w:rsidRPr="00BD17CA">
        <w:rPr>
          <w:rFonts w:ascii="Arial" w:eastAsia="Arial" w:hAnsi="Arial" w:cs="Arial"/>
          <w:sz w:val="22"/>
          <w:szCs w:val="22"/>
        </w:rPr>
        <w:t>of</w:t>
      </w:r>
      <w:r w:rsidRPr="00B13795">
        <w:rPr>
          <w:rFonts w:ascii="Arial" w:eastAsia="Arial" w:hAnsi="Arial" w:cs="Arial"/>
          <w:sz w:val="22"/>
          <w:szCs w:val="22"/>
        </w:rPr>
        <w:t xml:space="preserve"> W</w:t>
      </w:r>
      <w:r w:rsidRPr="00BD17CA">
        <w:rPr>
          <w:rFonts w:ascii="Arial" w:eastAsia="Arial" w:hAnsi="Arial" w:cs="Arial"/>
          <w:sz w:val="22"/>
          <w:szCs w:val="22"/>
        </w:rPr>
        <w:t>a</w:t>
      </w:r>
      <w:r w:rsidRPr="00B13795">
        <w:rPr>
          <w:rFonts w:ascii="Arial" w:eastAsia="Arial" w:hAnsi="Arial" w:cs="Arial"/>
          <w:sz w:val="22"/>
          <w:szCs w:val="22"/>
        </w:rPr>
        <w:t>l</w:t>
      </w:r>
      <w:r w:rsidRPr="00BD17CA">
        <w:rPr>
          <w:rFonts w:ascii="Arial" w:eastAsia="Arial" w:hAnsi="Arial" w:cs="Arial"/>
          <w:sz w:val="22"/>
          <w:szCs w:val="22"/>
        </w:rPr>
        <w:t>t</w:t>
      </w:r>
      <w:r w:rsidRPr="00B13795">
        <w:rPr>
          <w:rFonts w:ascii="Arial" w:eastAsia="Arial" w:hAnsi="Arial" w:cs="Arial"/>
          <w:sz w:val="22"/>
          <w:szCs w:val="22"/>
        </w:rPr>
        <w:t>h</w:t>
      </w:r>
      <w:r w:rsidRPr="00BD17CA">
        <w:rPr>
          <w:rFonts w:ascii="Arial" w:eastAsia="Arial" w:hAnsi="Arial" w:cs="Arial"/>
          <w:sz w:val="22"/>
          <w:szCs w:val="22"/>
        </w:rPr>
        <w:t>am</w:t>
      </w:r>
      <w:r w:rsidRPr="00B13795">
        <w:rPr>
          <w:rFonts w:ascii="Arial" w:eastAsia="Arial" w:hAnsi="Arial" w:cs="Arial"/>
          <w:sz w:val="22"/>
          <w:szCs w:val="22"/>
        </w:rPr>
        <w:t xml:space="preserve"> </w:t>
      </w:r>
      <w:r w:rsidRPr="00BD17CA">
        <w:rPr>
          <w:rFonts w:ascii="Arial" w:eastAsia="Arial" w:hAnsi="Arial" w:cs="Arial"/>
          <w:sz w:val="22"/>
          <w:szCs w:val="22"/>
        </w:rPr>
        <w:t>Fore</w:t>
      </w:r>
      <w:r w:rsidRPr="00B13795">
        <w:rPr>
          <w:rFonts w:ascii="Arial" w:eastAsia="Arial" w:hAnsi="Arial" w:cs="Arial"/>
          <w:sz w:val="22"/>
          <w:szCs w:val="22"/>
        </w:rPr>
        <w:t>s</w:t>
      </w:r>
      <w:r w:rsidRPr="00BD17CA">
        <w:rPr>
          <w:rFonts w:ascii="Arial" w:eastAsia="Arial" w:hAnsi="Arial" w:cs="Arial"/>
          <w:sz w:val="22"/>
          <w:szCs w:val="22"/>
        </w:rPr>
        <w:t>t</w:t>
      </w:r>
      <w:r w:rsidRPr="00B13795">
        <w:rPr>
          <w:rFonts w:ascii="Arial" w:eastAsia="Arial" w:hAnsi="Arial" w:cs="Arial"/>
          <w:sz w:val="22"/>
          <w:szCs w:val="22"/>
        </w:rPr>
        <w:t xml:space="preserve"> P</w:t>
      </w:r>
      <w:r w:rsidRPr="00BD17CA">
        <w:rPr>
          <w:rFonts w:ascii="Arial" w:eastAsia="Arial" w:hAnsi="Arial" w:cs="Arial"/>
          <w:sz w:val="22"/>
          <w:szCs w:val="22"/>
        </w:rPr>
        <w:t>e</w:t>
      </w:r>
      <w:r w:rsidRPr="00B13795">
        <w:rPr>
          <w:rFonts w:ascii="Arial" w:eastAsia="Arial" w:hAnsi="Arial" w:cs="Arial"/>
          <w:sz w:val="22"/>
          <w:szCs w:val="22"/>
        </w:rPr>
        <w:t>nsi</w:t>
      </w:r>
      <w:r w:rsidRPr="00BD17CA">
        <w:rPr>
          <w:rFonts w:ascii="Arial" w:eastAsia="Arial" w:hAnsi="Arial" w:cs="Arial"/>
          <w:sz w:val="22"/>
          <w:szCs w:val="22"/>
        </w:rPr>
        <w:t>on</w:t>
      </w:r>
      <w:r w:rsidRPr="00B13795">
        <w:rPr>
          <w:rFonts w:ascii="Arial" w:eastAsia="Arial" w:hAnsi="Arial" w:cs="Arial"/>
          <w:sz w:val="22"/>
          <w:szCs w:val="22"/>
        </w:rPr>
        <w:t xml:space="preserve"> </w:t>
      </w:r>
      <w:r w:rsidRPr="00BD17CA">
        <w:rPr>
          <w:rFonts w:ascii="Arial" w:eastAsia="Arial" w:hAnsi="Arial" w:cs="Arial"/>
          <w:sz w:val="22"/>
          <w:szCs w:val="22"/>
        </w:rPr>
        <w:t>F</w:t>
      </w:r>
      <w:r w:rsidRPr="00B13795">
        <w:rPr>
          <w:rFonts w:ascii="Arial" w:eastAsia="Arial" w:hAnsi="Arial" w:cs="Arial"/>
          <w:sz w:val="22"/>
          <w:szCs w:val="22"/>
        </w:rPr>
        <w:t>u</w:t>
      </w:r>
      <w:r w:rsidRPr="00BD17CA">
        <w:rPr>
          <w:rFonts w:ascii="Arial" w:eastAsia="Arial" w:hAnsi="Arial" w:cs="Arial"/>
          <w:sz w:val="22"/>
          <w:szCs w:val="22"/>
        </w:rPr>
        <w:t>nd</w:t>
      </w:r>
      <w:r w:rsidRPr="00B13795">
        <w:rPr>
          <w:rFonts w:ascii="Arial" w:eastAsia="Arial" w:hAnsi="Arial" w:cs="Arial"/>
          <w:sz w:val="22"/>
          <w:szCs w:val="22"/>
        </w:rPr>
        <w:t xml:space="preserve"> </w:t>
      </w:r>
      <w:r w:rsidRPr="00BD17CA">
        <w:rPr>
          <w:rFonts w:ascii="Arial" w:eastAsia="Arial" w:hAnsi="Arial" w:cs="Arial"/>
          <w:sz w:val="22"/>
          <w:szCs w:val="22"/>
        </w:rPr>
        <w:t>p</w:t>
      </w:r>
      <w:r w:rsidRPr="00B13795">
        <w:rPr>
          <w:rFonts w:ascii="Arial" w:eastAsia="Arial" w:hAnsi="Arial" w:cs="Arial"/>
          <w:sz w:val="22"/>
          <w:szCs w:val="22"/>
        </w:rPr>
        <w:t>r</w:t>
      </w:r>
      <w:r w:rsidRPr="00BD17CA">
        <w:rPr>
          <w:rFonts w:ascii="Arial" w:eastAsia="Arial" w:hAnsi="Arial" w:cs="Arial"/>
          <w:sz w:val="22"/>
          <w:szCs w:val="22"/>
        </w:rPr>
        <w:t>o</w:t>
      </w:r>
      <w:r w:rsidRPr="00B13795">
        <w:rPr>
          <w:rFonts w:ascii="Arial" w:eastAsia="Arial" w:hAnsi="Arial" w:cs="Arial"/>
          <w:sz w:val="22"/>
          <w:szCs w:val="22"/>
        </w:rPr>
        <w:t>vi</w:t>
      </w:r>
      <w:r w:rsidRPr="00BD17CA">
        <w:rPr>
          <w:rFonts w:ascii="Arial" w:eastAsia="Arial" w:hAnsi="Arial" w:cs="Arial"/>
          <w:sz w:val="22"/>
          <w:szCs w:val="22"/>
        </w:rPr>
        <w:t>d</w:t>
      </w:r>
      <w:r w:rsidRPr="00B13795">
        <w:rPr>
          <w:rFonts w:ascii="Arial" w:eastAsia="Arial" w:hAnsi="Arial" w:cs="Arial"/>
          <w:sz w:val="22"/>
          <w:szCs w:val="22"/>
        </w:rPr>
        <w:t>e</w:t>
      </w:r>
      <w:r w:rsidRPr="00BD17CA">
        <w:rPr>
          <w:rFonts w:ascii="Arial" w:eastAsia="Arial" w:hAnsi="Arial" w:cs="Arial"/>
          <w:sz w:val="22"/>
          <w:szCs w:val="22"/>
        </w:rPr>
        <w:t>s</w:t>
      </w:r>
      <w:r w:rsidRPr="00B13795">
        <w:rPr>
          <w:rFonts w:ascii="Arial" w:eastAsia="Arial" w:hAnsi="Arial" w:cs="Arial"/>
          <w:sz w:val="22"/>
          <w:szCs w:val="22"/>
        </w:rPr>
        <w:t xml:space="preserve"> </w:t>
      </w:r>
      <w:r w:rsidRPr="00BD17CA">
        <w:rPr>
          <w:rFonts w:ascii="Arial" w:eastAsia="Arial" w:hAnsi="Arial" w:cs="Arial"/>
          <w:sz w:val="22"/>
          <w:szCs w:val="22"/>
        </w:rPr>
        <w:t>an</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d</w:t>
      </w:r>
      <w:r w:rsidRPr="00BD17CA">
        <w:rPr>
          <w:rFonts w:ascii="Arial" w:eastAsia="Arial" w:hAnsi="Arial" w:cs="Arial"/>
          <w:sz w:val="22"/>
          <w:szCs w:val="22"/>
        </w:rPr>
        <w:t>d</w:t>
      </w:r>
      <w:r w:rsidRPr="00B13795">
        <w:rPr>
          <w:rFonts w:ascii="Arial" w:eastAsia="Arial" w:hAnsi="Arial" w:cs="Arial"/>
          <w:sz w:val="22"/>
          <w:szCs w:val="22"/>
        </w:rPr>
        <w:t>iti</w:t>
      </w:r>
      <w:r w:rsidRPr="00BD17CA">
        <w:rPr>
          <w:rFonts w:ascii="Arial" w:eastAsia="Arial" w:hAnsi="Arial" w:cs="Arial"/>
          <w:sz w:val="22"/>
          <w:szCs w:val="22"/>
        </w:rPr>
        <w:t>o</w:t>
      </w:r>
      <w:r w:rsidRPr="00B13795">
        <w:rPr>
          <w:rFonts w:ascii="Arial" w:eastAsia="Arial" w:hAnsi="Arial" w:cs="Arial"/>
          <w:sz w:val="22"/>
          <w:szCs w:val="22"/>
        </w:rPr>
        <w:t>n</w:t>
      </w:r>
      <w:r w:rsidRPr="00BD17CA">
        <w:rPr>
          <w:rFonts w:ascii="Arial" w:eastAsia="Arial" w:hAnsi="Arial" w:cs="Arial"/>
          <w:sz w:val="22"/>
          <w:szCs w:val="22"/>
        </w:rPr>
        <w:t>al</w:t>
      </w:r>
      <w:r w:rsidRPr="00B13795">
        <w:rPr>
          <w:rFonts w:ascii="Arial" w:eastAsia="Arial" w:hAnsi="Arial" w:cs="Arial"/>
          <w:sz w:val="22"/>
          <w:szCs w:val="22"/>
        </w:rPr>
        <w:t xml:space="preserve"> vol</w:t>
      </w:r>
      <w:r w:rsidRPr="00BD17CA">
        <w:rPr>
          <w:rFonts w:ascii="Arial" w:eastAsia="Arial" w:hAnsi="Arial" w:cs="Arial"/>
          <w:sz w:val="22"/>
          <w:szCs w:val="22"/>
        </w:rPr>
        <w:t>u</w:t>
      </w:r>
      <w:r w:rsidRPr="00B13795">
        <w:rPr>
          <w:rFonts w:ascii="Arial" w:eastAsia="Arial" w:hAnsi="Arial" w:cs="Arial"/>
          <w:sz w:val="22"/>
          <w:szCs w:val="22"/>
        </w:rPr>
        <w:t>nt</w:t>
      </w:r>
      <w:r w:rsidRPr="00BD17CA">
        <w:rPr>
          <w:rFonts w:ascii="Arial" w:eastAsia="Arial" w:hAnsi="Arial" w:cs="Arial"/>
          <w:sz w:val="22"/>
          <w:szCs w:val="22"/>
        </w:rPr>
        <w:t>a</w:t>
      </w:r>
      <w:r w:rsidRPr="00B13795">
        <w:rPr>
          <w:rFonts w:ascii="Arial" w:eastAsia="Arial" w:hAnsi="Arial" w:cs="Arial"/>
          <w:sz w:val="22"/>
          <w:szCs w:val="22"/>
        </w:rPr>
        <w:t>r</w:t>
      </w:r>
      <w:r w:rsidRPr="00BD17CA">
        <w:rPr>
          <w:rFonts w:ascii="Arial" w:eastAsia="Arial" w:hAnsi="Arial" w:cs="Arial"/>
          <w:sz w:val="22"/>
          <w:szCs w:val="22"/>
        </w:rPr>
        <w:t>y</w:t>
      </w:r>
      <w:r w:rsidRPr="00B13795">
        <w:rPr>
          <w:rFonts w:ascii="Arial" w:eastAsia="Arial" w:hAnsi="Arial" w:cs="Arial"/>
          <w:sz w:val="22"/>
          <w:szCs w:val="22"/>
        </w:rPr>
        <w:t xml:space="preserve"> c</w:t>
      </w:r>
      <w:r w:rsidRPr="00BD17CA">
        <w:rPr>
          <w:rFonts w:ascii="Arial" w:eastAsia="Arial" w:hAnsi="Arial" w:cs="Arial"/>
          <w:sz w:val="22"/>
          <w:szCs w:val="22"/>
        </w:rPr>
        <w:t>o</w:t>
      </w:r>
      <w:r w:rsidRPr="00B13795">
        <w:rPr>
          <w:rFonts w:ascii="Arial" w:eastAsia="Arial" w:hAnsi="Arial" w:cs="Arial"/>
          <w:sz w:val="22"/>
          <w:szCs w:val="22"/>
        </w:rPr>
        <w:t>n</w:t>
      </w:r>
      <w:r w:rsidRPr="00BD17CA">
        <w:rPr>
          <w:rFonts w:ascii="Arial" w:eastAsia="Arial" w:hAnsi="Arial" w:cs="Arial"/>
          <w:sz w:val="22"/>
          <w:szCs w:val="22"/>
        </w:rPr>
        <w:t>tr</w:t>
      </w:r>
      <w:r w:rsidRPr="00B13795">
        <w:rPr>
          <w:rFonts w:ascii="Arial" w:eastAsia="Arial" w:hAnsi="Arial" w:cs="Arial"/>
          <w:sz w:val="22"/>
          <w:szCs w:val="22"/>
        </w:rPr>
        <w:t>i</w:t>
      </w:r>
      <w:r w:rsidRPr="00BD17CA">
        <w:rPr>
          <w:rFonts w:ascii="Arial" w:eastAsia="Arial" w:hAnsi="Arial" w:cs="Arial"/>
          <w:sz w:val="22"/>
          <w:szCs w:val="22"/>
        </w:rPr>
        <w:t>b</w:t>
      </w:r>
      <w:r w:rsidRPr="00B13795">
        <w:rPr>
          <w:rFonts w:ascii="Arial" w:eastAsia="Arial" w:hAnsi="Arial" w:cs="Arial"/>
          <w:sz w:val="22"/>
          <w:szCs w:val="22"/>
        </w:rPr>
        <w:t>uti</w:t>
      </w:r>
      <w:r w:rsidRPr="00BD17CA">
        <w:rPr>
          <w:rFonts w:ascii="Arial" w:eastAsia="Arial" w:hAnsi="Arial" w:cs="Arial"/>
          <w:sz w:val="22"/>
          <w:szCs w:val="22"/>
        </w:rPr>
        <w:t>on</w:t>
      </w:r>
      <w:r w:rsidRPr="00B13795">
        <w:rPr>
          <w:rFonts w:ascii="Arial" w:eastAsia="Arial" w:hAnsi="Arial" w:cs="Arial"/>
          <w:sz w:val="22"/>
          <w:szCs w:val="22"/>
        </w:rPr>
        <w:t xml:space="preserve"> (AV</w:t>
      </w:r>
      <w:r w:rsidRPr="00BD17CA">
        <w:rPr>
          <w:rFonts w:ascii="Arial" w:eastAsia="Arial" w:hAnsi="Arial" w:cs="Arial"/>
          <w:sz w:val="22"/>
          <w:szCs w:val="22"/>
        </w:rPr>
        <w:t>C)</w:t>
      </w:r>
      <w:r w:rsidR="00B13795">
        <w:rPr>
          <w:rFonts w:ascii="Arial" w:eastAsia="Arial" w:hAnsi="Arial" w:cs="Arial"/>
          <w:sz w:val="22"/>
          <w:szCs w:val="22"/>
        </w:rPr>
        <w:t xml:space="preserve"> </w:t>
      </w:r>
      <w:r w:rsidRPr="00B13795">
        <w:rPr>
          <w:rFonts w:ascii="Arial" w:eastAsia="Arial" w:hAnsi="Arial" w:cs="Arial"/>
          <w:sz w:val="22"/>
          <w:szCs w:val="22"/>
        </w:rPr>
        <w:t>sc</w:t>
      </w:r>
      <w:r w:rsidRPr="00BD17CA">
        <w:rPr>
          <w:rFonts w:ascii="Arial" w:eastAsia="Arial" w:hAnsi="Arial" w:cs="Arial"/>
          <w:sz w:val="22"/>
          <w:szCs w:val="22"/>
        </w:rPr>
        <w:t>h</w:t>
      </w:r>
      <w:r w:rsidRPr="00B13795">
        <w:rPr>
          <w:rFonts w:ascii="Arial" w:eastAsia="Arial" w:hAnsi="Arial" w:cs="Arial"/>
          <w:sz w:val="22"/>
          <w:szCs w:val="22"/>
        </w:rPr>
        <w:t>em</w:t>
      </w:r>
      <w:r w:rsidRPr="00BD17CA">
        <w:rPr>
          <w:rFonts w:ascii="Arial" w:eastAsia="Arial" w:hAnsi="Arial" w:cs="Arial"/>
          <w:sz w:val="22"/>
          <w:szCs w:val="22"/>
        </w:rPr>
        <w:t>e</w:t>
      </w:r>
      <w:r w:rsidRPr="00B13795">
        <w:rPr>
          <w:rFonts w:ascii="Arial" w:eastAsia="Arial" w:hAnsi="Arial" w:cs="Arial"/>
          <w:sz w:val="22"/>
          <w:szCs w:val="22"/>
        </w:rPr>
        <w:t xml:space="preserve"> f</w:t>
      </w:r>
      <w:r w:rsidRPr="00BD17CA">
        <w:rPr>
          <w:rFonts w:ascii="Arial" w:eastAsia="Arial" w:hAnsi="Arial" w:cs="Arial"/>
          <w:sz w:val="22"/>
          <w:szCs w:val="22"/>
        </w:rPr>
        <w:t>or</w:t>
      </w:r>
      <w:r w:rsidRPr="00B13795">
        <w:rPr>
          <w:rFonts w:ascii="Arial" w:eastAsia="Arial" w:hAnsi="Arial" w:cs="Arial"/>
          <w:sz w:val="22"/>
          <w:szCs w:val="22"/>
        </w:rPr>
        <w:t xml:space="preserve"> i</w:t>
      </w:r>
      <w:r w:rsidRPr="00BD17CA">
        <w:rPr>
          <w:rFonts w:ascii="Arial" w:eastAsia="Arial" w:hAnsi="Arial" w:cs="Arial"/>
          <w:sz w:val="22"/>
          <w:szCs w:val="22"/>
        </w:rPr>
        <w:t>ts</w:t>
      </w:r>
      <w:r w:rsidRPr="00B13795">
        <w:rPr>
          <w:rFonts w:ascii="Arial" w:eastAsia="Arial" w:hAnsi="Arial" w:cs="Arial"/>
          <w:sz w:val="22"/>
          <w:szCs w:val="22"/>
        </w:rPr>
        <w:t xml:space="preserve"> mem</w:t>
      </w:r>
      <w:r w:rsidRPr="00BD17CA">
        <w:rPr>
          <w:rFonts w:ascii="Arial" w:eastAsia="Arial" w:hAnsi="Arial" w:cs="Arial"/>
          <w:sz w:val="22"/>
          <w:szCs w:val="22"/>
        </w:rPr>
        <w:t>b</w:t>
      </w:r>
      <w:r w:rsidRPr="00B13795">
        <w:rPr>
          <w:rFonts w:ascii="Arial" w:eastAsia="Arial" w:hAnsi="Arial" w:cs="Arial"/>
          <w:sz w:val="22"/>
          <w:szCs w:val="22"/>
        </w:rPr>
        <w:t>ers</w:t>
      </w:r>
      <w:r w:rsidRPr="00BD17CA">
        <w:rPr>
          <w:rFonts w:ascii="Arial" w:eastAsia="Arial" w:hAnsi="Arial" w:cs="Arial"/>
          <w:sz w:val="22"/>
          <w:szCs w:val="22"/>
        </w:rPr>
        <w:t>,</w:t>
      </w:r>
      <w:r w:rsidRPr="00B13795">
        <w:rPr>
          <w:rFonts w:ascii="Arial" w:eastAsia="Arial" w:hAnsi="Arial" w:cs="Arial"/>
          <w:sz w:val="22"/>
          <w:szCs w:val="22"/>
        </w:rPr>
        <w:t xml:space="preserve"> </w:t>
      </w:r>
      <w:r w:rsidRPr="00BD17CA">
        <w:rPr>
          <w:rFonts w:ascii="Arial" w:eastAsia="Arial" w:hAnsi="Arial" w:cs="Arial"/>
          <w:sz w:val="22"/>
          <w:szCs w:val="22"/>
        </w:rPr>
        <w:t>t</w:t>
      </w:r>
      <w:r w:rsidRPr="00B13795">
        <w:rPr>
          <w:rFonts w:ascii="Arial" w:eastAsia="Arial" w:hAnsi="Arial" w:cs="Arial"/>
          <w:sz w:val="22"/>
          <w:szCs w:val="22"/>
        </w:rPr>
        <w:t>h</w:t>
      </w:r>
      <w:r w:rsidRPr="00BD17CA">
        <w:rPr>
          <w:rFonts w:ascii="Arial" w:eastAsia="Arial" w:hAnsi="Arial" w:cs="Arial"/>
          <w:sz w:val="22"/>
          <w:szCs w:val="22"/>
        </w:rPr>
        <w:t>e</w:t>
      </w:r>
      <w:r w:rsidRPr="00B13795">
        <w:rPr>
          <w:rFonts w:ascii="Arial" w:eastAsia="Arial" w:hAnsi="Arial" w:cs="Arial"/>
          <w:sz w:val="22"/>
          <w:szCs w:val="22"/>
        </w:rPr>
        <w:t xml:space="preserve"> ass</w:t>
      </w:r>
      <w:r w:rsidRPr="00BD17CA">
        <w:rPr>
          <w:rFonts w:ascii="Arial" w:eastAsia="Arial" w:hAnsi="Arial" w:cs="Arial"/>
          <w:sz w:val="22"/>
          <w:szCs w:val="22"/>
        </w:rPr>
        <w:t>ets</w:t>
      </w:r>
      <w:r w:rsidRPr="00B13795">
        <w:rPr>
          <w:rFonts w:ascii="Arial" w:eastAsia="Arial" w:hAnsi="Arial" w:cs="Arial"/>
          <w:sz w:val="22"/>
          <w:szCs w:val="22"/>
        </w:rPr>
        <w:t xml:space="preserve"> </w:t>
      </w:r>
      <w:r w:rsidRPr="00BD17CA">
        <w:rPr>
          <w:rFonts w:ascii="Arial" w:eastAsia="Arial" w:hAnsi="Arial" w:cs="Arial"/>
          <w:sz w:val="22"/>
          <w:szCs w:val="22"/>
        </w:rPr>
        <w:t>of</w:t>
      </w:r>
      <w:r w:rsidRPr="00B13795">
        <w:rPr>
          <w:rFonts w:ascii="Arial" w:eastAsia="Arial" w:hAnsi="Arial" w:cs="Arial"/>
          <w:sz w:val="22"/>
          <w:szCs w:val="22"/>
        </w:rPr>
        <w:t xml:space="preserve"> </w:t>
      </w:r>
      <w:r w:rsidRPr="00BD17CA">
        <w:rPr>
          <w:rFonts w:ascii="Arial" w:eastAsia="Arial" w:hAnsi="Arial" w:cs="Arial"/>
          <w:sz w:val="22"/>
          <w:szCs w:val="22"/>
        </w:rPr>
        <w:t>wh</w:t>
      </w:r>
      <w:r w:rsidRPr="00B13795">
        <w:rPr>
          <w:rFonts w:ascii="Arial" w:eastAsia="Arial" w:hAnsi="Arial" w:cs="Arial"/>
          <w:sz w:val="22"/>
          <w:szCs w:val="22"/>
        </w:rPr>
        <w:t>ic</w:t>
      </w:r>
      <w:r w:rsidRPr="00BD17CA">
        <w:rPr>
          <w:rFonts w:ascii="Arial" w:eastAsia="Arial" w:hAnsi="Arial" w:cs="Arial"/>
          <w:sz w:val="22"/>
          <w:szCs w:val="22"/>
        </w:rPr>
        <w:t>h</w:t>
      </w:r>
      <w:r w:rsidRPr="00B13795">
        <w:rPr>
          <w:rFonts w:ascii="Arial" w:eastAsia="Arial" w:hAnsi="Arial" w:cs="Arial"/>
          <w:sz w:val="22"/>
          <w:szCs w:val="22"/>
        </w:rPr>
        <w:t xml:space="preserve"> </w:t>
      </w:r>
      <w:r w:rsidRPr="00BD17CA">
        <w:rPr>
          <w:rFonts w:ascii="Arial" w:eastAsia="Arial" w:hAnsi="Arial" w:cs="Arial"/>
          <w:sz w:val="22"/>
          <w:szCs w:val="22"/>
        </w:rPr>
        <w:t>are</w:t>
      </w:r>
      <w:r w:rsidRPr="00B13795">
        <w:rPr>
          <w:rFonts w:ascii="Arial" w:eastAsia="Arial" w:hAnsi="Arial" w:cs="Arial"/>
          <w:sz w:val="22"/>
          <w:szCs w:val="22"/>
        </w:rPr>
        <w:t xml:space="preserve"> inv</w:t>
      </w:r>
      <w:r w:rsidRPr="00BD17CA">
        <w:rPr>
          <w:rFonts w:ascii="Arial" w:eastAsia="Arial" w:hAnsi="Arial" w:cs="Arial"/>
          <w:sz w:val="22"/>
          <w:szCs w:val="22"/>
        </w:rPr>
        <w:t>e</w:t>
      </w:r>
      <w:r w:rsidRPr="00B13795">
        <w:rPr>
          <w:rFonts w:ascii="Arial" w:eastAsia="Arial" w:hAnsi="Arial" w:cs="Arial"/>
          <w:sz w:val="22"/>
          <w:szCs w:val="22"/>
        </w:rPr>
        <w:t>s</w:t>
      </w:r>
      <w:r w:rsidRPr="00BD17CA">
        <w:rPr>
          <w:rFonts w:ascii="Arial" w:eastAsia="Arial" w:hAnsi="Arial" w:cs="Arial"/>
          <w:sz w:val="22"/>
          <w:szCs w:val="22"/>
        </w:rPr>
        <w:t>ted</w:t>
      </w:r>
      <w:r w:rsidRPr="00B13795">
        <w:rPr>
          <w:rFonts w:ascii="Arial" w:eastAsia="Arial" w:hAnsi="Arial" w:cs="Arial"/>
          <w:sz w:val="22"/>
          <w:szCs w:val="22"/>
        </w:rPr>
        <w:t xml:space="preserve"> s</w:t>
      </w:r>
      <w:r w:rsidRPr="00BD17CA">
        <w:rPr>
          <w:rFonts w:ascii="Arial" w:eastAsia="Arial" w:hAnsi="Arial" w:cs="Arial"/>
          <w:sz w:val="22"/>
          <w:szCs w:val="22"/>
        </w:rPr>
        <w:t>e</w:t>
      </w:r>
      <w:r w:rsidRPr="00B13795">
        <w:rPr>
          <w:rFonts w:ascii="Arial" w:eastAsia="Arial" w:hAnsi="Arial" w:cs="Arial"/>
          <w:sz w:val="22"/>
          <w:szCs w:val="22"/>
        </w:rPr>
        <w:t>p</w:t>
      </w:r>
      <w:r w:rsidRPr="00BD17CA">
        <w:rPr>
          <w:rFonts w:ascii="Arial" w:eastAsia="Arial" w:hAnsi="Arial" w:cs="Arial"/>
          <w:sz w:val="22"/>
          <w:szCs w:val="22"/>
        </w:rPr>
        <w:t>arat</w:t>
      </w:r>
      <w:r w:rsidRPr="00B13795">
        <w:rPr>
          <w:rFonts w:ascii="Arial" w:eastAsia="Arial" w:hAnsi="Arial" w:cs="Arial"/>
          <w:sz w:val="22"/>
          <w:szCs w:val="22"/>
        </w:rPr>
        <w:t>el</w:t>
      </w:r>
      <w:r w:rsidRPr="00BD17CA">
        <w:rPr>
          <w:rFonts w:ascii="Arial" w:eastAsia="Arial" w:hAnsi="Arial" w:cs="Arial"/>
          <w:sz w:val="22"/>
          <w:szCs w:val="22"/>
        </w:rPr>
        <w:t>y</w:t>
      </w:r>
      <w:r w:rsidRPr="00B13795">
        <w:rPr>
          <w:rFonts w:ascii="Arial" w:eastAsia="Arial" w:hAnsi="Arial" w:cs="Arial"/>
          <w:sz w:val="22"/>
          <w:szCs w:val="22"/>
        </w:rPr>
        <w:t xml:space="preserve"> fro</w:t>
      </w:r>
      <w:r w:rsidRPr="00BD17CA">
        <w:rPr>
          <w:rFonts w:ascii="Arial" w:eastAsia="Arial" w:hAnsi="Arial" w:cs="Arial"/>
          <w:sz w:val="22"/>
          <w:szCs w:val="22"/>
        </w:rPr>
        <w:t>m t</w:t>
      </w:r>
      <w:r w:rsidRPr="00B13795">
        <w:rPr>
          <w:rFonts w:ascii="Arial" w:eastAsia="Arial" w:hAnsi="Arial" w:cs="Arial"/>
          <w:sz w:val="22"/>
          <w:szCs w:val="22"/>
        </w:rPr>
        <w:t>h</w:t>
      </w:r>
      <w:r w:rsidRPr="00BD17CA">
        <w:rPr>
          <w:rFonts w:ascii="Arial" w:eastAsia="Arial" w:hAnsi="Arial" w:cs="Arial"/>
          <w:sz w:val="22"/>
          <w:szCs w:val="22"/>
        </w:rPr>
        <w:t>o</w:t>
      </w:r>
      <w:r w:rsidRPr="00B13795">
        <w:rPr>
          <w:rFonts w:ascii="Arial" w:eastAsia="Arial" w:hAnsi="Arial" w:cs="Arial"/>
          <w:sz w:val="22"/>
          <w:szCs w:val="22"/>
        </w:rPr>
        <w:t>s</w:t>
      </w:r>
      <w:r w:rsidRPr="00BD17CA">
        <w:rPr>
          <w:rFonts w:ascii="Arial" w:eastAsia="Arial" w:hAnsi="Arial" w:cs="Arial"/>
          <w:sz w:val="22"/>
          <w:szCs w:val="22"/>
        </w:rPr>
        <w:t>e</w:t>
      </w:r>
      <w:r w:rsidRPr="00B13795">
        <w:rPr>
          <w:rFonts w:ascii="Arial" w:eastAsia="Arial" w:hAnsi="Arial" w:cs="Arial"/>
          <w:sz w:val="22"/>
          <w:szCs w:val="22"/>
        </w:rPr>
        <w:t xml:space="preserve"> o</w:t>
      </w:r>
      <w:r w:rsidRPr="00BD17CA">
        <w:rPr>
          <w:rFonts w:ascii="Arial" w:eastAsia="Arial" w:hAnsi="Arial" w:cs="Arial"/>
          <w:sz w:val="22"/>
          <w:szCs w:val="22"/>
        </w:rPr>
        <w:t>f t</w:t>
      </w:r>
      <w:r w:rsidRPr="00B13795">
        <w:rPr>
          <w:rFonts w:ascii="Arial" w:eastAsia="Arial" w:hAnsi="Arial" w:cs="Arial"/>
          <w:sz w:val="22"/>
          <w:szCs w:val="22"/>
        </w:rPr>
        <w:t>h</w:t>
      </w:r>
      <w:r w:rsidRPr="00BD17CA">
        <w:rPr>
          <w:rFonts w:ascii="Arial" w:eastAsia="Arial" w:hAnsi="Arial" w:cs="Arial"/>
          <w:sz w:val="22"/>
          <w:szCs w:val="22"/>
        </w:rPr>
        <w:t>e</w:t>
      </w:r>
      <w:r w:rsidRPr="00B13795">
        <w:rPr>
          <w:rFonts w:ascii="Arial" w:eastAsia="Arial" w:hAnsi="Arial" w:cs="Arial"/>
          <w:sz w:val="22"/>
          <w:szCs w:val="22"/>
        </w:rPr>
        <w:t xml:space="preserve"> Pe</w:t>
      </w:r>
      <w:r w:rsidRPr="00BD17CA">
        <w:rPr>
          <w:rFonts w:ascii="Arial" w:eastAsia="Arial" w:hAnsi="Arial" w:cs="Arial"/>
          <w:sz w:val="22"/>
          <w:szCs w:val="22"/>
        </w:rPr>
        <w:t>n</w:t>
      </w:r>
      <w:r w:rsidRPr="00B13795">
        <w:rPr>
          <w:rFonts w:ascii="Arial" w:eastAsia="Arial" w:hAnsi="Arial" w:cs="Arial"/>
          <w:sz w:val="22"/>
          <w:szCs w:val="22"/>
        </w:rPr>
        <w:t>si</w:t>
      </w:r>
      <w:r w:rsidRPr="00BD17CA">
        <w:rPr>
          <w:rFonts w:ascii="Arial" w:eastAsia="Arial" w:hAnsi="Arial" w:cs="Arial"/>
          <w:sz w:val="22"/>
          <w:szCs w:val="22"/>
        </w:rPr>
        <w:t>on</w:t>
      </w:r>
      <w:r w:rsidRPr="00B13795">
        <w:rPr>
          <w:rFonts w:ascii="Arial" w:eastAsia="Arial" w:hAnsi="Arial" w:cs="Arial"/>
          <w:sz w:val="22"/>
          <w:szCs w:val="22"/>
        </w:rPr>
        <w:t xml:space="preserve"> </w:t>
      </w:r>
      <w:r w:rsidRPr="00BD17CA">
        <w:rPr>
          <w:rFonts w:ascii="Arial" w:eastAsia="Arial" w:hAnsi="Arial" w:cs="Arial"/>
          <w:sz w:val="22"/>
          <w:szCs w:val="22"/>
        </w:rPr>
        <w:t>Fu</w:t>
      </w:r>
      <w:r w:rsidRPr="00B13795">
        <w:rPr>
          <w:rFonts w:ascii="Arial" w:eastAsia="Arial" w:hAnsi="Arial" w:cs="Arial"/>
          <w:sz w:val="22"/>
          <w:szCs w:val="22"/>
        </w:rPr>
        <w:t>n</w:t>
      </w:r>
      <w:r w:rsidRPr="00BD17CA">
        <w:rPr>
          <w:rFonts w:ascii="Arial" w:eastAsia="Arial" w:hAnsi="Arial" w:cs="Arial"/>
          <w:sz w:val="22"/>
          <w:szCs w:val="22"/>
        </w:rPr>
        <w:t>d.</w:t>
      </w:r>
    </w:p>
    <w:p w14:paraId="2489BC28" w14:textId="43865D80" w:rsidR="009C7422" w:rsidRPr="00BD17CA" w:rsidRDefault="001706EB" w:rsidP="00B13795">
      <w:pPr>
        <w:spacing w:after="200" w:line="276" w:lineRule="auto"/>
        <w:ind w:right="74"/>
        <w:jc w:val="both"/>
        <w:rPr>
          <w:rFonts w:ascii="Arial" w:eastAsia="Arial" w:hAnsi="Arial" w:cs="Arial"/>
          <w:sz w:val="22"/>
          <w:szCs w:val="22"/>
        </w:rPr>
      </w:pPr>
      <w:r w:rsidRPr="00B13795">
        <w:rPr>
          <w:rFonts w:ascii="Arial" w:eastAsia="Arial" w:hAnsi="Arial" w:cs="Arial"/>
          <w:sz w:val="22"/>
          <w:szCs w:val="22"/>
        </w:rPr>
        <w:t>AV</w:t>
      </w:r>
      <w:r w:rsidRPr="00BD17CA">
        <w:rPr>
          <w:rFonts w:ascii="Arial" w:eastAsia="Arial" w:hAnsi="Arial" w:cs="Arial"/>
          <w:sz w:val="22"/>
          <w:szCs w:val="22"/>
        </w:rPr>
        <w:t>Cs</w:t>
      </w:r>
      <w:r w:rsidRPr="00B13795">
        <w:rPr>
          <w:rFonts w:ascii="Arial" w:eastAsia="Arial" w:hAnsi="Arial" w:cs="Arial"/>
          <w:sz w:val="22"/>
          <w:szCs w:val="22"/>
        </w:rPr>
        <w:t xml:space="preserve"> </w:t>
      </w:r>
      <w:r w:rsidRPr="00BD17CA">
        <w:rPr>
          <w:rFonts w:ascii="Arial" w:eastAsia="Arial" w:hAnsi="Arial" w:cs="Arial"/>
          <w:sz w:val="22"/>
          <w:szCs w:val="22"/>
        </w:rPr>
        <w:t>are</w:t>
      </w:r>
      <w:r w:rsidRPr="00B13795">
        <w:rPr>
          <w:rFonts w:ascii="Arial" w:eastAsia="Arial" w:hAnsi="Arial" w:cs="Arial"/>
          <w:sz w:val="22"/>
          <w:szCs w:val="22"/>
        </w:rPr>
        <w:t xml:space="preserve"> n</w:t>
      </w:r>
      <w:r w:rsidRPr="00BD17CA">
        <w:rPr>
          <w:rFonts w:ascii="Arial" w:eastAsia="Arial" w:hAnsi="Arial" w:cs="Arial"/>
          <w:sz w:val="22"/>
          <w:szCs w:val="22"/>
        </w:rPr>
        <w:t>ot</w:t>
      </w:r>
      <w:r w:rsidRPr="00B13795">
        <w:rPr>
          <w:rFonts w:ascii="Arial" w:eastAsia="Arial" w:hAnsi="Arial" w:cs="Arial"/>
          <w:sz w:val="22"/>
          <w:szCs w:val="22"/>
        </w:rPr>
        <w:t xml:space="preserve"> i</w:t>
      </w:r>
      <w:r w:rsidRPr="00BD17CA">
        <w:rPr>
          <w:rFonts w:ascii="Arial" w:eastAsia="Arial" w:hAnsi="Arial" w:cs="Arial"/>
          <w:sz w:val="22"/>
          <w:szCs w:val="22"/>
        </w:rPr>
        <w:t>n</w:t>
      </w:r>
      <w:r w:rsidRPr="00B13795">
        <w:rPr>
          <w:rFonts w:ascii="Arial" w:eastAsia="Arial" w:hAnsi="Arial" w:cs="Arial"/>
          <w:sz w:val="22"/>
          <w:szCs w:val="22"/>
        </w:rPr>
        <w:t>clu</w:t>
      </w:r>
      <w:r w:rsidRPr="00BD17CA">
        <w:rPr>
          <w:rFonts w:ascii="Arial" w:eastAsia="Arial" w:hAnsi="Arial" w:cs="Arial"/>
          <w:sz w:val="22"/>
          <w:szCs w:val="22"/>
        </w:rPr>
        <w:t>d</w:t>
      </w:r>
      <w:r w:rsidRPr="00B13795">
        <w:rPr>
          <w:rFonts w:ascii="Arial" w:eastAsia="Arial" w:hAnsi="Arial" w:cs="Arial"/>
          <w:sz w:val="22"/>
          <w:szCs w:val="22"/>
        </w:rPr>
        <w:t>e</w:t>
      </w:r>
      <w:r w:rsidRPr="00BD17CA">
        <w:rPr>
          <w:rFonts w:ascii="Arial" w:eastAsia="Arial" w:hAnsi="Arial" w:cs="Arial"/>
          <w:sz w:val="22"/>
          <w:szCs w:val="22"/>
        </w:rPr>
        <w:t>d</w:t>
      </w:r>
      <w:r w:rsidRPr="00B13795">
        <w:rPr>
          <w:rFonts w:ascii="Arial" w:eastAsia="Arial" w:hAnsi="Arial" w:cs="Arial"/>
          <w:sz w:val="22"/>
          <w:szCs w:val="22"/>
        </w:rPr>
        <w:t xml:space="preserve"> i</w:t>
      </w:r>
      <w:r w:rsidRPr="00BD17CA">
        <w:rPr>
          <w:rFonts w:ascii="Arial" w:eastAsia="Arial" w:hAnsi="Arial" w:cs="Arial"/>
          <w:sz w:val="22"/>
          <w:szCs w:val="22"/>
        </w:rPr>
        <w:t>n</w:t>
      </w:r>
      <w:r w:rsidRPr="00B13795">
        <w:rPr>
          <w:rFonts w:ascii="Arial" w:eastAsia="Arial" w:hAnsi="Arial" w:cs="Arial"/>
          <w:sz w:val="22"/>
          <w:szCs w:val="22"/>
        </w:rPr>
        <w:t xml:space="preserve"> t</w:t>
      </w:r>
      <w:r w:rsidRPr="00BD17CA">
        <w:rPr>
          <w:rFonts w:ascii="Arial" w:eastAsia="Arial" w:hAnsi="Arial" w:cs="Arial"/>
          <w:sz w:val="22"/>
          <w:szCs w:val="22"/>
        </w:rPr>
        <w:t>he</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cc</w:t>
      </w:r>
      <w:r w:rsidRPr="00BD17CA">
        <w:rPr>
          <w:rFonts w:ascii="Arial" w:eastAsia="Arial" w:hAnsi="Arial" w:cs="Arial"/>
          <w:sz w:val="22"/>
          <w:szCs w:val="22"/>
        </w:rPr>
        <w:t>o</w:t>
      </w:r>
      <w:r w:rsidRPr="00B13795">
        <w:rPr>
          <w:rFonts w:ascii="Arial" w:eastAsia="Arial" w:hAnsi="Arial" w:cs="Arial"/>
          <w:sz w:val="22"/>
          <w:szCs w:val="22"/>
        </w:rPr>
        <w:t>u</w:t>
      </w:r>
      <w:r w:rsidRPr="00BD17CA">
        <w:rPr>
          <w:rFonts w:ascii="Arial" w:eastAsia="Arial" w:hAnsi="Arial" w:cs="Arial"/>
          <w:sz w:val="22"/>
          <w:szCs w:val="22"/>
        </w:rPr>
        <w:t>nts</w:t>
      </w:r>
      <w:r w:rsidRPr="00B13795">
        <w:rPr>
          <w:rFonts w:ascii="Arial" w:eastAsia="Arial" w:hAnsi="Arial" w:cs="Arial"/>
          <w:sz w:val="22"/>
          <w:szCs w:val="22"/>
        </w:rPr>
        <w:t xml:space="preserve"> i</w:t>
      </w:r>
      <w:r w:rsidRPr="00BD17CA">
        <w:rPr>
          <w:rFonts w:ascii="Arial" w:eastAsia="Arial" w:hAnsi="Arial" w:cs="Arial"/>
          <w:sz w:val="22"/>
          <w:szCs w:val="22"/>
        </w:rPr>
        <w:t>n</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cc</w:t>
      </w:r>
      <w:r w:rsidRPr="00BD17CA">
        <w:rPr>
          <w:rFonts w:ascii="Arial" w:eastAsia="Arial" w:hAnsi="Arial" w:cs="Arial"/>
          <w:sz w:val="22"/>
          <w:szCs w:val="22"/>
        </w:rPr>
        <w:t>ordance</w:t>
      </w:r>
      <w:r w:rsidRPr="00B13795">
        <w:rPr>
          <w:rFonts w:ascii="Arial" w:eastAsia="Arial" w:hAnsi="Arial" w:cs="Arial"/>
          <w:sz w:val="22"/>
          <w:szCs w:val="22"/>
        </w:rPr>
        <w:t xml:space="preserve"> </w:t>
      </w:r>
      <w:r w:rsidRPr="00BD17CA">
        <w:rPr>
          <w:rFonts w:ascii="Arial" w:eastAsia="Arial" w:hAnsi="Arial" w:cs="Arial"/>
          <w:sz w:val="22"/>
          <w:szCs w:val="22"/>
        </w:rPr>
        <w:t>w</w:t>
      </w:r>
      <w:r w:rsidRPr="00B13795">
        <w:rPr>
          <w:rFonts w:ascii="Arial" w:eastAsia="Arial" w:hAnsi="Arial" w:cs="Arial"/>
          <w:sz w:val="22"/>
          <w:szCs w:val="22"/>
        </w:rPr>
        <w:t>i</w:t>
      </w:r>
      <w:r w:rsidRPr="00BD17CA">
        <w:rPr>
          <w:rFonts w:ascii="Arial" w:eastAsia="Arial" w:hAnsi="Arial" w:cs="Arial"/>
          <w:sz w:val="22"/>
          <w:szCs w:val="22"/>
        </w:rPr>
        <w:t>th</w:t>
      </w:r>
      <w:r w:rsidRPr="00B13795">
        <w:rPr>
          <w:rFonts w:ascii="Arial" w:eastAsia="Arial" w:hAnsi="Arial" w:cs="Arial"/>
          <w:sz w:val="22"/>
          <w:szCs w:val="22"/>
        </w:rPr>
        <w:t xml:space="preserve"> s</w:t>
      </w:r>
      <w:r w:rsidRPr="00BD17CA">
        <w:rPr>
          <w:rFonts w:ascii="Arial" w:eastAsia="Arial" w:hAnsi="Arial" w:cs="Arial"/>
          <w:sz w:val="22"/>
          <w:szCs w:val="22"/>
        </w:rPr>
        <w:t>e</w:t>
      </w:r>
      <w:r w:rsidRPr="00B13795">
        <w:rPr>
          <w:rFonts w:ascii="Arial" w:eastAsia="Arial" w:hAnsi="Arial" w:cs="Arial"/>
          <w:sz w:val="22"/>
          <w:szCs w:val="22"/>
        </w:rPr>
        <w:t>c</w:t>
      </w:r>
      <w:r w:rsidRPr="00BD17CA">
        <w:rPr>
          <w:rFonts w:ascii="Arial" w:eastAsia="Arial" w:hAnsi="Arial" w:cs="Arial"/>
          <w:sz w:val="22"/>
          <w:szCs w:val="22"/>
        </w:rPr>
        <w:t>t</w:t>
      </w:r>
      <w:r w:rsidRPr="00B13795">
        <w:rPr>
          <w:rFonts w:ascii="Arial" w:eastAsia="Arial" w:hAnsi="Arial" w:cs="Arial"/>
          <w:sz w:val="22"/>
          <w:szCs w:val="22"/>
        </w:rPr>
        <w:t>i</w:t>
      </w:r>
      <w:r w:rsidRPr="00BD17CA">
        <w:rPr>
          <w:rFonts w:ascii="Arial" w:eastAsia="Arial" w:hAnsi="Arial" w:cs="Arial"/>
          <w:sz w:val="22"/>
          <w:szCs w:val="22"/>
        </w:rPr>
        <w:t>on</w:t>
      </w:r>
      <w:r w:rsidRPr="00B13795">
        <w:rPr>
          <w:rFonts w:ascii="Arial" w:eastAsia="Arial" w:hAnsi="Arial" w:cs="Arial"/>
          <w:sz w:val="22"/>
          <w:szCs w:val="22"/>
        </w:rPr>
        <w:t xml:space="preserve"> </w:t>
      </w:r>
      <w:r w:rsidRPr="00BD17CA">
        <w:rPr>
          <w:rFonts w:ascii="Arial" w:eastAsia="Arial" w:hAnsi="Arial" w:cs="Arial"/>
          <w:sz w:val="22"/>
          <w:szCs w:val="22"/>
        </w:rPr>
        <w:t>4(1</w:t>
      </w:r>
      <w:r w:rsidRPr="00B13795">
        <w:rPr>
          <w:rFonts w:ascii="Arial" w:eastAsia="Arial" w:hAnsi="Arial" w:cs="Arial"/>
          <w:sz w:val="22"/>
          <w:szCs w:val="22"/>
        </w:rPr>
        <w:t>)(</w:t>
      </w:r>
      <w:r w:rsidRPr="00BD17CA">
        <w:rPr>
          <w:rFonts w:ascii="Arial" w:eastAsia="Arial" w:hAnsi="Arial" w:cs="Arial"/>
          <w:sz w:val="22"/>
          <w:szCs w:val="22"/>
        </w:rPr>
        <w:t>b)</w:t>
      </w:r>
      <w:r w:rsidRPr="00B13795">
        <w:rPr>
          <w:rFonts w:ascii="Arial" w:eastAsia="Arial" w:hAnsi="Arial" w:cs="Arial"/>
          <w:sz w:val="22"/>
          <w:szCs w:val="22"/>
        </w:rPr>
        <w:t xml:space="preserve"> </w:t>
      </w:r>
      <w:r w:rsidRPr="00BD17CA">
        <w:rPr>
          <w:rFonts w:ascii="Arial" w:eastAsia="Arial" w:hAnsi="Arial" w:cs="Arial"/>
          <w:sz w:val="22"/>
          <w:szCs w:val="22"/>
        </w:rPr>
        <w:t>of</w:t>
      </w:r>
      <w:r w:rsidRPr="00B13795">
        <w:rPr>
          <w:rFonts w:ascii="Arial" w:eastAsia="Arial" w:hAnsi="Arial" w:cs="Arial"/>
          <w:sz w:val="22"/>
          <w:szCs w:val="22"/>
        </w:rPr>
        <w:t xml:space="preserve"> </w:t>
      </w:r>
      <w:r w:rsidRPr="00BD17CA">
        <w:rPr>
          <w:rFonts w:ascii="Arial" w:eastAsia="Arial" w:hAnsi="Arial" w:cs="Arial"/>
          <w:sz w:val="22"/>
          <w:szCs w:val="22"/>
        </w:rPr>
        <w:t>the</w:t>
      </w:r>
      <w:r w:rsidRPr="00B13795">
        <w:rPr>
          <w:rFonts w:ascii="Arial" w:eastAsia="Arial" w:hAnsi="Arial" w:cs="Arial"/>
          <w:sz w:val="22"/>
          <w:szCs w:val="22"/>
        </w:rPr>
        <w:t xml:space="preserve"> </w:t>
      </w:r>
      <w:r w:rsidRPr="00BD17CA">
        <w:rPr>
          <w:rFonts w:ascii="Arial" w:eastAsia="Arial" w:hAnsi="Arial" w:cs="Arial"/>
          <w:sz w:val="22"/>
          <w:szCs w:val="22"/>
        </w:rPr>
        <w:t>L</w:t>
      </w:r>
      <w:r w:rsidRPr="00B13795">
        <w:rPr>
          <w:rFonts w:ascii="Arial" w:eastAsia="Arial" w:hAnsi="Arial" w:cs="Arial"/>
          <w:sz w:val="22"/>
          <w:szCs w:val="22"/>
        </w:rPr>
        <w:t>oc</w:t>
      </w:r>
      <w:r w:rsidRPr="00BD17CA">
        <w:rPr>
          <w:rFonts w:ascii="Arial" w:eastAsia="Arial" w:hAnsi="Arial" w:cs="Arial"/>
          <w:sz w:val="22"/>
          <w:szCs w:val="22"/>
        </w:rPr>
        <w:t>al</w:t>
      </w:r>
      <w:r w:rsidRPr="00B13795">
        <w:rPr>
          <w:rFonts w:ascii="Arial" w:eastAsia="Arial" w:hAnsi="Arial" w:cs="Arial"/>
          <w:sz w:val="22"/>
          <w:szCs w:val="22"/>
        </w:rPr>
        <w:t xml:space="preserve"> Gov</w:t>
      </w:r>
      <w:r w:rsidRPr="00BD17CA">
        <w:rPr>
          <w:rFonts w:ascii="Arial" w:eastAsia="Arial" w:hAnsi="Arial" w:cs="Arial"/>
          <w:sz w:val="22"/>
          <w:szCs w:val="22"/>
        </w:rPr>
        <w:t>ern</w:t>
      </w:r>
      <w:r w:rsidRPr="00B13795">
        <w:rPr>
          <w:rFonts w:ascii="Arial" w:eastAsia="Arial" w:hAnsi="Arial" w:cs="Arial"/>
          <w:sz w:val="22"/>
          <w:szCs w:val="22"/>
        </w:rPr>
        <w:t>m</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Pe</w:t>
      </w:r>
      <w:r w:rsidRPr="00BD17CA">
        <w:rPr>
          <w:rFonts w:ascii="Arial" w:eastAsia="Arial" w:hAnsi="Arial" w:cs="Arial"/>
          <w:sz w:val="22"/>
          <w:szCs w:val="22"/>
        </w:rPr>
        <w:t>n</w:t>
      </w:r>
      <w:r w:rsidRPr="00B13795">
        <w:rPr>
          <w:rFonts w:ascii="Arial" w:eastAsia="Arial" w:hAnsi="Arial" w:cs="Arial"/>
          <w:sz w:val="22"/>
          <w:szCs w:val="22"/>
        </w:rPr>
        <w:t>sio</w:t>
      </w:r>
      <w:r w:rsidRPr="00BD17CA">
        <w:rPr>
          <w:rFonts w:ascii="Arial" w:eastAsia="Arial" w:hAnsi="Arial" w:cs="Arial"/>
          <w:sz w:val="22"/>
          <w:szCs w:val="22"/>
        </w:rPr>
        <w:t>n</w:t>
      </w:r>
      <w:r w:rsidR="00B13795">
        <w:rPr>
          <w:rFonts w:ascii="Arial" w:eastAsia="Arial" w:hAnsi="Arial" w:cs="Arial"/>
          <w:sz w:val="22"/>
          <w:szCs w:val="22"/>
        </w:rPr>
        <w:t xml:space="preserve"> </w:t>
      </w:r>
      <w:r w:rsidRPr="00B13795">
        <w:rPr>
          <w:rFonts w:ascii="Arial" w:eastAsia="Arial" w:hAnsi="Arial" w:cs="Arial"/>
          <w:sz w:val="22"/>
          <w:szCs w:val="22"/>
        </w:rPr>
        <w:t>Sc</w:t>
      </w:r>
      <w:r w:rsidRPr="00BD17CA">
        <w:rPr>
          <w:rFonts w:ascii="Arial" w:eastAsia="Arial" w:hAnsi="Arial" w:cs="Arial"/>
          <w:sz w:val="22"/>
          <w:szCs w:val="22"/>
        </w:rPr>
        <w:t>h</w:t>
      </w:r>
      <w:r w:rsidRPr="00B13795">
        <w:rPr>
          <w:rFonts w:ascii="Arial" w:eastAsia="Arial" w:hAnsi="Arial" w:cs="Arial"/>
          <w:sz w:val="22"/>
          <w:szCs w:val="22"/>
        </w:rPr>
        <w:t>em</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M</w:t>
      </w:r>
      <w:r w:rsidRPr="00B13795">
        <w:rPr>
          <w:rFonts w:ascii="Arial" w:eastAsia="Arial" w:hAnsi="Arial" w:cs="Arial"/>
          <w:sz w:val="22"/>
          <w:szCs w:val="22"/>
        </w:rPr>
        <w:t>a</w:t>
      </w:r>
      <w:r w:rsidRPr="00BD17CA">
        <w:rPr>
          <w:rFonts w:ascii="Arial" w:eastAsia="Arial" w:hAnsi="Arial" w:cs="Arial"/>
          <w:sz w:val="22"/>
          <w:szCs w:val="22"/>
        </w:rPr>
        <w:t>n</w:t>
      </w:r>
      <w:r w:rsidRPr="00B13795">
        <w:rPr>
          <w:rFonts w:ascii="Arial" w:eastAsia="Arial" w:hAnsi="Arial" w:cs="Arial"/>
          <w:sz w:val="22"/>
          <w:szCs w:val="22"/>
        </w:rPr>
        <w:t>a</w:t>
      </w:r>
      <w:r w:rsidRPr="00BD17CA">
        <w:rPr>
          <w:rFonts w:ascii="Arial" w:eastAsia="Arial" w:hAnsi="Arial" w:cs="Arial"/>
          <w:sz w:val="22"/>
          <w:szCs w:val="22"/>
        </w:rPr>
        <w:t>g</w:t>
      </w:r>
      <w:r w:rsidRPr="00B13795">
        <w:rPr>
          <w:rFonts w:ascii="Arial" w:eastAsia="Arial" w:hAnsi="Arial" w:cs="Arial"/>
          <w:sz w:val="22"/>
          <w:szCs w:val="22"/>
        </w:rPr>
        <w:t>em</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n</w:t>
      </w:r>
      <w:r w:rsidRPr="00BD17CA">
        <w:rPr>
          <w:rFonts w:ascii="Arial" w:eastAsia="Arial" w:hAnsi="Arial" w:cs="Arial"/>
          <w:sz w:val="22"/>
          <w:szCs w:val="22"/>
        </w:rPr>
        <w:t>d</w:t>
      </w:r>
      <w:r w:rsidRPr="00B13795">
        <w:rPr>
          <w:rFonts w:ascii="Arial" w:eastAsia="Arial" w:hAnsi="Arial" w:cs="Arial"/>
          <w:sz w:val="22"/>
          <w:szCs w:val="22"/>
        </w:rPr>
        <w:t xml:space="preserve"> </w:t>
      </w:r>
      <w:r w:rsidRPr="00BD17CA">
        <w:rPr>
          <w:rFonts w:ascii="Arial" w:eastAsia="Arial" w:hAnsi="Arial" w:cs="Arial"/>
          <w:sz w:val="22"/>
          <w:szCs w:val="22"/>
        </w:rPr>
        <w:t>I</w:t>
      </w:r>
      <w:r w:rsidRPr="00B13795">
        <w:rPr>
          <w:rFonts w:ascii="Arial" w:eastAsia="Arial" w:hAnsi="Arial" w:cs="Arial"/>
          <w:sz w:val="22"/>
          <w:szCs w:val="22"/>
        </w:rPr>
        <w:t>nv</w:t>
      </w:r>
      <w:r w:rsidRPr="00BD17CA">
        <w:rPr>
          <w:rFonts w:ascii="Arial" w:eastAsia="Arial" w:hAnsi="Arial" w:cs="Arial"/>
          <w:sz w:val="22"/>
          <w:szCs w:val="22"/>
        </w:rPr>
        <w:t>e</w:t>
      </w:r>
      <w:r w:rsidRPr="00B13795">
        <w:rPr>
          <w:rFonts w:ascii="Arial" w:eastAsia="Arial" w:hAnsi="Arial" w:cs="Arial"/>
          <w:sz w:val="22"/>
          <w:szCs w:val="22"/>
        </w:rPr>
        <w:t>s</w:t>
      </w:r>
      <w:r w:rsidRPr="00BD17CA">
        <w:rPr>
          <w:rFonts w:ascii="Arial" w:eastAsia="Arial" w:hAnsi="Arial" w:cs="Arial"/>
          <w:sz w:val="22"/>
          <w:szCs w:val="22"/>
        </w:rPr>
        <w:t>t</w:t>
      </w:r>
      <w:r w:rsidRPr="00B13795">
        <w:rPr>
          <w:rFonts w:ascii="Arial" w:eastAsia="Arial" w:hAnsi="Arial" w:cs="Arial"/>
          <w:sz w:val="22"/>
          <w:szCs w:val="22"/>
        </w:rPr>
        <w:t>m</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w:t>
      </w:r>
      <w:r w:rsidRPr="00BD17CA">
        <w:rPr>
          <w:rFonts w:ascii="Arial" w:eastAsia="Arial" w:hAnsi="Arial" w:cs="Arial"/>
          <w:sz w:val="22"/>
          <w:szCs w:val="22"/>
        </w:rPr>
        <w:t>of</w:t>
      </w:r>
      <w:r w:rsidRPr="00B13795">
        <w:rPr>
          <w:rFonts w:ascii="Arial" w:eastAsia="Arial" w:hAnsi="Arial" w:cs="Arial"/>
          <w:sz w:val="22"/>
          <w:szCs w:val="22"/>
        </w:rPr>
        <w:t xml:space="preserve"> </w:t>
      </w:r>
      <w:r w:rsidRPr="00BD17CA">
        <w:rPr>
          <w:rFonts w:ascii="Arial" w:eastAsia="Arial" w:hAnsi="Arial" w:cs="Arial"/>
          <w:sz w:val="22"/>
          <w:szCs w:val="22"/>
        </w:rPr>
        <w:t>Fu</w:t>
      </w:r>
      <w:r w:rsidRPr="00B13795">
        <w:rPr>
          <w:rFonts w:ascii="Arial" w:eastAsia="Arial" w:hAnsi="Arial" w:cs="Arial"/>
          <w:sz w:val="22"/>
          <w:szCs w:val="22"/>
        </w:rPr>
        <w:t>n</w:t>
      </w:r>
      <w:r w:rsidRPr="00BD17CA">
        <w:rPr>
          <w:rFonts w:ascii="Arial" w:eastAsia="Arial" w:hAnsi="Arial" w:cs="Arial"/>
          <w:sz w:val="22"/>
          <w:szCs w:val="22"/>
        </w:rPr>
        <w:t>d</w:t>
      </w:r>
      <w:r w:rsidRPr="00B13795">
        <w:rPr>
          <w:rFonts w:ascii="Arial" w:eastAsia="Arial" w:hAnsi="Arial" w:cs="Arial"/>
          <w:sz w:val="22"/>
          <w:szCs w:val="22"/>
        </w:rPr>
        <w:t>s</w:t>
      </w:r>
      <w:r w:rsidRPr="00BD17CA">
        <w:rPr>
          <w:rFonts w:ascii="Arial" w:eastAsia="Arial" w:hAnsi="Arial" w:cs="Arial"/>
          <w:sz w:val="22"/>
          <w:szCs w:val="22"/>
        </w:rPr>
        <w:t>)</w:t>
      </w:r>
      <w:r w:rsidRPr="00B13795">
        <w:rPr>
          <w:rFonts w:ascii="Arial" w:eastAsia="Arial" w:hAnsi="Arial" w:cs="Arial"/>
          <w:sz w:val="22"/>
          <w:szCs w:val="22"/>
        </w:rPr>
        <w:t xml:space="preserve"> R</w:t>
      </w:r>
      <w:r w:rsidRPr="00BD17CA">
        <w:rPr>
          <w:rFonts w:ascii="Arial" w:eastAsia="Arial" w:hAnsi="Arial" w:cs="Arial"/>
          <w:sz w:val="22"/>
          <w:szCs w:val="22"/>
        </w:rPr>
        <w:t>e</w:t>
      </w:r>
      <w:r w:rsidRPr="00B13795">
        <w:rPr>
          <w:rFonts w:ascii="Arial" w:eastAsia="Arial" w:hAnsi="Arial" w:cs="Arial"/>
          <w:sz w:val="22"/>
          <w:szCs w:val="22"/>
        </w:rPr>
        <w:t>g</w:t>
      </w:r>
      <w:r w:rsidRPr="00BD17CA">
        <w:rPr>
          <w:rFonts w:ascii="Arial" w:eastAsia="Arial" w:hAnsi="Arial" w:cs="Arial"/>
          <w:sz w:val="22"/>
          <w:szCs w:val="22"/>
        </w:rPr>
        <w:t>u</w:t>
      </w:r>
      <w:r w:rsidRPr="00B13795">
        <w:rPr>
          <w:rFonts w:ascii="Arial" w:eastAsia="Arial" w:hAnsi="Arial" w:cs="Arial"/>
          <w:sz w:val="22"/>
          <w:szCs w:val="22"/>
        </w:rPr>
        <w:t>l</w:t>
      </w:r>
      <w:r w:rsidRPr="00BD17CA">
        <w:rPr>
          <w:rFonts w:ascii="Arial" w:eastAsia="Arial" w:hAnsi="Arial" w:cs="Arial"/>
          <w:sz w:val="22"/>
          <w:szCs w:val="22"/>
        </w:rPr>
        <w:t>a</w:t>
      </w:r>
      <w:r w:rsidRPr="00B13795">
        <w:rPr>
          <w:rFonts w:ascii="Arial" w:eastAsia="Arial" w:hAnsi="Arial" w:cs="Arial"/>
          <w:sz w:val="22"/>
          <w:szCs w:val="22"/>
        </w:rPr>
        <w:t>tio</w:t>
      </w:r>
      <w:r w:rsidRPr="00BD17CA">
        <w:rPr>
          <w:rFonts w:ascii="Arial" w:eastAsia="Arial" w:hAnsi="Arial" w:cs="Arial"/>
          <w:sz w:val="22"/>
          <w:szCs w:val="22"/>
        </w:rPr>
        <w:t>ns</w:t>
      </w:r>
      <w:r w:rsidRPr="00B13795">
        <w:rPr>
          <w:rFonts w:ascii="Arial" w:eastAsia="Arial" w:hAnsi="Arial" w:cs="Arial"/>
          <w:sz w:val="22"/>
          <w:szCs w:val="22"/>
        </w:rPr>
        <w:t xml:space="preserve"> </w:t>
      </w:r>
      <w:r w:rsidRPr="00BD17CA">
        <w:rPr>
          <w:rFonts w:ascii="Arial" w:eastAsia="Arial" w:hAnsi="Arial" w:cs="Arial"/>
          <w:sz w:val="22"/>
          <w:szCs w:val="22"/>
        </w:rPr>
        <w:t>2</w:t>
      </w:r>
      <w:r w:rsidRPr="00B13795">
        <w:rPr>
          <w:rFonts w:ascii="Arial" w:eastAsia="Arial" w:hAnsi="Arial" w:cs="Arial"/>
          <w:sz w:val="22"/>
          <w:szCs w:val="22"/>
        </w:rPr>
        <w:t>0</w:t>
      </w:r>
      <w:r w:rsidRPr="00BD17CA">
        <w:rPr>
          <w:rFonts w:ascii="Arial" w:eastAsia="Arial" w:hAnsi="Arial" w:cs="Arial"/>
          <w:sz w:val="22"/>
          <w:szCs w:val="22"/>
        </w:rPr>
        <w:t>16</w:t>
      </w:r>
      <w:r w:rsidRPr="00B13795">
        <w:rPr>
          <w:rFonts w:ascii="Arial" w:eastAsia="Arial" w:hAnsi="Arial" w:cs="Arial"/>
          <w:sz w:val="22"/>
          <w:szCs w:val="22"/>
        </w:rPr>
        <w:t xml:space="preserve"> </w:t>
      </w:r>
      <w:r w:rsidRPr="00BD17CA">
        <w:rPr>
          <w:rFonts w:ascii="Arial" w:eastAsia="Arial" w:hAnsi="Arial" w:cs="Arial"/>
          <w:sz w:val="22"/>
          <w:szCs w:val="22"/>
        </w:rPr>
        <w:t>b</w:t>
      </w:r>
      <w:r w:rsidRPr="00B13795">
        <w:rPr>
          <w:rFonts w:ascii="Arial" w:eastAsia="Arial" w:hAnsi="Arial" w:cs="Arial"/>
          <w:sz w:val="22"/>
          <w:szCs w:val="22"/>
        </w:rPr>
        <w:t>u</w:t>
      </w:r>
      <w:r w:rsidRPr="00BD17CA">
        <w:rPr>
          <w:rFonts w:ascii="Arial" w:eastAsia="Arial" w:hAnsi="Arial" w:cs="Arial"/>
          <w:sz w:val="22"/>
          <w:szCs w:val="22"/>
        </w:rPr>
        <w:t>t</w:t>
      </w:r>
      <w:r w:rsidRPr="00B13795">
        <w:rPr>
          <w:rFonts w:ascii="Arial" w:eastAsia="Arial" w:hAnsi="Arial" w:cs="Arial"/>
          <w:sz w:val="22"/>
          <w:szCs w:val="22"/>
        </w:rPr>
        <w:t xml:space="preserve"> </w:t>
      </w:r>
      <w:r w:rsidRPr="00BD17CA">
        <w:rPr>
          <w:rFonts w:ascii="Arial" w:eastAsia="Arial" w:hAnsi="Arial" w:cs="Arial"/>
          <w:sz w:val="22"/>
          <w:szCs w:val="22"/>
        </w:rPr>
        <w:t>are</w:t>
      </w:r>
      <w:r w:rsidRPr="00B13795">
        <w:rPr>
          <w:rFonts w:ascii="Arial" w:eastAsia="Arial" w:hAnsi="Arial" w:cs="Arial"/>
          <w:sz w:val="22"/>
          <w:szCs w:val="22"/>
        </w:rPr>
        <w:t xml:space="preserve"> </w:t>
      </w:r>
      <w:r w:rsidRPr="00BD17CA">
        <w:rPr>
          <w:rFonts w:ascii="Arial" w:eastAsia="Arial" w:hAnsi="Arial" w:cs="Arial"/>
          <w:sz w:val="22"/>
          <w:szCs w:val="22"/>
        </w:rPr>
        <w:t>d</w:t>
      </w:r>
      <w:r w:rsidRPr="00B13795">
        <w:rPr>
          <w:rFonts w:ascii="Arial" w:eastAsia="Arial" w:hAnsi="Arial" w:cs="Arial"/>
          <w:sz w:val="22"/>
          <w:szCs w:val="22"/>
        </w:rPr>
        <w:t>isclos</w:t>
      </w:r>
      <w:r w:rsidRPr="00BD17CA">
        <w:rPr>
          <w:rFonts w:ascii="Arial" w:eastAsia="Arial" w:hAnsi="Arial" w:cs="Arial"/>
          <w:sz w:val="22"/>
          <w:szCs w:val="22"/>
        </w:rPr>
        <w:t>ed</w:t>
      </w:r>
      <w:r w:rsidRPr="00B13795">
        <w:rPr>
          <w:rFonts w:ascii="Arial" w:eastAsia="Arial" w:hAnsi="Arial" w:cs="Arial"/>
          <w:sz w:val="22"/>
          <w:szCs w:val="22"/>
        </w:rPr>
        <w:t xml:space="preserve"> </w:t>
      </w:r>
      <w:r w:rsidRPr="00BD17CA">
        <w:rPr>
          <w:rFonts w:ascii="Arial" w:eastAsia="Arial" w:hAnsi="Arial" w:cs="Arial"/>
          <w:sz w:val="22"/>
          <w:szCs w:val="22"/>
        </w:rPr>
        <w:t>as</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 xml:space="preserve"> n</w:t>
      </w:r>
      <w:r w:rsidRPr="00BD17CA">
        <w:rPr>
          <w:rFonts w:ascii="Arial" w:eastAsia="Arial" w:hAnsi="Arial" w:cs="Arial"/>
          <w:sz w:val="22"/>
          <w:szCs w:val="22"/>
        </w:rPr>
        <w:t>ote</w:t>
      </w:r>
      <w:r w:rsidRPr="00B13795">
        <w:rPr>
          <w:rFonts w:ascii="Arial" w:eastAsia="Arial" w:hAnsi="Arial" w:cs="Arial"/>
          <w:sz w:val="22"/>
          <w:szCs w:val="22"/>
        </w:rPr>
        <w:t xml:space="preserve"> </w:t>
      </w:r>
      <w:r w:rsidRPr="00BD17CA">
        <w:rPr>
          <w:rFonts w:ascii="Arial" w:eastAsia="Arial" w:hAnsi="Arial" w:cs="Arial"/>
          <w:sz w:val="22"/>
          <w:szCs w:val="22"/>
        </w:rPr>
        <w:t>o</w:t>
      </w:r>
      <w:r w:rsidRPr="00B13795">
        <w:rPr>
          <w:rFonts w:ascii="Arial" w:eastAsia="Arial" w:hAnsi="Arial" w:cs="Arial"/>
          <w:sz w:val="22"/>
          <w:szCs w:val="22"/>
        </w:rPr>
        <w:t>nl</w:t>
      </w:r>
      <w:r w:rsidRPr="00BD17CA">
        <w:rPr>
          <w:rFonts w:ascii="Arial" w:eastAsia="Arial" w:hAnsi="Arial" w:cs="Arial"/>
          <w:sz w:val="22"/>
          <w:szCs w:val="22"/>
        </w:rPr>
        <w:t>y</w:t>
      </w:r>
      <w:r w:rsidRPr="00B13795">
        <w:rPr>
          <w:rFonts w:ascii="Arial" w:eastAsia="Arial" w:hAnsi="Arial" w:cs="Arial"/>
          <w:sz w:val="22"/>
          <w:szCs w:val="22"/>
        </w:rPr>
        <w:t xml:space="preserve"> (Note </w:t>
      </w:r>
      <w:r w:rsidR="00247116" w:rsidRPr="00B13795">
        <w:rPr>
          <w:rFonts w:ascii="Arial" w:eastAsia="Arial" w:hAnsi="Arial" w:cs="Arial"/>
          <w:sz w:val="22"/>
          <w:szCs w:val="22"/>
        </w:rPr>
        <w:t>2</w:t>
      </w:r>
      <w:r w:rsidR="00247116">
        <w:rPr>
          <w:rFonts w:ascii="Arial" w:eastAsia="Arial" w:hAnsi="Arial" w:cs="Arial"/>
          <w:sz w:val="22"/>
          <w:szCs w:val="22"/>
        </w:rPr>
        <w:t>0</w:t>
      </w:r>
      <w:r w:rsidRPr="00B13795">
        <w:rPr>
          <w:rFonts w:ascii="Arial" w:eastAsia="Arial" w:hAnsi="Arial" w:cs="Arial"/>
          <w:sz w:val="22"/>
          <w:szCs w:val="22"/>
        </w:rPr>
        <w:t>)</w:t>
      </w:r>
      <w:r w:rsidRPr="00BD17CA">
        <w:rPr>
          <w:rFonts w:ascii="Arial" w:eastAsia="Arial" w:hAnsi="Arial" w:cs="Arial"/>
          <w:sz w:val="22"/>
          <w:szCs w:val="22"/>
        </w:rPr>
        <w:t>.</w:t>
      </w:r>
    </w:p>
    <w:p w14:paraId="5D5F2B70" w14:textId="68F4D635" w:rsidR="009C7422" w:rsidRPr="00B13795" w:rsidRDefault="00716307" w:rsidP="00B13795">
      <w:pPr>
        <w:spacing w:after="200" w:line="276" w:lineRule="auto"/>
        <w:ind w:right="74"/>
        <w:jc w:val="both"/>
        <w:rPr>
          <w:rFonts w:ascii="Arial" w:eastAsia="Arial" w:hAnsi="Arial" w:cs="Arial"/>
          <w:b/>
          <w:sz w:val="22"/>
          <w:szCs w:val="22"/>
        </w:rPr>
      </w:pPr>
      <w:r>
        <w:rPr>
          <w:rFonts w:ascii="Arial" w:eastAsia="Arial" w:hAnsi="Arial" w:cs="Arial"/>
          <w:b/>
          <w:sz w:val="22"/>
          <w:szCs w:val="22"/>
        </w:rPr>
        <w:t>n</w:t>
      </w:r>
      <w:r w:rsidR="001706EB" w:rsidRPr="00BD17CA">
        <w:rPr>
          <w:rFonts w:ascii="Arial" w:eastAsia="Arial" w:hAnsi="Arial" w:cs="Arial"/>
          <w:b/>
          <w:sz w:val="22"/>
          <w:szCs w:val="22"/>
        </w:rPr>
        <w:t>)</w:t>
      </w:r>
      <w:r w:rsidR="001706EB" w:rsidRPr="00B13795">
        <w:rPr>
          <w:rFonts w:ascii="Arial" w:eastAsia="Arial" w:hAnsi="Arial" w:cs="Arial"/>
          <w:b/>
          <w:sz w:val="22"/>
          <w:szCs w:val="22"/>
        </w:rPr>
        <w:t xml:space="preserve"> </w:t>
      </w:r>
      <w:r w:rsidR="001706EB" w:rsidRPr="00BD17CA">
        <w:rPr>
          <w:rFonts w:ascii="Arial" w:eastAsia="Arial" w:hAnsi="Arial" w:cs="Arial"/>
          <w:b/>
          <w:sz w:val="22"/>
          <w:szCs w:val="22"/>
        </w:rPr>
        <w:t>Con</w:t>
      </w:r>
      <w:r w:rsidR="001706EB" w:rsidRPr="00B13795">
        <w:rPr>
          <w:rFonts w:ascii="Arial" w:eastAsia="Arial" w:hAnsi="Arial" w:cs="Arial"/>
          <w:b/>
          <w:sz w:val="22"/>
          <w:szCs w:val="22"/>
        </w:rPr>
        <w:t>t</w:t>
      </w:r>
      <w:r w:rsidR="001706EB" w:rsidRPr="00BD17CA">
        <w:rPr>
          <w:rFonts w:ascii="Arial" w:eastAsia="Arial" w:hAnsi="Arial" w:cs="Arial"/>
          <w:b/>
          <w:sz w:val="22"/>
          <w:szCs w:val="22"/>
        </w:rPr>
        <w:t>in</w:t>
      </w:r>
      <w:r w:rsidR="001706EB" w:rsidRPr="00B13795">
        <w:rPr>
          <w:rFonts w:ascii="Arial" w:eastAsia="Arial" w:hAnsi="Arial" w:cs="Arial"/>
          <w:b/>
          <w:sz w:val="22"/>
          <w:szCs w:val="22"/>
        </w:rPr>
        <w:t>g</w:t>
      </w:r>
      <w:r w:rsidR="001706EB" w:rsidRPr="00BD17CA">
        <w:rPr>
          <w:rFonts w:ascii="Arial" w:eastAsia="Arial" w:hAnsi="Arial" w:cs="Arial"/>
          <w:b/>
          <w:sz w:val="22"/>
          <w:szCs w:val="22"/>
        </w:rPr>
        <w:t>ent</w:t>
      </w:r>
      <w:r w:rsidR="001706EB" w:rsidRPr="00B13795">
        <w:rPr>
          <w:rFonts w:ascii="Arial" w:eastAsia="Arial" w:hAnsi="Arial" w:cs="Arial"/>
          <w:b/>
          <w:sz w:val="22"/>
          <w:szCs w:val="22"/>
        </w:rPr>
        <w:t xml:space="preserve"> As</w:t>
      </w:r>
      <w:r w:rsidR="001706EB" w:rsidRPr="00BD17CA">
        <w:rPr>
          <w:rFonts w:ascii="Arial" w:eastAsia="Arial" w:hAnsi="Arial" w:cs="Arial"/>
          <w:b/>
          <w:sz w:val="22"/>
          <w:szCs w:val="22"/>
        </w:rPr>
        <w:t>s</w:t>
      </w:r>
      <w:r w:rsidR="001706EB" w:rsidRPr="00B13795">
        <w:rPr>
          <w:rFonts w:ascii="Arial" w:eastAsia="Arial" w:hAnsi="Arial" w:cs="Arial"/>
          <w:b/>
          <w:sz w:val="22"/>
          <w:szCs w:val="22"/>
        </w:rPr>
        <w:t>et</w:t>
      </w:r>
      <w:r w:rsidR="001706EB" w:rsidRPr="00BD17CA">
        <w:rPr>
          <w:rFonts w:ascii="Arial" w:eastAsia="Arial" w:hAnsi="Arial" w:cs="Arial"/>
          <w:b/>
          <w:sz w:val="22"/>
          <w:szCs w:val="22"/>
        </w:rPr>
        <w:t>s</w:t>
      </w:r>
      <w:r w:rsidR="001706EB" w:rsidRPr="00B13795">
        <w:rPr>
          <w:rFonts w:ascii="Arial" w:eastAsia="Arial" w:hAnsi="Arial" w:cs="Arial"/>
          <w:b/>
          <w:sz w:val="22"/>
          <w:szCs w:val="22"/>
        </w:rPr>
        <w:t xml:space="preserve"> </w:t>
      </w:r>
      <w:r w:rsidR="001706EB" w:rsidRPr="00BD17CA">
        <w:rPr>
          <w:rFonts w:ascii="Arial" w:eastAsia="Arial" w:hAnsi="Arial" w:cs="Arial"/>
          <w:b/>
          <w:sz w:val="22"/>
          <w:szCs w:val="22"/>
        </w:rPr>
        <w:t>and</w:t>
      </w:r>
      <w:r w:rsidR="001706EB" w:rsidRPr="00B13795">
        <w:rPr>
          <w:rFonts w:ascii="Arial" w:eastAsia="Arial" w:hAnsi="Arial" w:cs="Arial"/>
          <w:b/>
          <w:sz w:val="22"/>
          <w:szCs w:val="22"/>
        </w:rPr>
        <w:t xml:space="preserve"> </w:t>
      </w:r>
      <w:r w:rsidR="001706EB" w:rsidRPr="00BD17CA">
        <w:rPr>
          <w:rFonts w:ascii="Arial" w:eastAsia="Arial" w:hAnsi="Arial" w:cs="Arial"/>
          <w:b/>
          <w:sz w:val="22"/>
          <w:szCs w:val="22"/>
        </w:rPr>
        <w:t>Con</w:t>
      </w:r>
      <w:r w:rsidR="001706EB" w:rsidRPr="00B13795">
        <w:rPr>
          <w:rFonts w:ascii="Arial" w:eastAsia="Arial" w:hAnsi="Arial" w:cs="Arial"/>
          <w:b/>
          <w:sz w:val="22"/>
          <w:szCs w:val="22"/>
        </w:rPr>
        <w:t>t</w:t>
      </w:r>
      <w:r w:rsidR="001706EB" w:rsidRPr="00BD17CA">
        <w:rPr>
          <w:rFonts w:ascii="Arial" w:eastAsia="Arial" w:hAnsi="Arial" w:cs="Arial"/>
          <w:b/>
          <w:sz w:val="22"/>
          <w:szCs w:val="22"/>
        </w:rPr>
        <w:t>in</w:t>
      </w:r>
      <w:r w:rsidR="001706EB" w:rsidRPr="00B13795">
        <w:rPr>
          <w:rFonts w:ascii="Arial" w:eastAsia="Arial" w:hAnsi="Arial" w:cs="Arial"/>
          <w:b/>
          <w:sz w:val="22"/>
          <w:szCs w:val="22"/>
        </w:rPr>
        <w:t>g</w:t>
      </w:r>
      <w:r w:rsidR="001706EB" w:rsidRPr="00BD17CA">
        <w:rPr>
          <w:rFonts w:ascii="Arial" w:eastAsia="Arial" w:hAnsi="Arial" w:cs="Arial"/>
          <w:b/>
          <w:sz w:val="22"/>
          <w:szCs w:val="22"/>
        </w:rPr>
        <w:t>ent</w:t>
      </w:r>
      <w:r w:rsidR="001706EB" w:rsidRPr="00B13795">
        <w:rPr>
          <w:rFonts w:ascii="Arial" w:eastAsia="Arial" w:hAnsi="Arial" w:cs="Arial"/>
          <w:b/>
          <w:sz w:val="22"/>
          <w:szCs w:val="22"/>
        </w:rPr>
        <w:t xml:space="preserve"> </w:t>
      </w:r>
      <w:r w:rsidR="001706EB" w:rsidRPr="00BD17CA">
        <w:rPr>
          <w:rFonts w:ascii="Arial" w:eastAsia="Arial" w:hAnsi="Arial" w:cs="Arial"/>
          <w:b/>
          <w:sz w:val="22"/>
          <w:szCs w:val="22"/>
        </w:rPr>
        <w:t>Liabilities</w:t>
      </w:r>
    </w:p>
    <w:p w14:paraId="27124B58" w14:textId="77777777" w:rsidR="009C7422" w:rsidRPr="00BD17CA" w:rsidRDefault="001706EB" w:rsidP="00B13795">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A</w:t>
      </w:r>
      <w:r w:rsidRPr="00B13795">
        <w:rPr>
          <w:rFonts w:ascii="Arial" w:eastAsia="Arial" w:hAnsi="Arial" w:cs="Arial"/>
          <w:sz w:val="22"/>
          <w:szCs w:val="22"/>
        </w:rPr>
        <w:t xml:space="preserve"> c</w:t>
      </w:r>
      <w:r w:rsidRPr="00BD17CA">
        <w:rPr>
          <w:rFonts w:ascii="Arial" w:eastAsia="Arial" w:hAnsi="Arial" w:cs="Arial"/>
          <w:sz w:val="22"/>
          <w:szCs w:val="22"/>
        </w:rPr>
        <w:t>o</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i</w:t>
      </w:r>
      <w:r w:rsidRPr="00BD17CA">
        <w:rPr>
          <w:rFonts w:ascii="Arial" w:eastAsia="Arial" w:hAnsi="Arial" w:cs="Arial"/>
          <w:sz w:val="22"/>
          <w:szCs w:val="22"/>
        </w:rPr>
        <w:t>n</w:t>
      </w:r>
      <w:r w:rsidRPr="00B13795">
        <w:rPr>
          <w:rFonts w:ascii="Arial" w:eastAsia="Arial" w:hAnsi="Arial" w:cs="Arial"/>
          <w:sz w:val="22"/>
          <w:szCs w:val="22"/>
        </w:rPr>
        <w:t>g</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ss</w:t>
      </w:r>
      <w:r w:rsidRPr="00BD17CA">
        <w:rPr>
          <w:rFonts w:ascii="Arial" w:eastAsia="Arial" w:hAnsi="Arial" w:cs="Arial"/>
          <w:sz w:val="22"/>
          <w:szCs w:val="22"/>
        </w:rPr>
        <w:t>et</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rise</w:t>
      </w:r>
      <w:r w:rsidRPr="00BD17CA">
        <w:rPr>
          <w:rFonts w:ascii="Arial" w:eastAsia="Arial" w:hAnsi="Arial" w:cs="Arial"/>
          <w:sz w:val="22"/>
          <w:szCs w:val="22"/>
        </w:rPr>
        <w:t>s</w:t>
      </w:r>
      <w:r w:rsidRPr="00B13795">
        <w:rPr>
          <w:rFonts w:ascii="Arial" w:eastAsia="Arial" w:hAnsi="Arial" w:cs="Arial"/>
          <w:sz w:val="22"/>
          <w:szCs w:val="22"/>
        </w:rPr>
        <w:t xml:space="preserve"> </w:t>
      </w:r>
      <w:r w:rsidRPr="00BD17CA">
        <w:rPr>
          <w:rFonts w:ascii="Arial" w:eastAsia="Arial" w:hAnsi="Arial" w:cs="Arial"/>
          <w:sz w:val="22"/>
          <w:szCs w:val="22"/>
        </w:rPr>
        <w:t>where</w:t>
      </w:r>
      <w:r w:rsidRPr="00B13795">
        <w:rPr>
          <w:rFonts w:ascii="Arial" w:eastAsia="Arial" w:hAnsi="Arial" w:cs="Arial"/>
          <w:sz w:val="22"/>
          <w:szCs w:val="22"/>
        </w:rPr>
        <w:t xml:space="preserve"> a</w:t>
      </w:r>
      <w:r w:rsidRPr="00BD17CA">
        <w:rPr>
          <w:rFonts w:ascii="Arial" w:eastAsia="Arial" w:hAnsi="Arial" w:cs="Arial"/>
          <w:sz w:val="22"/>
          <w:szCs w:val="22"/>
        </w:rPr>
        <w:t>n</w:t>
      </w:r>
      <w:r w:rsidRPr="00B13795">
        <w:rPr>
          <w:rFonts w:ascii="Arial" w:eastAsia="Arial" w:hAnsi="Arial" w:cs="Arial"/>
          <w:sz w:val="22"/>
          <w:szCs w:val="22"/>
        </w:rPr>
        <w:t xml:space="preserve"> </w:t>
      </w:r>
      <w:r w:rsidRPr="00BD17CA">
        <w:rPr>
          <w:rFonts w:ascii="Arial" w:eastAsia="Arial" w:hAnsi="Arial" w:cs="Arial"/>
          <w:sz w:val="22"/>
          <w:szCs w:val="22"/>
        </w:rPr>
        <w:t>e</w:t>
      </w:r>
      <w:r w:rsidRPr="00B13795">
        <w:rPr>
          <w:rFonts w:ascii="Arial" w:eastAsia="Arial" w:hAnsi="Arial" w:cs="Arial"/>
          <w:sz w:val="22"/>
          <w:szCs w:val="22"/>
        </w:rPr>
        <w:t>v</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ha</w:t>
      </w:r>
      <w:r w:rsidRPr="00BD17CA">
        <w:rPr>
          <w:rFonts w:ascii="Arial" w:eastAsia="Arial" w:hAnsi="Arial" w:cs="Arial"/>
          <w:sz w:val="22"/>
          <w:szCs w:val="22"/>
        </w:rPr>
        <w:t>s</w:t>
      </w:r>
      <w:r w:rsidRPr="00B13795">
        <w:rPr>
          <w:rFonts w:ascii="Arial" w:eastAsia="Arial" w:hAnsi="Arial" w:cs="Arial"/>
          <w:sz w:val="22"/>
          <w:szCs w:val="22"/>
        </w:rPr>
        <w:t xml:space="preserve"> </w:t>
      </w:r>
      <w:r w:rsidRPr="00BD17CA">
        <w:rPr>
          <w:rFonts w:ascii="Arial" w:eastAsia="Arial" w:hAnsi="Arial" w:cs="Arial"/>
          <w:sz w:val="22"/>
          <w:szCs w:val="22"/>
        </w:rPr>
        <w:t>ta</w:t>
      </w:r>
      <w:r w:rsidRPr="00B13795">
        <w:rPr>
          <w:rFonts w:ascii="Arial" w:eastAsia="Arial" w:hAnsi="Arial" w:cs="Arial"/>
          <w:sz w:val="22"/>
          <w:szCs w:val="22"/>
        </w:rPr>
        <w:t>k</w:t>
      </w:r>
      <w:r w:rsidRPr="00BD17CA">
        <w:rPr>
          <w:rFonts w:ascii="Arial" w:eastAsia="Arial" w:hAnsi="Arial" w:cs="Arial"/>
          <w:sz w:val="22"/>
          <w:szCs w:val="22"/>
        </w:rPr>
        <w:t>en</w:t>
      </w:r>
      <w:r w:rsidRPr="00B13795">
        <w:rPr>
          <w:rFonts w:ascii="Arial" w:eastAsia="Arial" w:hAnsi="Arial" w:cs="Arial"/>
          <w:sz w:val="22"/>
          <w:szCs w:val="22"/>
        </w:rPr>
        <w:t xml:space="preserve"> </w:t>
      </w:r>
      <w:r w:rsidRPr="00BD17CA">
        <w:rPr>
          <w:rFonts w:ascii="Arial" w:eastAsia="Arial" w:hAnsi="Arial" w:cs="Arial"/>
          <w:sz w:val="22"/>
          <w:szCs w:val="22"/>
        </w:rPr>
        <w:t>p</w:t>
      </w:r>
      <w:r w:rsidRPr="00B13795">
        <w:rPr>
          <w:rFonts w:ascii="Arial" w:eastAsia="Arial" w:hAnsi="Arial" w:cs="Arial"/>
          <w:sz w:val="22"/>
          <w:szCs w:val="22"/>
        </w:rPr>
        <w:t>l</w:t>
      </w:r>
      <w:r w:rsidRPr="00BD17CA">
        <w:rPr>
          <w:rFonts w:ascii="Arial" w:eastAsia="Arial" w:hAnsi="Arial" w:cs="Arial"/>
          <w:sz w:val="22"/>
          <w:szCs w:val="22"/>
        </w:rPr>
        <w:t>a</w:t>
      </w:r>
      <w:r w:rsidRPr="00B13795">
        <w:rPr>
          <w:rFonts w:ascii="Arial" w:eastAsia="Arial" w:hAnsi="Arial" w:cs="Arial"/>
          <w:sz w:val="22"/>
          <w:szCs w:val="22"/>
        </w:rPr>
        <w:t>c</w:t>
      </w:r>
      <w:r w:rsidRPr="00BD17CA">
        <w:rPr>
          <w:rFonts w:ascii="Arial" w:eastAsia="Arial" w:hAnsi="Arial" w:cs="Arial"/>
          <w:sz w:val="22"/>
          <w:szCs w:val="22"/>
        </w:rPr>
        <w:t>e</w:t>
      </w:r>
      <w:r w:rsidRPr="00B13795">
        <w:rPr>
          <w:rFonts w:ascii="Arial" w:eastAsia="Arial" w:hAnsi="Arial" w:cs="Arial"/>
          <w:sz w:val="22"/>
          <w:szCs w:val="22"/>
        </w:rPr>
        <w:t xml:space="preserve"> givin</w:t>
      </w:r>
      <w:r w:rsidRPr="00BD17CA">
        <w:rPr>
          <w:rFonts w:ascii="Arial" w:eastAsia="Arial" w:hAnsi="Arial" w:cs="Arial"/>
          <w:sz w:val="22"/>
          <w:szCs w:val="22"/>
        </w:rPr>
        <w:t>g</w:t>
      </w:r>
      <w:r w:rsidRPr="00B13795">
        <w:rPr>
          <w:rFonts w:ascii="Arial" w:eastAsia="Arial" w:hAnsi="Arial" w:cs="Arial"/>
          <w:sz w:val="22"/>
          <w:szCs w:val="22"/>
        </w:rPr>
        <w:t xml:space="preserve"> ris</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to</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 xml:space="preserve"> </w:t>
      </w:r>
      <w:r w:rsidRPr="00BD17CA">
        <w:rPr>
          <w:rFonts w:ascii="Arial" w:eastAsia="Arial" w:hAnsi="Arial" w:cs="Arial"/>
          <w:sz w:val="22"/>
          <w:szCs w:val="22"/>
        </w:rPr>
        <w:t>p</w:t>
      </w:r>
      <w:r w:rsidRPr="00B13795">
        <w:rPr>
          <w:rFonts w:ascii="Arial" w:eastAsia="Arial" w:hAnsi="Arial" w:cs="Arial"/>
          <w:sz w:val="22"/>
          <w:szCs w:val="22"/>
        </w:rPr>
        <w:t>ossi</w:t>
      </w:r>
      <w:r w:rsidRPr="00BD17CA">
        <w:rPr>
          <w:rFonts w:ascii="Arial" w:eastAsia="Arial" w:hAnsi="Arial" w:cs="Arial"/>
          <w:sz w:val="22"/>
          <w:szCs w:val="22"/>
        </w:rPr>
        <w:t>b</w:t>
      </w:r>
      <w:r w:rsidRPr="00B13795">
        <w:rPr>
          <w:rFonts w:ascii="Arial" w:eastAsia="Arial" w:hAnsi="Arial" w:cs="Arial"/>
          <w:sz w:val="22"/>
          <w:szCs w:val="22"/>
        </w:rPr>
        <w:t>l</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ss</w:t>
      </w:r>
      <w:r w:rsidRPr="00BD17CA">
        <w:rPr>
          <w:rFonts w:ascii="Arial" w:eastAsia="Arial" w:hAnsi="Arial" w:cs="Arial"/>
          <w:sz w:val="22"/>
          <w:szCs w:val="22"/>
        </w:rPr>
        <w:t>et</w:t>
      </w:r>
      <w:r w:rsidRPr="00B13795">
        <w:rPr>
          <w:rFonts w:ascii="Arial" w:eastAsia="Arial" w:hAnsi="Arial" w:cs="Arial"/>
          <w:sz w:val="22"/>
          <w:szCs w:val="22"/>
        </w:rPr>
        <w:t xml:space="preserve"> </w:t>
      </w:r>
      <w:r w:rsidRPr="00BD17CA">
        <w:rPr>
          <w:rFonts w:ascii="Arial" w:eastAsia="Arial" w:hAnsi="Arial" w:cs="Arial"/>
          <w:sz w:val="22"/>
          <w:szCs w:val="22"/>
        </w:rPr>
        <w:t>whose e</w:t>
      </w:r>
      <w:r w:rsidRPr="00B13795">
        <w:rPr>
          <w:rFonts w:ascii="Arial" w:eastAsia="Arial" w:hAnsi="Arial" w:cs="Arial"/>
          <w:sz w:val="22"/>
          <w:szCs w:val="22"/>
        </w:rPr>
        <w:t>xist</w:t>
      </w:r>
      <w:r w:rsidRPr="00BD17CA">
        <w:rPr>
          <w:rFonts w:ascii="Arial" w:eastAsia="Arial" w:hAnsi="Arial" w:cs="Arial"/>
          <w:sz w:val="22"/>
          <w:szCs w:val="22"/>
        </w:rPr>
        <w:t>e</w:t>
      </w:r>
      <w:r w:rsidRPr="00B13795">
        <w:rPr>
          <w:rFonts w:ascii="Arial" w:eastAsia="Arial" w:hAnsi="Arial" w:cs="Arial"/>
          <w:sz w:val="22"/>
          <w:szCs w:val="22"/>
        </w:rPr>
        <w:t>nc</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w</w:t>
      </w:r>
      <w:r w:rsidRPr="00B13795">
        <w:rPr>
          <w:rFonts w:ascii="Arial" w:eastAsia="Arial" w:hAnsi="Arial" w:cs="Arial"/>
          <w:sz w:val="22"/>
          <w:szCs w:val="22"/>
        </w:rPr>
        <w:t>il</w:t>
      </w:r>
      <w:r w:rsidRPr="00BD17CA">
        <w:rPr>
          <w:rFonts w:ascii="Arial" w:eastAsia="Arial" w:hAnsi="Arial" w:cs="Arial"/>
          <w:sz w:val="22"/>
          <w:szCs w:val="22"/>
        </w:rPr>
        <w:t>l o</w:t>
      </w:r>
      <w:r w:rsidRPr="00B13795">
        <w:rPr>
          <w:rFonts w:ascii="Arial" w:eastAsia="Arial" w:hAnsi="Arial" w:cs="Arial"/>
          <w:sz w:val="22"/>
          <w:szCs w:val="22"/>
        </w:rPr>
        <w:t>nl</w:t>
      </w:r>
      <w:r w:rsidRPr="00BD17CA">
        <w:rPr>
          <w:rFonts w:ascii="Arial" w:eastAsia="Arial" w:hAnsi="Arial" w:cs="Arial"/>
          <w:sz w:val="22"/>
          <w:szCs w:val="22"/>
        </w:rPr>
        <w:t>y</w:t>
      </w:r>
      <w:r w:rsidRPr="00B13795">
        <w:rPr>
          <w:rFonts w:ascii="Arial" w:eastAsia="Arial" w:hAnsi="Arial" w:cs="Arial"/>
          <w:sz w:val="22"/>
          <w:szCs w:val="22"/>
        </w:rPr>
        <w:t xml:space="preserve"> b</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co</w:t>
      </w:r>
      <w:r w:rsidRPr="00B13795">
        <w:rPr>
          <w:rFonts w:ascii="Arial" w:eastAsia="Arial" w:hAnsi="Arial" w:cs="Arial"/>
          <w:sz w:val="22"/>
          <w:szCs w:val="22"/>
        </w:rPr>
        <w:t>nfirm</w:t>
      </w:r>
      <w:r w:rsidRPr="00BD17CA">
        <w:rPr>
          <w:rFonts w:ascii="Arial" w:eastAsia="Arial" w:hAnsi="Arial" w:cs="Arial"/>
          <w:sz w:val="22"/>
          <w:szCs w:val="22"/>
        </w:rPr>
        <w:t>ed</w:t>
      </w:r>
      <w:r w:rsidRPr="00B13795">
        <w:rPr>
          <w:rFonts w:ascii="Arial" w:eastAsia="Arial" w:hAnsi="Arial" w:cs="Arial"/>
          <w:sz w:val="22"/>
          <w:szCs w:val="22"/>
        </w:rPr>
        <w:t xml:space="preserve"> </w:t>
      </w:r>
      <w:r w:rsidRPr="00BD17CA">
        <w:rPr>
          <w:rFonts w:ascii="Arial" w:eastAsia="Arial" w:hAnsi="Arial" w:cs="Arial"/>
          <w:sz w:val="22"/>
          <w:szCs w:val="22"/>
        </w:rPr>
        <w:t>or</w:t>
      </w:r>
      <w:r w:rsidRPr="00B13795">
        <w:rPr>
          <w:rFonts w:ascii="Arial" w:eastAsia="Arial" w:hAnsi="Arial" w:cs="Arial"/>
          <w:sz w:val="22"/>
          <w:szCs w:val="22"/>
        </w:rPr>
        <w:t xml:space="preserve"> </w:t>
      </w:r>
      <w:r w:rsidRPr="00BD17CA">
        <w:rPr>
          <w:rFonts w:ascii="Arial" w:eastAsia="Arial" w:hAnsi="Arial" w:cs="Arial"/>
          <w:sz w:val="22"/>
          <w:szCs w:val="22"/>
        </w:rPr>
        <w:t>ot</w:t>
      </w:r>
      <w:r w:rsidRPr="00B13795">
        <w:rPr>
          <w:rFonts w:ascii="Arial" w:eastAsia="Arial" w:hAnsi="Arial" w:cs="Arial"/>
          <w:sz w:val="22"/>
          <w:szCs w:val="22"/>
        </w:rPr>
        <w:t>h</w:t>
      </w:r>
      <w:r w:rsidRPr="00BD17CA">
        <w:rPr>
          <w:rFonts w:ascii="Arial" w:eastAsia="Arial" w:hAnsi="Arial" w:cs="Arial"/>
          <w:sz w:val="22"/>
          <w:szCs w:val="22"/>
        </w:rPr>
        <w:t>e</w:t>
      </w:r>
      <w:r w:rsidRPr="00B13795">
        <w:rPr>
          <w:rFonts w:ascii="Arial" w:eastAsia="Arial" w:hAnsi="Arial" w:cs="Arial"/>
          <w:sz w:val="22"/>
          <w:szCs w:val="22"/>
        </w:rPr>
        <w:t>r</w:t>
      </w:r>
      <w:r w:rsidRPr="00BD17CA">
        <w:rPr>
          <w:rFonts w:ascii="Arial" w:eastAsia="Arial" w:hAnsi="Arial" w:cs="Arial"/>
          <w:sz w:val="22"/>
          <w:szCs w:val="22"/>
        </w:rPr>
        <w:t>w</w:t>
      </w:r>
      <w:r w:rsidRPr="00B13795">
        <w:rPr>
          <w:rFonts w:ascii="Arial" w:eastAsia="Arial" w:hAnsi="Arial" w:cs="Arial"/>
          <w:sz w:val="22"/>
          <w:szCs w:val="22"/>
        </w:rPr>
        <w:t>is</w:t>
      </w:r>
      <w:r w:rsidRPr="00BD17CA">
        <w:rPr>
          <w:rFonts w:ascii="Arial" w:eastAsia="Arial" w:hAnsi="Arial" w:cs="Arial"/>
          <w:sz w:val="22"/>
          <w:szCs w:val="22"/>
        </w:rPr>
        <w:t>e</w:t>
      </w:r>
      <w:r w:rsidRPr="00B13795">
        <w:rPr>
          <w:rFonts w:ascii="Arial" w:eastAsia="Arial" w:hAnsi="Arial" w:cs="Arial"/>
          <w:sz w:val="22"/>
          <w:szCs w:val="22"/>
        </w:rPr>
        <w:t xml:space="preserve"> b</w:t>
      </w:r>
      <w:r w:rsidRPr="00BD17CA">
        <w:rPr>
          <w:rFonts w:ascii="Arial" w:eastAsia="Arial" w:hAnsi="Arial" w:cs="Arial"/>
          <w:sz w:val="22"/>
          <w:szCs w:val="22"/>
        </w:rPr>
        <w:t>y</w:t>
      </w:r>
      <w:r w:rsidRPr="00B13795">
        <w:rPr>
          <w:rFonts w:ascii="Arial" w:eastAsia="Arial" w:hAnsi="Arial" w:cs="Arial"/>
          <w:sz w:val="22"/>
          <w:szCs w:val="22"/>
        </w:rPr>
        <w:t xml:space="preserve"> t</w:t>
      </w:r>
      <w:r w:rsidRPr="00BD17CA">
        <w:rPr>
          <w:rFonts w:ascii="Arial" w:eastAsia="Arial" w:hAnsi="Arial" w:cs="Arial"/>
          <w:sz w:val="22"/>
          <w:szCs w:val="22"/>
        </w:rPr>
        <w:t>he</w:t>
      </w:r>
      <w:r w:rsidRPr="00B13795">
        <w:rPr>
          <w:rFonts w:ascii="Arial" w:eastAsia="Arial" w:hAnsi="Arial" w:cs="Arial"/>
          <w:sz w:val="22"/>
          <w:szCs w:val="22"/>
        </w:rPr>
        <w:t xml:space="preserve"> </w:t>
      </w:r>
      <w:r w:rsidRPr="00BD17CA">
        <w:rPr>
          <w:rFonts w:ascii="Arial" w:eastAsia="Arial" w:hAnsi="Arial" w:cs="Arial"/>
          <w:sz w:val="22"/>
          <w:szCs w:val="22"/>
        </w:rPr>
        <w:t>oc</w:t>
      </w:r>
      <w:r w:rsidRPr="00B13795">
        <w:rPr>
          <w:rFonts w:ascii="Arial" w:eastAsia="Arial" w:hAnsi="Arial" w:cs="Arial"/>
          <w:sz w:val="22"/>
          <w:szCs w:val="22"/>
        </w:rPr>
        <w:t>c</w:t>
      </w:r>
      <w:r w:rsidRPr="00BD17CA">
        <w:rPr>
          <w:rFonts w:ascii="Arial" w:eastAsia="Arial" w:hAnsi="Arial" w:cs="Arial"/>
          <w:sz w:val="22"/>
          <w:szCs w:val="22"/>
        </w:rPr>
        <w:t>ur</w:t>
      </w:r>
      <w:r w:rsidRPr="00B13795">
        <w:rPr>
          <w:rFonts w:ascii="Arial" w:eastAsia="Arial" w:hAnsi="Arial" w:cs="Arial"/>
          <w:sz w:val="22"/>
          <w:szCs w:val="22"/>
        </w:rPr>
        <w:t>r</w:t>
      </w:r>
      <w:r w:rsidRPr="00BD17CA">
        <w:rPr>
          <w:rFonts w:ascii="Arial" w:eastAsia="Arial" w:hAnsi="Arial" w:cs="Arial"/>
          <w:sz w:val="22"/>
          <w:szCs w:val="22"/>
        </w:rPr>
        <w:t>e</w:t>
      </w:r>
      <w:r w:rsidRPr="00B13795">
        <w:rPr>
          <w:rFonts w:ascii="Arial" w:eastAsia="Arial" w:hAnsi="Arial" w:cs="Arial"/>
          <w:sz w:val="22"/>
          <w:szCs w:val="22"/>
        </w:rPr>
        <w:t>nc</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of f</w:t>
      </w:r>
      <w:r w:rsidRPr="00B13795">
        <w:rPr>
          <w:rFonts w:ascii="Arial" w:eastAsia="Arial" w:hAnsi="Arial" w:cs="Arial"/>
          <w:sz w:val="22"/>
          <w:szCs w:val="22"/>
        </w:rPr>
        <w:t>u</w:t>
      </w:r>
      <w:r w:rsidRPr="00BD17CA">
        <w:rPr>
          <w:rFonts w:ascii="Arial" w:eastAsia="Arial" w:hAnsi="Arial" w:cs="Arial"/>
          <w:sz w:val="22"/>
          <w:szCs w:val="22"/>
        </w:rPr>
        <w:t>ture</w:t>
      </w:r>
      <w:r w:rsidRPr="00B13795">
        <w:rPr>
          <w:rFonts w:ascii="Arial" w:eastAsia="Arial" w:hAnsi="Arial" w:cs="Arial"/>
          <w:sz w:val="22"/>
          <w:szCs w:val="22"/>
        </w:rPr>
        <w:t xml:space="preserve"> eve</w:t>
      </w:r>
      <w:r w:rsidRPr="00BD17CA">
        <w:rPr>
          <w:rFonts w:ascii="Arial" w:eastAsia="Arial" w:hAnsi="Arial" w:cs="Arial"/>
          <w:sz w:val="22"/>
          <w:szCs w:val="22"/>
        </w:rPr>
        <w:t>nts.</w:t>
      </w:r>
    </w:p>
    <w:p w14:paraId="724BDA8B" w14:textId="77777777" w:rsidR="009C7422" w:rsidRPr="00BD17CA" w:rsidRDefault="001706EB" w:rsidP="00B13795">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A</w:t>
      </w:r>
      <w:r w:rsidRPr="00B13795">
        <w:rPr>
          <w:rFonts w:ascii="Arial" w:eastAsia="Arial" w:hAnsi="Arial" w:cs="Arial"/>
          <w:sz w:val="22"/>
          <w:szCs w:val="22"/>
        </w:rPr>
        <w:t xml:space="preserve"> c</w:t>
      </w:r>
      <w:r w:rsidRPr="00BD17CA">
        <w:rPr>
          <w:rFonts w:ascii="Arial" w:eastAsia="Arial" w:hAnsi="Arial" w:cs="Arial"/>
          <w:sz w:val="22"/>
          <w:szCs w:val="22"/>
        </w:rPr>
        <w:t>o</w:t>
      </w:r>
      <w:r w:rsidRPr="00B13795">
        <w:rPr>
          <w:rFonts w:ascii="Arial" w:eastAsia="Arial" w:hAnsi="Arial" w:cs="Arial"/>
          <w:sz w:val="22"/>
          <w:szCs w:val="22"/>
        </w:rPr>
        <w:t>nti</w:t>
      </w:r>
      <w:r w:rsidRPr="00BD17CA">
        <w:rPr>
          <w:rFonts w:ascii="Arial" w:eastAsia="Arial" w:hAnsi="Arial" w:cs="Arial"/>
          <w:sz w:val="22"/>
          <w:szCs w:val="22"/>
        </w:rPr>
        <w:t>n</w:t>
      </w:r>
      <w:r w:rsidRPr="00B13795">
        <w:rPr>
          <w:rFonts w:ascii="Arial" w:eastAsia="Arial" w:hAnsi="Arial" w:cs="Arial"/>
          <w:sz w:val="22"/>
          <w:szCs w:val="22"/>
        </w:rPr>
        <w:t>g</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li</w:t>
      </w:r>
      <w:r w:rsidRPr="00BD17CA">
        <w:rPr>
          <w:rFonts w:ascii="Arial" w:eastAsia="Arial" w:hAnsi="Arial" w:cs="Arial"/>
          <w:sz w:val="22"/>
          <w:szCs w:val="22"/>
        </w:rPr>
        <w:t>a</w:t>
      </w:r>
      <w:r w:rsidRPr="00B13795">
        <w:rPr>
          <w:rFonts w:ascii="Arial" w:eastAsia="Arial" w:hAnsi="Arial" w:cs="Arial"/>
          <w:sz w:val="22"/>
          <w:szCs w:val="22"/>
        </w:rPr>
        <w:t>bilit</w:t>
      </w:r>
      <w:r w:rsidRPr="00BD17CA">
        <w:rPr>
          <w:rFonts w:ascii="Arial" w:eastAsia="Arial" w:hAnsi="Arial" w:cs="Arial"/>
          <w:sz w:val="22"/>
          <w:szCs w:val="22"/>
        </w:rPr>
        <w:t>y</w:t>
      </w:r>
      <w:r w:rsidRPr="00B13795">
        <w:rPr>
          <w:rFonts w:ascii="Arial" w:eastAsia="Arial" w:hAnsi="Arial" w:cs="Arial"/>
          <w:sz w:val="22"/>
          <w:szCs w:val="22"/>
        </w:rPr>
        <w:t xml:space="preserve"> </w:t>
      </w:r>
      <w:r w:rsidRPr="00BD17CA">
        <w:rPr>
          <w:rFonts w:ascii="Arial" w:eastAsia="Arial" w:hAnsi="Arial" w:cs="Arial"/>
          <w:sz w:val="22"/>
          <w:szCs w:val="22"/>
        </w:rPr>
        <w:t>arises</w:t>
      </w:r>
      <w:r w:rsidRPr="00B13795">
        <w:rPr>
          <w:rFonts w:ascii="Arial" w:eastAsia="Arial" w:hAnsi="Arial" w:cs="Arial"/>
          <w:sz w:val="22"/>
          <w:szCs w:val="22"/>
        </w:rPr>
        <w:t xml:space="preserve"> </w:t>
      </w:r>
      <w:r w:rsidRPr="00BD17CA">
        <w:rPr>
          <w:rFonts w:ascii="Arial" w:eastAsia="Arial" w:hAnsi="Arial" w:cs="Arial"/>
          <w:sz w:val="22"/>
          <w:szCs w:val="22"/>
        </w:rPr>
        <w:t>where</w:t>
      </w:r>
      <w:r w:rsidRPr="00B13795">
        <w:rPr>
          <w:rFonts w:ascii="Arial" w:eastAsia="Arial" w:hAnsi="Arial" w:cs="Arial"/>
          <w:sz w:val="22"/>
          <w:szCs w:val="22"/>
        </w:rPr>
        <w:t xml:space="preserve"> a</w:t>
      </w:r>
      <w:r w:rsidRPr="00BD17CA">
        <w:rPr>
          <w:rFonts w:ascii="Arial" w:eastAsia="Arial" w:hAnsi="Arial" w:cs="Arial"/>
          <w:sz w:val="22"/>
          <w:szCs w:val="22"/>
        </w:rPr>
        <w:t>n</w:t>
      </w:r>
      <w:r w:rsidRPr="00B13795">
        <w:rPr>
          <w:rFonts w:ascii="Arial" w:eastAsia="Arial" w:hAnsi="Arial" w:cs="Arial"/>
          <w:sz w:val="22"/>
          <w:szCs w:val="22"/>
        </w:rPr>
        <w:t xml:space="preserve"> eve</w:t>
      </w:r>
      <w:r w:rsidRPr="00BD17CA">
        <w:rPr>
          <w:rFonts w:ascii="Arial" w:eastAsia="Arial" w:hAnsi="Arial" w:cs="Arial"/>
          <w:sz w:val="22"/>
          <w:szCs w:val="22"/>
        </w:rPr>
        <w:t>nt</w:t>
      </w:r>
      <w:r w:rsidRPr="00B13795">
        <w:rPr>
          <w:rFonts w:ascii="Arial" w:eastAsia="Arial" w:hAnsi="Arial" w:cs="Arial"/>
          <w:sz w:val="22"/>
          <w:szCs w:val="22"/>
        </w:rPr>
        <w:t xml:space="preserve"> </w:t>
      </w:r>
      <w:r w:rsidRPr="00BD17CA">
        <w:rPr>
          <w:rFonts w:ascii="Arial" w:eastAsia="Arial" w:hAnsi="Arial" w:cs="Arial"/>
          <w:sz w:val="22"/>
          <w:szCs w:val="22"/>
        </w:rPr>
        <w:t>o</w:t>
      </w:r>
      <w:r w:rsidRPr="00B13795">
        <w:rPr>
          <w:rFonts w:ascii="Arial" w:eastAsia="Arial" w:hAnsi="Arial" w:cs="Arial"/>
          <w:sz w:val="22"/>
          <w:szCs w:val="22"/>
        </w:rPr>
        <w:t>cc</w:t>
      </w:r>
      <w:r w:rsidRPr="00BD17CA">
        <w:rPr>
          <w:rFonts w:ascii="Arial" w:eastAsia="Arial" w:hAnsi="Arial" w:cs="Arial"/>
          <w:sz w:val="22"/>
          <w:szCs w:val="22"/>
        </w:rPr>
        <w:t>ur</w:t>
      </w:r>
      <w:r w:rsidRPr="00B13795">
        <w:rPr>
          <w:rFonts w:ascii="Arial" w:eastAsia="Arial" w:hAnsi="Arial" w:cs="Arial"/>
          <w:sz w:val="22"/>
          <w:szCs w:val="22"/>
        </w:rPr>
        <w:t>r</w:t>
      </w:r>
      <w:r w:rsidRPr="00BD17CA">
        <w:rPr>
          <w:rFonts w:ascii="Arial" w:eastAsia="Arial" w:hAnsi="Arial" w:cs="Arial"/>
          <w:sz w:val="22"/>
          <w:szCs w:val="22"/>
        </w:rPr>
        <w:t>ed</w:t>
      </w:r>
      <w:r w:rsidRPr="00B13795">
        <w:rPr>
          <w:rFonts w:ascii="Arial" w:eastAsia="Arial" w:hAnsi="Arial" w:cs="Arial"/>
          <w:sz w:val="22"/>
          <w:szCs w:val="22"/>
        </w:rPr>
        <w:t xml:space="preserve"> </w:t>
      </w:r>
      <w:r w:rsidRPr="00BD17CA">
        <w:rPr>
          <w:rFonts w:ascii="Arial" w:eastAsia="Arial" w:hAnsi="Arial" w:cs="Arial"/>
          <w:sz w:val="22"/>
          <w:szCs w:val="22"/>
        </w:rPr>
        <w:t>pr</w:t>
      </w:r>
      <w:r w:rsidRPr="00B13795">
        <w:rPr>
          <w:rFonts w:ascii="Arial" w:eastAsia="Arial" w:hAnsi="Arial" w:cs="Arial"/>
          <w:sz w:val="22"/>
          <w:szCs w:val="22"/>
        </w:rPr>
        <w:t>i</w:t>
      </w:r>
      <w:r w:rsidRPr="00BD17CA">
        <w:rPr>
          <w:rFonts w:ascii="Arial" w:eastAsia="Arial" w:hAnsi="Arial" w:cs="Arial"/>
          <w:sz w:val="22"/>
          <w:szCs w:val="22"/>
        </w:rPr>
        <w:t>or</w:t>
      </w:r>
      <w:r w:rsidRPr="00B13795">
        <w:rPr>
          <w:rFonts w:ascii="Arial" w:eastAsia="Arial" w:hAnsi="Arial" w:cs="Arial"/>
          <w:sz w:val="22"/>
          <w:szCs w:val="22"/>
        </w:rPr>
        <w:t xml:space="preserve"> </w:t>
      </w:r>
      <w:r w:rsidRPr="00BD17CA">
        <w:rPr>
          <w:rFonts w:ascii="Arial" w:eastAsia="Arial" w:hAnsi="Arial" w:cs="Arial"/>
          <w:sz w:val="22"/>
          <w:szCs w:val="22"/>
        </w:rPr>
        <w:t>to</w:t>
      </w:r>
      <w:r w:rsidRPr="00B13795">
        <w:rPr>
          <w:rFonts w:ascii="Arial" w:eastAsia="Arial" w:hAnsi="Arial" w:cs="Arial"/>
          <w:sz w:val="22"/>
          <w:szCs w:val="22"/>
        </w:rPr>
        <w:t xml:space="preserve"> ye</w:t>
      </w:r>
      <w:r w:rsidRPr="00BD17CA">
        <w:rPr>
          <w:rFonts w:ascii="Arial" w:eastAsia="Arial" w:hAnsi="Arial" w:cs="Arial"/>
          <w:sz w:val="22"/>
          <w:szCs w:val="22"/>
        </w:rPr>
        <w:t>a</w:t>
      </w:r>
      <w:r w:rsidRPr="00B13795">
        <w:rPr>
          <w:rFonts w:ascii="Arial" w:eastAsia="Arial" w:hAnsi="Arial" w:cs="Arial"/>
          <w:sz w:val="22"/>
          <w:szCs w:val="22"/>
        </w:rPr>
        <w:t>r-</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d</w:t>
      </w:r>
      <w:r w:rsidRPr="00B13795">
        <w:rPr>
          <w:rFonts w:ascii="Arial" w:eastAsia="Arial" w:hAnsi="Arial" w:cs="Arial"/>
          <w:sz w:val="22"/>
          <w:szCs w:val="22"/>
        </w:rPr>
        <w:t xml:space="preserve"> givin</w:t>
      </w:r>
      <w:r w:rsidRPr="00BD17CA">
        <w:rPr>
          <w:rFonts w:ascii="Arial" w:eastAsia="Arial" w:hAnsi="Arial" w:cs="Arial"/>
          <w:sz w:val="22"/>
          <w:szCs w:val="22"/>
        </w:rPr>
        <w:t>g</w:t>
      </w:r>
      <w:r w:rsidRPr="00B13795">
        <w:rPr>
          <w:rFonts w:ascii="Arial" w:eastAsia="Arial" w:hAnsi="Arial" w:cs="Arial"/>
          <w:sz w:val="22"/>
          <w:szCs w:val="22"/>
        </w:rPr>
        <w:t xml:space="preserve"> ris</w:t>
      </w:r>
      <w:r w:rsidRPr="00BD17CA">
        <w:rPr>
          <w:rFonts w:ascii="Arial" w:eastAsia="Arial" w:hAnsi="Arial" w:cs="Arial"/>
          <w:sz w:val="22"/>
          <w:szCs w:val="22"/>
        </w:rPr>
        <w:t>e</w:t>
      </w:r>
      <w:r w:rsidRPr="00B13795">
        <w:rPr>
          <w:rFonts w:ascii="Arial" w:eastAsia="Arial" w:hAnsi="Arial" w:cs="Arial"/>
          <w:sz w:val="22"/>
          <w:szCs w:val="22"/>
        </w:rPr>
        <w:t xml:space="preserve"> t</w:t>
      </w:r>
      <w:r w:rsidRPr="00BD17CA">
        <w:rPr>
          <w:rFonts w:ascii="Arial" w:eastAsia="Arial" w:hAnsi="Arial" w:cs="Arial"/>
          <w:sz w:val="22"/>
          <w:szCs w:val="22"/>
        </w:rPr>
        <w:t>o</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 xml:space="preserve"> </w:t>
      </w:r>
      <w:r w:rsidRPr="00BD17CA">
        <w:rPr>
          <w:rFonts w:ascii="Arial" w:eastAsia="Arial" w:hAnsi="Arial" w:cs="Arial"/>
          <w:sz w:val="22"/>
          <w:szCs w:val="22"/>
        </w:rPr>
        <w:t>p</w:t>
      </w:r>
      <w:r w:rsidRPr="00B13795">
        <w:rPr>
          <w:rFonts w:ascii="Arial" w:eastAsia="Arial" w:hAnsi="Arial" w:cs="Arial"/>
          <w:sz w:val="22"/>
          <w:szCs w:val="22"/>
        </w:rPr>
        <w:t>ossibl</w:t>
      </w:r>
      <w:r w:rsidRPr="00BD17CA">
        <w:rPr>
          <w:rFonts w:ascii="Arial" w:eastAsia="Arial" w:hAnsi="Arial" w:cs="Arial"/>
          <w:sz w:val="22"/>
          <w:szCs w:val="22"/>
        </w:rPr>
        <w:t>e</w:t>
      </w:r>
      <w:r w:rsidRPr="00B13795">
        <w:rPr>
          <w:rFonts w:ascii="Arial" w:eastAsia="Arial" w:hAnsi="Arial" w:cs="Arial"/>
          <w:sz w:val="22"/>
          <w:szCs w:val="22"/>
        </w:rPr>
        <w:t xml:space="preserve"> fina</w:t>
      </w:r>
      <w:r w:rsidRPr="00BD17CA">
        <w:rPr>
          <w:rFonts w:ascii="Arial" w:eastAsia="Arial" w:hAnsi="Arial" w:cs="Arial"/>
          <w:sz w:val="22"/>
          <w:szCs w:val="22"/>
        </w:rPr>
        <w:t>n</w:t>
      </w:r>
      <w:r w:rsidRPr="00B13795">
        <w:rPr>
          <w:rFonts w:ascii="Arial" w:eastAsia="Arial" w:hAnsi="Arial" w:cs="Arial"/>
          <w:sz w:val="22"/>
          <w:szCs w:val="22"/>
        </w:rPr>
        <w:t>ci</w:t>
      </w:r>
      <w:r w:rsidRPr="00BD17CA">
        <w:rPr>
          <w:rFonts w:ascii="Arial" w:eastAsia="Arial" w:hAnsi="Arial" w:cs="Arial"/>
          <w:sz w:val="22"/>
          <w:szCs w:val="22"/>
        </w:rPr>
        <w:t>al</w:t>
      </w:r>
      <w:r w:rsidRPr="00B13795">
        <w:rPr>
          <w:rFonts w:ascii="Arial" w:eastAsia="Arial" w:hAnsi="Arial" w:cs="Arial"/>
          <w:sz w:val="22"/>
          <w:szCs w:val="22"/>
        </w:rPr>
        <w:t xml:space="preserve"> </w:t>
      </w:r>
      <w:r w:rsidRPr="00BD17CA">
        <w:rPr>
          <w:rFonts w:ascii="Arial" w:eastAsia="Arial" w:hAnsi="Arial" w:cs="Arial"/>
          <w:sz w:val="22"/>
          <w:szCs w:val="22"/>
        </w:rPr>
        <w:t>o</w:t>
      </w:r>
      <w:r w:rsidRPr="00B13795">
        <w:rPr>
          <w:rFonts w:ascii="Arial" w:eastAsia="Arial" w:hAnsi="Arial" w:cs="Arial"/>
          <w:sz w:val="22"/>
          <w:szCs w:val="22"/>
        </w:rPr>
        <w:t>blig</w:t>
      </w:r>
      <w:r w:rsidRPr="00BD17CA">
        <w:rPr>
          <w:rFonts w:ascii="Arial" w:eastAsia="Arial" w:hAnsi="Arial" w:cs="Arial"/>
          <w:sz w:val="22"/>
          <w:szCs w:val="22"/>
        </w:rPr>
        <w:t>at</w:t>
      </w:r>
      <w:r w:rsidRPr="00B13795">
        <w:rPr>
          <w:rFonts w:ascii="Arial" w:eastAsia="Arial" w:hAnsi="Arial" w:cs="Arial"/>
          <w:sz w:val="22"/>
          <w:szCs w:val="22"/>
        </w:rPr>
        <w:t>io</w:t>
      </w:r>
      <w:r w:rsidRPr="00BD17CA">
        <w:rPr>
          <w:rFonts w:ascii="Arial" w:eastAsia="Arial" w:hAnsi="Arial" w:cs="Arial"/>
          <w:sz w:val="22"/>
          <w:szCs w:val="22"/>
        </w:rPr>
        <w:t>n who</w:t>
      </w:r>
      <w:r w:rsidRPr="00B13795">
        <w:rPr>
          <w:rFonts w:ascii="Arial" w:eastAsia="Arial" w:hAnsi="Arial" w:cs="Arial"/>
          <w:sz w:val="22"/>
          <w:szCs w:val="22"/>
        </w:rPr>
        <w:t>s</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e</w:t>
      </w:r>
      <w:r w:rsidRPr="00B13795">
        <w:rPr>
          <w:rFonts w:ascii="Arial" w:eastAsia="Arial" w:hAnsi="Arial" w:cs="Arial"/>
          <w:sz w:val="22"/>
          <w:szCs w:val="22"/>
        </w:rPr>
        <w:t>xis</w:t>
      </w:r>
      <w:r w:rsidRPr="00BD17CA">
        <w:rPr>
          <w:rFonts w:ascii="Arial" w:eastAsia="Arial" w:hAnsi="Arial" w:cs="Arial"/>
          <w:sz w:val="22"/>
          <w:szCs w:val="22"/>
        </w:rPr>
        <w:t>te</w:t>
      </w:r>
      <w:r w:rsidRPr="00B13795">
        <w:rPr>
          <w:rFonts w:ascii="Arial" w:eastAsia="Arial" w:hAnsi="Arial" w:cs="Arial"/>
          <w:sz w:val="22"/>
          <w:szCs w:val="22"/>
        </w:rPr>
        <w:t>nc</w:t>
      </w:r>
      <w:r w:rsidRPr="00BD17CA">
        <w:rPr>
          <w:rFonts w:ascii="Arial" w:eastAsia="Arial" w:hAnsi="Arial" w:cs="Arial"/>
          <w:sz w:val="22"/>
          <w:szCs w:val="22"/>
        </w:rPr>
        <w:t>e</w:t>
      </w:r>
      <w:r w:rsidRPr="00B13795">
        <w:rPr>
          <w:rFonts w:ascii="Arial" w:eastAsia="Arial" w:hAnsi="Arial" w:cs="Arial"/>
          <w:sz w:val="22"/>
          <w:szCs w:val="22"/>
        </w:rPr>
        <w:t xml:space="preserve"> wil</w:t>
      </w:r>
      <w:r w:rsidRPr="00BD17CA">
        <w:rPr>
          <w:rFonts w:ascii="Arial" w:eastAsia="Arial" w:hAnsi="Arial" w:cs="Arial"/>
          <w:sz w:val="22"/>
          <w:szCs w:val="22"/>
        </w:rPr>
        <w:t>l</w:t>
      </w:r>
      <w:r w:rsidRPr="00B13795">
        <w:rPr>
          <w:rFonts w:ascii="Arial" w:eastAsia="Arial" w:hAnsi="Arial" w:cs="Arial"/>
          <w:sz w:val="22"/>
          <w:szCs w:val="22"/>
        </w:rPr>
        <w:t xml:space="preserve"> o</w:t>
      </w:r>
      <w:r w:rsidRPr="00BD17CA">
        <w:rPr>
          <w:rFonts w:ascii="Arial" w:eastAsia="Arial" w:hAnsi="Arial" w:cs="Arial"/>
          <w:sz w:val="22"/>
          <w:szCs w:val="22"/>
        </w:rPr>
        <w:t>n</w:t>
      </w:r>
      <w:r w:rsidRPr="00B13795">
        <w:rPr>
          <w:rFonts w:ascii="Arial" w:eastAsia="Arial" w:hAnsi="Arial" w:cs="Arial"/>
          <w:sz w:val="22"/>
          <w:szCs w:val="22"/>
        </w:rPr>
        <w:t>l</w:t>
      </w:r>
      <w:r w:rsidRPr="00BD17CA">
        <w:rPr>
          <w:rFonts w:ascii="Arial" w:eastAsia="Arial" w:hAnsi="Arial" w:cs="Arial"/>
          <w:sz w:val="22"/>
          <w:szCs w:val="22"/>
        </w:rPr>
        <w:t>y</w:t>
      </w:r>
      <w:r w:rsidRPr="00B13795">
        <w:rPr>
          <w:rFonts w:ascii="Arial" w:eastAsia="Arial" w:hAnsi="Arial" w:cs="Arial"/>
          <w:sz w:val="22"/>
          <w:szCs w:val="22"/>
        </w:rPr>
        <w:t xml:space="preserve"> b</w:t>
      </w:r>
      <w:r w:rsidRPr="00BD17CA">
        <w:rPr>
          <w:rFonts w:ascii="Arial" w:eastAsia="Arial" w:hAnsi="Arial" w:cs="Arial"/>
          <w:sz w:val="22"/>
          <w:szCs w:val="22"/>
        </w:rPr>
        <w:t>e</w:t>
      </w:r>
      <w:r w:rsidRPr="00B13795">
        <w:rPr>
          <w:rFonts w:ascii="Arial" w:eastAsia="Arial" w:hAnsi="Arial" w:cs="Arial"/>
          <w:sz w:val="22"/>
          <w:szCs w:val="22"/>
        </w:rPr>
        <w:t xml:space="preserve"> i</w:t>
      </w:r>
      <w:r w:rsidRPr="00BD17CA">
        <w:rPr>
          <w:rFonts w:ascii="Arial" w:eastAsia="Arial" w:hAnsi="Arial" w:cs="Arial"/>
          <w:sz w:val="22"/>
          <w:szCs w:val="22"/>
        </w:rPr>
        <w:t>d</w:t>
      </w:r>
      <w:r w:rsidRPr="00B13795">
        <w:rPr>
          <w:rFonts w:ascii="Arial" w:eastAsia="Arial" w:hAnsi="Arial" w:cs="Arial"/>
          <w:sz w:val="22"/>
          <w:szCs w:val="22"/>
        </w:rPr>
        <w:t>e</w:t>
      </w:r>
      <w:r w:rsidRPr="00BD17CA">
        <w:rPr>
          <w:rFonts w:ascii="Arial" w:eastAsia="Arial" w:hAnsi="Arial" w:cs="Arial"/>
          <w:sz w:val="22"/>
          <w:szCs w:val="22"/>
        </w:rPr>
        <w:t>n</w:t>
      </w:r>
      <w:r w:rsidRPr="00B13795">
        <w:rPr>
          <w:rFonts w:ascii="Arial" w:eastAsia="Arial" w:hAnsi="Arial" w:cs="Arial"/>
          <w:sz w:val="22"/>
          <w:szCs w:val="22"/>
        </w:rPr>
        <w:t>tifi</w:t>
      </w:r>
      <w:r w:rsidRPr="00BD17CA">
        <w:rPr>
          <w:rFonts w:ascii="Arial" w:eastAsia="Arial" w:hAnsi="Arial" w:cs="Arial"/>
          <w:sz w:val="22"/>
          <w:szCs w:val="22"/>
        </w:rPr>
        <w:t>ed</w:t>
      </w:r>
      <w:r w:rsidRPr="00B13795">
        <w:rPr>
          <w:rFonts w:ascii="Arial" w:eastAsia="Arial" w:hAnsi="Arial" w:cs="Arial"/>
          <w:sz w:val="22"/>
          <w:szCs w:val="22"/>
        </w:rPr>
        <w:t xml:space="preserve"> b</w:t>
      </w:r>
      <w:r w:rsidRPr="00BD17CA">
        <w:rPr>
          <w:rFonts w:ascii="Arial" w:eastAsia="Arial" w:hAnsi="Arial" w:cs="Arial"/>
          <w:sz w:val="22"/>
          <w:szCs w:val="22"/>
        </w:rPr>
        <w:t>y</w:t>
      </w:r>
      <w:r w:rsidRPr="00B13795">
        <w:rPr>
          <w:rFonts w:ascii="Arial" w:eastAsia="Arial" w:hAnsi="Arial" w:cs="Arial"/>
          <w:sz w:val="22"/>
          <w:szCs w:val="22"/>
        </w:rPr>
        <w:t xml:space="preserve"> t</w:t>
      </w:r>
      <w:r w:rsidRPr="00BD17CA">
        <w:rPr>
          <w:rFonts w:ascii="Arial" w:eastAsia="Arial" w:hAnsi="Arial" w:cs="Arial"/>
          <w:sz w:val="22"/>
          <w:szCs w:val="22"/>
        </w:rPr>
        <w:t>he</w:t>
      </w:r>
      <w:r w:rsidRPr="00B13795">
        <w:rPr>
          <w:rFonts w:ascii="Arial" w:eastAsia="Arial" w:hAnsi="Arial" w:cs="Arial"/>
          <w:sz w:val="22"/>
          <w:szCs w:val="22"/>
        </w:rPr>
        <w:t xml:space="preserve"> </w:t>
      </w:r>
      <w:r w:rsidRPr="00BD17CA">
        <w:rPr>
          <w:rFonts w:ascii="Arial" w:eastAsia="Arial" w:hAnsi="Arial" w:cs="Arial"/>
          <w:sz w:val="22"/>
          <w:szCs w:val="22"/>
        </w:rPr>
        <w:t>o</w:t>
      </w:r>
      <w:r w:rsidRPr="00B13795">
        <w:rPr>
          <w:rFonts w:ascii="Arial" w:eastAsia="Arial" w:hAnsi="Arial" w:cs="Arial"/>
          <w:sz w:val="22"/>
          <w:szCs w:val="22"/>
        </w:rPr>
        <w:t>cc</w:t>
      </w:r>
      <w:r w:rsidRPr="00BD17CA">
        <w:rPr>
          <w:rFonts w:ascii="Arial" w:eastAsia="Arial" w:hAnsi="Arial" w:cs="Arial"/>
          <w:sz w:val="22"/>
          <w:szCs w:val="22"/>
        </w:rPr>
        <w:t>u</w:t>
      </w:r>
      <w:r w:rsidRPr="00B13795">
        <w:rPr>
          <w:rFonts w:ascii="Arial" w:eastAsia="Arial" w:hAnsi="Arial" w:cs="Arial"/>
          <w:sz w:val="22"/>
          <w:szCs w:val="22"/>
        </w:rPr>
        <w:t>rr</w:t>
      </w:r>
      <w:r w:rsidRPr="00BD17CA">
        <w:rPr>
          <w:rFonts w:ascii="Arial" w:eastAsia="Arial" w:hAnsi="Arial" w:cs="Arial"/>
          <w:sz w:val="22"/>
          <w:szCs w:val="22"/>
        </w:rPr>
        <w:t>e</w:t>
      </w:r>
      <w:r w:rsidRPr="00B13795">
        <w:rPr>
          <w:rFonts w:ascii="Arial" w:eastAsia="Arial" w:hAnsi="Arial" w:cs="Arial"/>
          <w:sz w:val="22"/>
          <w:szCs w:val="22"/>
        </w:rPr>
        <w:t>nc</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of</w:t>
      </w:r>
      <w:r w:rsidRPr="00B13795">
        <w:rPr>
          <w:rFonts w:ascii="Arial" w:eastAsia="Arial" w:hAnsi="Arial" w:cs="Arial"/>
          <w:sz w:val="22"/>
          <w:szCs w:val="22"/>
        </w:rPr>
        <w:t xml:space="preserve"> f</w:t>
      </w:r>
      <w:r w:rsidRPr="00BD17CA">
        <w:rPr>
          <w:rFonts w:ascii="Arial" w:eastAsia="Arial" w:hAnsi="Arial" w:cs="Arial"/>
          <w:sz w:val="22"/>
          <w:szCs w:val="22"/>
        </w:rPr>
        <w:t>ut</w:t>
      </w:r>
      <w:r w:rsidRPr="00B13795">
        <w:rPr>
          <w:rFonts w:ascii="Arial" w:eastAsia="Arial" w:hAnsi="Arial" w:cs="Arial"/>
          <w:sz w:val="22"/>
          <w:szCs w:val="22"/>
        </w:rPr>
        <w:t>ur</w:t>
      </w:r>
      <w:r w:rsidRPr="00BD17CA">
        <w:rPr>
          <w:rFonts w:ascii="Arial" w:eastAsia="Arial" w:hAnsi="Arial" w:cs="Arial"/>
          <w:sz w:val="22"/>
          <w:szCs w:val="22"/>
        </w:rPr>
        <w:t>e</w:t>
      </w:r>
      <w:r w:rsidRPr="00B13795">
        <w:rPr>
          <w:rFonts w:ascii="Arial" w:eastAsia="Arial" w:hAnsi="Arial" w:cs="Arial"/>
          <w:sz w:val="22"/>
          <w:szCs w:val="22"/>
        </w:rPr>
        <w:t xml:space="preserve"> ev</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s</w:t>
      </w:r>
      <w:r w:rsidRPr="00BD17CA">
        <w:rPr>
          <w:rFonts w:ascii="Arial" w:eastAsia="Arial" w:hAnsi="Arial" w:cs="Arial"/>
          <w:sz w:val="22"/>
          <w:szCs w:val="22"/>
        </w:rPr>
        <w:t>.</w:t>
      </w:r>
      <w:r w:rsidRPr="00B13795">
        <w:rPr>
          <w:rFonts w:ascii="Arial" w:eastAsia="Arial" w:hAnsi="Arial" w:cs="Arial"/>
          <w:sz w:val="22"/>
          <w:szCs w:val="22"/>
        </w:rPr>
        <w:t xml:space="preserve"> </w:t>
      </w:r>
      <w:r w:rsidRPr="00BD17CA">
        <w:rPr>
          <w:rFonts w:ascii="Arial" w:eastAsia="Arial" w:hAnsi="Arial" w:cs="Arial"/>
          <w:sz w:val="22"/>
          <w:szCs w:val="22"/>
        </w:rPr>
        <w:t>C</w:t>
      </w:r>
      <w:r w:rsidRPr="00B13795">
        <w:rPr>
          <w:rFonts w:ascii="Arial" w:eastAsia="Arial" w:hAnsi="Arial" w:cs="Arial"/>
          <w:sz w:val="22"/>
          <w:szCs w:val="22"/>
        </w:rPr>
        <w:t>o</w:t>
      </w:r>
      <w:r w:rsidRPr="00BD17CA">
        <w:rPr>
          <w:rFonts w:ascii="Arial" w:eastAsia="Arial" w:hAnsi="Arial" w:cs="Arial"/>
          <w:sz w:val="22"/>
          <w:szCs w:val="22"/>
        </w:rPr>
        <w:t>nt</w:t>
      </w:r>
      <w:r w:rsidRPr="00B13795">
        <w:rPr>
          <w:rFonts w:ascii="Arial" w:eastAsia="Arial" w:hAnsi="Arial" w:cs="Arial"/>
          <w:sz w:val="22"/>
          <w:szCs w:val="22"/>
        </w:rPr>
        <w:t>i</w:t>
      </w:r>
      <w:r w:rsidRPr="00BD17CA">
        <w:rPr>
          <w:rFonts w:ascii="Arial" w:eastAsia="Arial" w:hAnsi="Arial" w:cs="Arial"/>
          <w:sz w:val="22"/>
          <w:szCs w:val="22"/>
        </w:rPr>
        <w:t>n</w:t>
      </w:r>
      <w:r w:rsidRPr="00B13795">
        <w:rPr>
          <w:rFonts w:ascii="Arial" w:eastAsia="Arial" w:hAnsi="Arial" w:cs="Arial"/>
          <w:sz w:val="22"/>
          <w:szCs w:val="22"/>
        </w:rPr>
        <w:t>g</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li</w:t>
      </w:r>
      <w:r w:rsidRPr="00BD17CA">
        <w:rPr>
          <w:rFonts w:ascii="Arial" w:eastAsia="Arial" w:hAnsi="Arial" w:cs="Arial"/>
          <w:sz w:val="22"/>
          <w:szCs w:val="22"/>
        </w:rPr>
        <w:t>a</w:t>
      </w:r>
      <w:r w:rsidRPr="00B13795">
        <w:rPr>
          <w:rFonts w:ascii="Arial" w:eastAsia="Arial" w:hAnsi="Arial" w:cs="Arial"/>
          <w:sz w:val="22"/>
          <w:szCs w:val="22"/>
        </w:rPr>
        <w:t>bili</w:t>
      </w:r>
      <w:r w:rsidRPr="00BD17CA">
        <w:rPr>
          <w:rFonts w:ascii="Arial" w:eastAsia="Arial" w:hAnsi="Arial" w:cs="Arial"/>
          <w:sz w:val="22"/>
          <w:szCs w:val="22"/>
        </w:rPr>
        <w:t>t</w:t>
      </w:r>
      <w:r w:rsidRPr="00B13795">
        <w:rPr>
          <w:rFonts w:ascii="Arial" w:eastAsia="Arial" w:hAnsi="Arial" w:cs="Arial"/>
          <w:sz w:val="22"/>
          <w:szCs w:val="22"/>
        </w:rPr>
        <w:t>i</w:t>
      </w:r>
      <w:r w:rsidRPr="00BD17CA">
        <w:rPr>
          <w:rFonts w:ascii="Arial" w:eastAsia="Arial" w:hAnsi="Arial" w:cs="Arial"/>
          <w:sz w:val="22"/>
          <w:szCs w:val="22"/>
        </w:rPr>
        <w:t>es</w:t>
      </w:r>
      <w:r w:rsidRPr="00B13795">
        <w:rPr>
          <w:rFonts w:ascii="Arial" w:eastAsia="Arial" w:hAnsi="Arial" w:cs="Arial"/>
          <w:sz w:val="22"/>
          <w:szCs w:val="22"/>
        </w:rPr>
        <w:t xml:space="preserve"> c</w:t>
      </w:r>
      <w:r w:rsidRPr="00BD17CA">
        <w:rPr>
          <w:rFonts w:ascii="Arial" w:eastAsia="Arial" w:hAnsi="Arial" w:cs="Arial"/>
          <w:sz w:val="22"/>
          <w:szCs w:val="22"/>
        </w:rPr>
        <w:t>an</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ls</w:t>
      </w:r>
      <w:r w:rsidRPr="00BD17CA">
        <w:rPr>
          <w:rFonts w:ascii="Arial" w:eastAsia="Arial" w:hAnsi="Arial" w:cs="Arial"/>
          <w:sz w:val="22"/>
          <w:szCs w:val="22"/>
        </w:rPr>
        <w:t>o</w:t>
      </w:r>
      <w:r w:rsidRPr="00B13795">
        <w:rPr>
          <w:rFonts w:ascii="Arial" w:eastAsia="Arial" w:hAnsi="Arial" w:cs="Arial"/>
          <w:sz w:val="22"/>
          <w:szCs w:val="22"/>
        </w:rPr>
        <w:t xml:space="preserve"> </w:t>
      </w:r>
      <w:r w:rsidRPr="00BD17CA">
        <w:rPr>
          <w:rFonts w:ascii="Arial" w:eastAsia="Arial" w:hAnsi="Arial" w:cs="Arial"/>
          <w:sz w:val="22"/>
          <w:szCs w:val="22"/>
        </w:rPr>
        <w:t>arise</w:t>
      </w:r>
      <w:r w:rsidRPr="00B13795">
        <w:rPr>
          <w:rFonts w:ascii="Arial" w:eastAsia="Arial" w:hAnsi="Arial" w:cs="Arial"/>
          <w:sz w:val="22"/>
          <w:szCs w:val="22"/>
        </w:rPr>
        <w:t xml:space="preserve"> i</w:t>
      </w:r>
      <w:r w:rsidRPr="00BD17CA">
        <w:rPr>
          <w:rFonts w:ascii="Arial" w:eastAsia="Arial" w:hAnsi="Arial" w:cs="Arial"/>
          <w:sz w:val="22"/>
          <w:szCs w:val="22"/>
        </w:rPr>
        <w:t xml:space="preserve">n </w:t>
      </w:r>
      <w:r w:rsidRPr="00B13795">
        <w:rPr>
          <w:rFonts w:ascii="Arial" w:eastAsia="Arial" w:hAnsi="Arial" w:cs="Arial"/>
          <w:sz w:val="22"/>
          <w:szCs w:val="22"/>
        </w:rPr>
        <w:t>circums</w:t>
      </w:r>
      <w:r w:rsidRPr="00BD17CA">
        <w:rPr>
          <w:rFonts w:ascii="Arial" w:eastAsia="Arial" w:hAnsi="Arial" w:cs="Arial"/>
          <w:sz w:val="22"/>
          <w:szCs w:val="22"/>
        </w:rPr>
        <w:t>ta</w:t>
      </w:r>
      <w:r w:rsidRPr="00B13795">
        <w:rPr>
          <w:rFonts w:ascii="Arial" w:eastAsia="Arial" w:hAnsi="Arial" w:cs="Arial"/>
          <w:sz w:val="22"/>
          <w:szCs w:val="22"/>
        </w:rPr>
        <w:t>nc</w:t>
      </w:r>
      <w:r w:rsidRPr="00BD17CA">
        <w:rPr>
          <w:rFonts w:ascii="Arial" w:eastAsia="Arial" w:hAnsi="Arial" w:cs="Arial"/>
          <w:sz w:val="22"/>
          <w:szCs w:val="22"/>
        </w:rPr>
        <w:t>es where</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 xml:space="preserve"> </w:t>
      </w:r>
      <w:r w:rsidRPr="00BD17CA">
        <w:rPr>
          <w:rFonts w:ascii="Arial" w:eastAsia="Arial" w:hAnsi="Arial" w:cs="Arial"/>
          <w:sz w:val="22"/>
          <w:szCs w:val="22"/>
        </w:rPr>
        <w:t>pr</w:t>
      </w:r>
      <w:r w:rsidRPr="00B13795">
        <w:rPr>
          <w:rFonts w:ascii="Arial" w:eastAsia="Arial" w:hAnsi="Arial" w:cs="Arial"/>
          <w:sz w:val="22"/>
          <w:szCs w:val="22"/>
        </w:rPr>
        <w:t>ovisi</w:t>
      </w:r>
      <w:r w:rsidRPr="00BD17CA">
        <w:rPr>
          <w:rFonts w:ascii="Arial" w:eastAsia="Arial" w:hAnsi="Arial" w:cs="Arial"/>
          <w:sz w:val="22"/>
          <w:szCs w:val="22"/>
        </w:rPr>
        <w:t>on</w:t>
      </w:r>
      <w:r w:rsidRPr="00B13795">
        <w:rPr>
          <w:rFonts w:ascii="Arial" w:eastAsia="Arial" w:hAnsi="Arial" w:cs="Arial"/>
          <w:sz w:val="22"/>
          <w:szCs w:val="22"/>
        </w:rPr>
        <w:t xml:space="preserve"> w</w:t>
      </w:r>
      <w:r w:rsidRPr="00BD17CA">
        <w:rPr>
          <w:rFonts w:ascii="Arial" w:eastAsia="Arial" w:hAnsi="Arial" w:cs="Arial"/>
          <w:sz w:val="22"/>
          <w:szCs w:val="22"/>
        </w:rPr>
        <w:t>o</w:t>
      </w:r>
      <w:r w:rsidRPr="00B13795">
        <w:rPr>
          <w:rFonts w:ascii="Arial" w:eastAsia="Arial" w:hAnsi="Arial" w:cs="Arial"/>
          <w:sz w:val="22"/>
          <w:szCs w:val="22"/>
        </w:rPr>
        <w:t>ul</w:t>
      </w:r>
      <w:r w:rsidRPr="00BD17CA">
        <w:rPr>
          <w:rFonts w:ascii="Arial" w:eastAsia="Arial" w:hAnsi="Arial" w:cs="Arial"/>
          <w:sz w:val="22"/>
          <w:szCs w:val="22"/>
        </w:rPr>
        <w:t>d</w:t>
      </w:r>
      <w:r w:rsidRPr="00B13795">
        <w:rPr>
          <w:rFonts w:ascii="Arial" w:eastAsia="Arial" w:hAnsi="Arial" w:cs="Arial"/>
          <w:sz w:val="22"/>
          <w:szCs w:val="22"/>
        </w:rPr>
        <w:t xml:space="preserve"> </w:t>
      </w:r>
      <w:r w:rsidRPr="00BD17CA">
        <w:rPr>
          <w:rFonts w:ascii="Arial" w:eastAsia="Arial" w:hAnsi="Arial" w:cs="Arial"/>
          <w:sz w:val="22"/>
          <w:szCs w:val="22"/>
        </w:rPr>
        <w:t>be</w:t>
      </w:r>
      <w:r w:rsidRPr="00B13795">
        <w:rPr>
          <w:rFonts w:ascii="Arial" w:eastAsia="Arial" w:hAnsi="Arial" w:cs="Arial"/>
          <w:sz w:val="22"/>
          <w:szCs w:val="22"/>
        </w:rPr>
        <w:t xml:space="preserve"> m</w:t>
      </w:r>
      <w:r w:rsidRPr="00BD17CA">
        <w:rPr>
          <w:rFonts w:ascii="Arial" w:eastAsia="Arial" w:hAnsi="Arial" w:cs="Arial"/>
          <w:sz w:val="22"/>
          <w:szCs w:val="22"/>
        </w:rPr>
        <w:t>a</w:t>
      </w:r>
      <w:r w:rsidRPr="00B13795">
        <w:rPr>
          <w:rFonts w:ascii="Arial" w:eastAsia="Arial" w:hAnsi="Arial" w:cs="Arial"/>
          <w:sz w:val="22"/>
          <w:szCs w:val="22"/>
        </w:rPr>
        <w:t>d</w:t>
      </w:r>
      <w:r w:rsidRPr="00BD17CA">
        <w:rPr>
          <w:rFonts w:ascii="Arial" w:eastAsia="Arial" w:hAnsi="Arial" w:cs="Arial"/>
          <w:sz w:val="22"/>
          <w:szCs w:val="22"/>
        </w:rPr>
        <w:t>e,</w:t>
      </w:r>
      <w:r w:rsidRPr="00B13795">
        <w:rPr>
          <w:rFonts w:ascii="Arial" w:eastAsia="Arial" w:hAnsi="Arial" w:cs="Arial"/>
          <w:sz w:val="22"/>
          <w:szCs w:val="22"/>
        </w:rPr>
        <w:t xml:space="preserve"> b</w:t>
      </w:r>
      <w:r w:rsidRPr="00BD17CA">
        <w:rPr>
          <w:rFonts w:ascii="Arial" w:eastAsia="Arial" w:hAnsi="Arial" w:cs="Arial"/>
          <w:sz w:val="22"/>
          <w:szCs w:val="22"/>
        </w:rPr>
        <w:t>ut</w:t>
      </w:r>
      <w:r w:rsidRPr="00B13795">
        <w:rPr>
          <w:rFonts w:ascii="Arial" w:eastAsia="Arial" w:hAnsi="Arial" w:cs="Arial"/>
          <w:sz w:val="22"/>
          <w:szCs w:val="22"/>
        </w:rPr>
        <w:t xml:space="preserve"> i</w:t>
      </w:r>
      <w:r w:rsidRPr="00BD17CA">
        <w:rPr>
          <w:rFonts w:ascii="Arial" w:eastAsia="Arial" w:hAnsi="Arial" w:cs="Arial"/>
          <w:sz w:val="22"/>
          <w:szCs w:val="22"/>
        </w:rPr>
        <w:t>t</w:t>
      </w:r>
      <w:r w:rsidRPr="00B13795">
        <w:rPr>
          <w:rFonts w:ascii="Arial" w:eastAsia="Arial" w:hAnsi="Arial" w:cs="Arial"/>
          <w:sz w:val="22"/>
          <w:szCs w:val="22"/>
        </w:rPr>
        <w:t xml:space="preserve"> i</w:t>
      </w:r>
      <w:r w:rsidRPr="00BD17CA">
        <w:rPr>
          <w:rFonts w:ascii="Arial" w:eastAsia="Arial" w:hAnsi="Arial" w:cs="Arial"/>
          <w:sz w:val="22"/>
          <w:szCs w:val="22"/>
        </w:rPr>
        <w:t>s</w:t>
      </w:r>
      <w:r w:rsidRPr="00B13795">
        <w:rPr>
          <w:rFonts w:ascii="Arial" w:eastAsia="Arial" w:hAnsi="Arial" w:cs="Arial"/>
          <w:sz w:val="22"/>
          <w:szCs w:val="22"/>
        </w:rPr>
        <w:t xml:space="preserve"> n</w:t>
      </w:r>
      <w:r w:rsidRPr="00BD17CA">
        <w:rPr>
          <w:rFonts w:ascii="Arial" w:eastAsia="Arial" w:hAnsi="Arial" w:cs="Arial"/>
          <w:sz w:val="22"/>
          <w:szCs w:val="22"/>
        </w:rPr>
        <w:t>ot</w:t>
      </w:r>
      <w:r w:rsidRPr="00B13795">
        <w:rPr>
          <w:rFonts w:ascii="Arial" w:eastAsia="Arial" w:hAnsi="Arial" w:cs="Arial"/>
          <w:sz w:val="22"/>
          <w:szCs w:val="22"/>
        </w:rPr>
        <w:t xml:space="preserve"> </w:t>
      </w:r>
      <w:r w:rsidRPr="00BD17CA">
        <w:rPr>
          <w:rFonts w:ascii="Arial" w:eastAsia="Arial" w:hAnsi="Arial" w:cs="Arial"/>
          <w:sz w:val="22"/>
          <w:szCs w:val="22"/>
        </w:rPr>
        <w:t>p</w:t>
      </w:r>
      <w:r w:rsidRPr="00B13795">
        <w:rPr>
          <w:rFonts w:ascii="Arial" w:eastAsia="Arial" w:hAnsi="Arial" w:cs="Arial"/>
          <w:sz w:val="22"/>
          <w:szCs w:val="22"/>
        </w:rPr>
        <w:t>ossibl</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to</w:t>
      </w:r>
      <w:r w:rsidRPr="00B13795">
        <w:rPr>
          <w:rFonts w:ascii="Arial" w:eastAsia="Arial" w:hAnsi="Arial" w:cs="Arial"/>
          <w:sz w:val="22"/>
          <w:szCs w:val="22"/>
        </w:rPr>
        <w:t xml:space="preserve"> m</w:t>
      </w:r>
      <w:r w:rsidRPr="00BD17CA">
        <w:rPr>
          <w:rFonts w:ascii="Arial" w:eastAsia="Arial" w:hAnsi="Arial" w:cs="Arial"/>
          <w:sz w:val="22"/>
          <w:szCs w:val="22"/>
        </w:rPr>
        <w:t>e</w:t>
      </w:r>
      <w:r w:rsidRPr="00B13795">
        <w:rPr>
          <w:rFonts w:ascii="Arial" w:eastAsia="Arial" w:hAnsi="Arial" w:cs="Arial"/>
          <w:sz w:val="22"/>
          <w:szCs w:val="22"/>
        </w:rPr>
        <w:t>as</w:t>
      </w:r>
      <w:r w:rsidRPr="00BD17CA">
        <w:rPr>
          <w:rFonts w:ascii="Arial" w:eastAsia="Arial" w:hAnsi="Arial" w:cs="Arial"/>
          <w:sz w:val="22"/>
          <w:szCs w:val="22"/>
        </w:rPr>
        <w:t>ure</w:t>
      </w:r>
      <w:r w:rsidRPr="00B13795">
        <w:rPr>
          <w:rFonts w:ascii="Arial" w:eastAsia="Arial" w:hAnsi="Arial" w:cs="Arial"/>
          <w:sz w:val="22"/>
          <w:szCs w:val="22"/>
        </w:rPr>
        <w:t xml:space="preserve"> </w:t>
      </w:r>
      <w:r w:rsidRPr="00BD17CA">
        <w:rPr>
          <w:rFonts w:ascii="Arial" w:eastAsia="Arial" w:hAnsi="Arial" w:cs="Arial"/>
          <w:sz w:val="22"/>
          <w:szCs w:val="22"/>
        </w:rPr>
        <w:t>t</w:t>
      </w:r>
      <w:r w:rsidRPr="00B13795">
        <w:rPr>
          <w:rFonts w:ascii="Arial" w:eastAsia="Arial" w:hAnsi="Arial" w:cs="Arial"/>
          <w:sz w:val="22"/>
          <w:szCs w:val="22"/>
        </w:rPr>
        <w:t>h</w:t>
      </w:r>
      <w:r w:rsidRPr="00BD17CA">
        <w:rPr>
          <w:rFonts w:ascii="Arial" w:eastAsia="Arial" w:hAnsi="Arial" w:cs="Arial"/>
          <w:sz w:val="22"/>
          <w:szCs w:val="22"/>
        </w:rPr>
        <w:t>e</w:t>
      </w:r>
      <w:r w:rsidRPr="00B13795">
        <w:rPr>
          <w:rFonts w:ascii="Arial" w:eastAsia="Arial" w:hAnsi="Arial" w:cs="Arial"/>
          <w:sz w:val="22"/>
          <w:szCs w:val="22"/>
        </w:rPr>
        <w:t xml:space="preserve"> val</w:t>
      </w:r>
      <w:r w:rsidRPr="00BD17CA">
        <w:rPr>
          <w:rFonts w:ascii="Arial" w:eastAsia="Arial" w:hAnsi="Arial" w:cs="Arial"/>
          <w:sz w:val="22"/>
          <w:szCs w:val="22"/>
        </w:rPr>
        <w:t>ue</w:t>
      </w:r>
      <w:r w:rsidRPr="00B13795">
        <w:rPr>
          <w:rFonts w:ascii="Arial" w:eastAsia="Arial" w:hAnsi="Arial" w:cs="Arial"/>
          <w:sz w:val="22"/>
          <w:szCs w:val="22"/>
        </w:rPr>
        <w:t xml:space="preserve"> </w:t>
      </w:r>
      <w:r w:rsidRPr="00BD17CA">
        <w:rPr>
          <w:rFonts w:ascii="Arial" w:eastAsia="Arial" w:hAnsi="Arial" w:cs="Arial"/>
          <w:sz w:val="22"/>
          <w:szCs w:val="22"/>
        </w:rPr>
        <w:t>of</w:t>
      </w:r>
      <w:r w:rsidRPr="00B13795">
        <w:rPr>
          <w:rFonts w:ascii="Arial" w:eastAsia="Arial" w:hAnsi="Arial" w:cs="Arial"/>
          <w:sz w:val="22"/>
          <w:szCs w:val="22"/>
        </w:rPr>
        <w:t xml:space="preserve"> </w:t>
      </w:r>
      <w:r w:rsidRPr="00BD17CA">
        <w:rPr>
          <w:rFonts w:ascii="Arial" w:eastAsia="Arial" w:hAnsi="Arial" w:cs="Arial"/>
          <w:sz w:val="22"/>
          <w:szCs w:val="22"/>
        </w:rPr>
        <w:t>t</w:t>
      </w:r>
      <w:r w:rsidRPr="00B13795">
        <w:rPr>
          <w:rFonts w:ascii="Arial" w:eastAsia="Arial" w:hAnsi="Arial" w:cs="Arial"/>
          <w:sz w:val="22"/>
          <w:szCs w:val="22"/>
        </w:rPr>
        <w:t>h</w:t>
      </w:r>
      <w:r w:rsidRPr="00BD17CA">
        <w:rPr>
          <w:rFonts w:ascii="Arial" w:eastAsia="Arial" w:hAnsi="Arial" w:cs="Arial"/>
          <w:sz w:val="22"/>
          <w:szCs w:val="22"/>
        </w:rPr>
        <w:t>e</w:t>
      </w:r>
      <w:r w:rsidRPr="00B13795">
        <w:rPr>
          <w:rFonts w:ascii="Arial" w:eastAsia="Arial" w:hAnsi="Arial" w:cs="Arial"/>
          <w:sz w:val="22"/>
          <w:szCs w:val="22"/>
        </w:rPr>
        <w:t xml:space="preserve"> fin</w:t>
      </w:r>
      <w:r w:rsidRPr="00BD17CA">
        <w:rPr>
          <w:rFonts w:ascii="Arial" w:eastAsia="Arial" w:hAnsi="Arial" w:cs="Arial"/>
          <w:sz w:val="22"/>
          <w:szCs w:val="22"/>
        </w:rPr>
        <w:t>a</w:t>
      </w:r>
      <w:r w:rsidRPr="00B13795">
        <w:rPr>
          <w:rFonts w:ascii="Arial" w:eastAsia="Arial" w:hAnsi="Arial" w:cs="Arial"/>
          <w:sz w:val="22"/>
          <w:szCs w:val="22"/>
        </w:rPr>
        <w:t>ncia</w:t>
      </w:r>
      <w:r w:rsidRPr="00BD17CA">
        <w:rPr>
          <w:rFonts w:ascii="Arial" w:eastAsia="Arial" w:hAnsi="Arial" w:cs="Arial"/>
          <w:sz w:val="22"/>
          <w:szCs w:val="22"/>
        </w:rPr>
        <w:t>l o</w:t>
      </w:r>
      <w:r w:rsidRPr="00B13795">
        <w:rPr>
          <w:rFonts w:ascii="Arial" w:eastAsia="Arial" w:hAnsi="Arial" w:cs="Arial"/>
          <w:sz w:val="22"/>
          <w:szCs w:val="22"/>
        </w:rPr>
        <w:t>bli</w:t>
      </w:r>
      <w:r w:rsidRPr="00BD17CA">
        <w:rPr>
          <w:rFonts w:ascii="Arial" w:eastAsia="Arial" w:hAnsi="Arial" w:cs="Arial"/>
          <w:sz w:val="22"/>
          <w:szCs w:val="22"/>
        </w:rPr>
        <w:t>g</w:t>
      </w:r>
      <w:r w:rsidRPr="00B13795">
        <w:rPr>
          <w:rFonts w:ascii="Arial" w:eastAsia="Arial" w:hAnsi="Arial" w:cs="Arial"/>
          <w:sz w:val="22"/>
          <w:szCs w:val="22"/>
        </w:rPr>
        <w:t>a</w:t>
      </w:r>
      <w:r w:rsidRPr="00BD17CA">
        <w:rPr>
          <w:rFonts w:ascii="Arial" w:eastAsia="Arial" w:hAnsi="Arial" w:cs="Arial"/>
          <w:sz w:val="22"/>
          <w:szCs w:val="22"/>
        </w:rPr>
        <w:t>t</w:t>
      </w:r>
      <w:r w:rsidRPr="00B13795">
        <w:rPr>
          <w:rFonts w:ascii="Arial" w:eastAsia="Arial" w:hAnsi="Arial" w:cs="Arial"/>
          <w:sz w:val="22"/>
          <w:szCs w:val="22"/>
        </w:rPr>
        <w:t>io</w:t>
      </w:r>
      <w:r w:rsidRPr="00BD17CA">
        <w:rPr>
          <w:rFonts w:ascii="Arial" w:eastAsia="Arial" w:hAnsi="Arial" w:cs="Arial"/>
          <w:sz w:val="22"/>
          <w:szCs w:val="22"/>
        </w:rPr>
        <w:t>n</w:t>
      </w:r>
      <w:r w:rsidRPr="00B13795">
        <w:rPr>
          <w:rFonts w:ascii="Arial" w:eastAsia="Arial" w:hAnsi="Arial" w:cs="Arial"/>
          <w:sz w:val="22"/>
          <w:szCs w:val="22"/>
        </w:rPr>
        <w:t xml:space="preserve"> </w:t>
      </w:r>
      <w:r w:rsidRPr="00BD17CA">
        <w:rPr>
          <w:rFonts w:ascii="Arial" w:eastAsia="Arial" w:hAnsi="Arial" w:cs="Arial"/>
          <w:sz w:val="22"/>
          <w:szCs w:val="22"/>
        </w:rPr>
        <w:t>r</w:t>
      </w:r>
      <w:r w:rsidRPr="00B13795">
        <w:rPr>
          <w:rFonts w:ascii="Arial" w:eastAsia="Arial" w:hAnsi="Arial" w:cs="Arial"/>
          <w:sz w:val="22"/>
          <w:szCs w:val="22"/>
        </w:rPr>
        <w:t>elia</w:t>
      </w:r>
      <w:r w:rsidRPr="00BD17CA">
        <w:rPr>
          <w:rFonts w:ascii="Arial" w:eastAsia="Arial" w:hAnsi="Arial" w:cs="Arial"/>
          <w:sz w:val="22"/>
          <w:szCs w:val="22"/>
        </w:rPr>
        <w:t>b</w:t>
      </w:r>
      <w:r w:rsidRPr="00B13795">
        <w:rPr>
          <w:rFonts w:ascii="Arial" w:eastAsia="Arial" w:hAnsi="Arial" w:cs="Arial"/>
          <w:sz w:val="22"/>
          <w:szCs w:val="22"/>
        </w:rPr>
        <w:t>l</w:t>
      </w:r>
      <w:r w:rsidRPr="00BD17CA">
        <w:rPr>
          <w:rFonts w:ascii="Arial" w:eastAsia="Arial" w:hAnsi="Arial" w:cs="Arial"/>
          <w:sz w:val="22"/>
          <w:szCs w:val="22"/>
        </w:rPr>
        <w:t>y</w:t>
      </w:r>
      <w:r w:rsidRPr="00B13795">
        <w:rPr>
          <w:rFonts w:ascii="Arial" w:eastAsia="Arial" w:hAnsi="Arial" w:cs="Arial"/>
          <w:sz w:val="22"/>
          <w:szCs w:val="22"/>
        </w:rPr>
        <w:t xml:space="preserve"> a</w:t>
      </w:r>
      <w:r w:rsidRPr="00BD17CA">
        <w:rPr>
          <w:rFonts w:ascii="Arial" w:eastAsia="Arial" w:hAnsi="Arial" w:cs="Arial"/>
          <w:sz w:val="22"/>
          <w:szCs w:val="22"/>
        </w:rPr>
        <w:t>t</w:t>
      </w:r>
      <w:r w:rsidRPr="00B13795">
        <w:rPr>
          <w:rFonts w:ascii="Arial" w:eastAsia="Arial" w:hAnsi="Arial" w:cs="Arial"/>
          <w:sz w:val="22"/>
          <w:szCs w:val="22"/>
        </w:rPr>
        <w:t xml:space="preserve"> </w:t>
      </w:r>
      <w:r w:rsidRPr="00BD17CA">
        <w:rPr>
          <w:rFonts w:ascii="Arial" w:eastAsia="Arial" w:hAnsi="Arial" w:cs="Arial"/>
          <w:sz w:val="22"/>
          <w:szCs w:val="22"/>
        </w:rPr>
        <w:t>t</w:t>
      </w:r>
      <w:r w:rsidRPr="00B13795">
        <w:rPr>
          <w:rFonts w:ascii="Arial" w:eastAsia="Arial" w:hAnsi="Arial" w:cs="Arial"/>
          <w:sz w:val="22"/>
          <w:szCs w:val="22"/>
        </w:rPr>
        <w:t>h</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b</w:t>
      </w:r>
      <w:r w:rsidRPr="00B13795">
        <w:rPr>
          <w:rFonts w:ascii="Arial" w:eastAsia="Arial" w:hAnsi="Arial" w:cs="Arial"/>
          <w:sz w:val="22"/>
          <w:szCs w:val="22"/>
        </w:rPr>
        <w:t>al</w:t>
      </w:r>
      <w:r w:rsidRPr="00BD17CA">
        <w:rPr>
          <w:rFonts w:ascii="Arial" w:eastAsia="Arial" w:hAnsi="Arial" w:cs="Arial"/>
          <w:sz w:val="22"/>
          <w:szCs w:val="22"/>
        </w:rPr>
        <w:t>a</w:t>
      </w:r>
      <w:r w:rsidRPr="00B13795">
        <w:rPr>
          <w:rFonts w:ascii="Arial" w:eastAsia="Arial" w:hAnsi="Arial" w:cs="Arial"/>
          <w:sz w:val="22"/>
          <w:szCs w:val="22"/>
        </w:rPr>
        <w:t>nc</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sh</w:t>
      </w:r>
      <w:r w:rsidRPr="00B13795">
        <w:rPr>
          <w:rFonts w:ascii="Arial" w:eastAsia="Arial" w:hAnsi="Arial" w:cs="Arial"/>
          <w:sz w:val="22"/>
          <w:szCs w:val="22"/>
        </w:rPr>
        <w:t>e</w:t>
      </w:r>
      <w:r w:rsidRPr="00BD17CA">
        <w:rPr>
          <w:rFonts w:ascii="Arial" w:eastAsia="Arial" w:hAnsi="Arial" w:cs="Arial"/>
          <w:sz w:val="22"/>
          <w:szCs w:val="22"/>
        </w:rPr>
        <w:t>et</w:t>
      </w:r>
      <w:r w:rsidRPr="00B13795">
        <w:rPr>
          <w:rFonts w:ascii="Arial" w:eastAsia="Arial" w:hAnsi="Arial" w:cs="Arial"/>
          <w:sz w:val="22"/>
          <w:szCs w:val="22"/>
        </w:rPr>
        <w:t xml:space="preserve"> d</w:t>
      </w:r>
      <w:r w:rsidRPr="00BD17CA">
        <w:rPr>
          <w:rFonts w:ascii="Arial" w:eastAsia="Arial" w:hAnsi="Arial" w:cs="Arial"/>
          <w:sz w:val="22"/>
          <w:szCs w:val="22"/>
        </w:rPr>
        <w:t>at</w:t>
      </w:r>
      <w:r w:rsidRPr="00B13795">
        <w:rPr>
          <w:rFonts w:ascii="Arial" w:eastAsia="Arial" w:hAnsi="Arial" w:cs="Arial"/>
          <w:sz w:val="22"/>
          <w:szCs w:val="22"/>
        </w:rPr>
        <w:t>e</w:t>
      </w:r>
      <w:r w:rsidRPr="00BD17CA">
        <w:rPr>
          <w:rFonts w:ascii="Arial" w:eastAsia="Arial" w:hAnsi="Arial" w:cs="Arial"/>
          <w:sz w:val="22"/>
          <w:szCs w:val="22"/>
        </w:rPr>
        <w:t>.</w:t>
      </w:r>
    </w:p>
    <w:p w14:paraId="5F475453" w14:textId="77777777" w:rsidR="009C7422" w:rsidRPr="00BD17CA" w:rsidRDefault="001706EB" w:rsidP="00B13795">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Con</w:t>
      </w:r>
      <w:r w:rsidRPr="00B13795">
        <w:rPr>
          <w:rFonts w:ascii="Arial" w:eastAsia="Arial" w:hAnsi="Arial" w:cs="Arial"/>
          <w:sz w:val="22"/>
          <w:szCs w:val="22"/>
        </w:rPr>
        <w:t>ti</w:t>
      </w:r>
      <w:r w:rsidRPr="00BD17CA">
        <w:rPr>
          <w:rFonts w:ascii="Arial" w:eastAsia="Arial" w:hAnsi="Arial" w:cs="Arial"/>
          <w:sz w:val="22"/>
          <w:szCs w:val="22"/>
        </w:rPr>
        <w:t>n</w:t>
      </w:r>
      <w:r w:rsidRPr="00B13795">
        <w:rPr>
          <w:rFonts w:ascii="Arial" w:eastAsia="Arial" w:hAnsi="Arial" w:cs="Arial"/>
          <w:sz w:val="22"/>
          <w:szCs w:val="22"/>
        </w:rPr>
        <w:t>g</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ss</w:t>
      </w:r>
      <w:r w:rsidRPr="00BD17CA">
        <w:rPr>
          <w:rFonts w:ascii="Arial" w:eastAsia="Arial" w:hAnsi="Arial" w:cs="Arial"/>
          <w:sz w:val="22"/>
          <w:szCs w:val="22"/>
        </w:rPr>
        <w:t>ets</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n</w:t>
      </w:r>
      <w:r w:rsidRPr="00BD17CA">
        <w:rPr>
          <w:rFonts w:ascii="Arial" w:eastAsia="Arial" w:hAnsi="Arial" w:cs="Arial"/>
          <w:sz w:val="22"/>
          <w:szCs w:val="22"/>
        </w:rPr>
        <w:t>d</w:t>
      </w:r>
      <w:r w:rsidRPr="00B13795">
        <w:rPr>
          <w:rFonts w:ascii="Arial" w:eastAsia="Arial" w:hAnsi="Arial" w:cs="Arial"/>
          <w:sz w:val="22"/>
          <w:szCs w:val="22"/>
        </w:rPr>
        <w:t xml:space="preserve"> li</w:t>
      </w:r>
      <w:r w:rsidRPr="00BD17CA">
        <w:rPr>
          <w:rFonts w:ascii="Arial" w:eastAsia="Arial" w:hAnsi="Arial" w:cs="Arial"/>
          <w:sz w:val="22"/>
          <w:szCs w:val="22"/>
        </w:rPr>
        <w:t>a</w:t>
      </w:r>
      <w:r w:rsidRPr="00B13795">
        <w:rPr>
          <w:rFonts w:ascii="Arial" w:eastAsia="Arial" w:hAnsi="Arial" w:cs="Arial"/>
          <w:sz w:val="22"/>
          <w:szCs w:val="22"/>
        </w:rPr>
        <w:t>bili</w:t>
      </w:r>
      <w:r w:rsidRPr="00BD17CA">
        <w:rPr>
          <w:rFonts w:ascii="Arial" w:eastAsia="Arial" w:hAnsi="Arial" w:cs="Arial"/>
          <w:sz w:val="22"/>
          <w:szCs w:val="22"/>
        </w:rPr>
        <w:t>t</w:t>
      </w:r>
      <w:r w:rsidRPr="00B13795">
        <w:rPr>
          <w:rFonts w:ascii="Arial" w:eastAsia="Arial" w:hAnsi="Arial" w:cs="Arial"/>
          <w:sz w:val="22"/>
          <w:szCs w:val="22"/>
        </w:rPr>
        <w:t>i</w:t>
      </w:r>
      <w:r w:rsidRPr="00BD17CA">
        <w:rPr>
          <w:rFonts w:ascii="Arial" w:eastAsia="Arial" w:hAnsi="Arial" w:cs="Arial"/>
          <w:sz w:val="22"/>
          <w:szCs w:val="22"/>
        </w:rPr>
        <w:t>es</w:t>
      </w:r>
      <w:r w:rsidRPr="00B13795">
        <w:rPr>
          <w:rFonts w:ascii="Arial" w:eastAsia="Arial" w:hAnsi="Arial" w:cs="Arial"/>
          <w:sz w:val="22"/>
          <w:szCs w:val="22"/>
        </w:rPr>
        <w:t xml:space="preserve"> </w:t>
      </w:r>
      <w:r w:rsidRPr="00BD17CA">
        <w:rPr>
          <w:rFonts w:ascii="Arial" w:eastAsia="Arial" w:hAnsi="Arial" w:cs="Arial"/>
          <w:sz w:val="22"/>
          <w:szCs w:val="22"/>
        </w:rPr>
        <w:t>are</w:t>
      </w:r>
      <w:r w:rsidRPr="00B13795">
        <w:rPr>
          <w:rFonts w:ascii="Arial" w:eastAsia="Arial" w:hAnsi="Arial" w:cs="Arial"/>
          <w:sz w:val="22"/>
          <w:szCs w:val="22"/>
        </w:rPr>
        <w:t xml:space="preserve"> n</w:t>
      </w:r>
      <w:r w:rsidRPr="00BD17CA">
        <w:rPr>
          <w:rFonts w:ascii="Arial" w:eastAsia="Arial" w:hAnsi="Arial" w:cs="Arial"/>
          <w:sz w:val="22"/>
          <w:szCs w:val="22"/>
        </w:rPr>
        <w:t>ot</w:t>
      </w:r>
      <w:r w:rsidRPr="00B13795">
        <w:rPr>
          <w:rFonts w:ascii="Arial" w:eastAsia="Arial" w:hAnsi="Arial" w:cs="Arial"/>
          <w:sz w:val="22"/>
          <w:szCs w:val="22"/>
        </w:rPr>
        <w:t xml:space="preserve"> </w:t>
      </w:r>
      <w:proofErr w:type="spellStart"/>
      <w:r w:rsidRPr="00B13795">
        <w:rPr>
          <w:rFonts w:ascii="Arial" w:eastAsia="Arial" w:hAnsi="Arial" w:cs="Arial"/>
          <w:sz w:val="22"/>
          <w:szCs w:val="22"/>
        </w:rPr>
        <w:t>r</w:t>
      </w:r>
      <w:r w:rsidRPr="00BD17CA">
        <w:rPr>
          <w:rFonts w:ascii="Arial" w:eastAsia="Arial" w:hAnsi="Arial" w:cs="Arial"/>
          <w:sz w:val="22"/>
          <w:szCs w:val="22"/>
        </w:rPr>
        <w:t>e</w:t>
      </w:r>
      <w:r w:rsidRPr="00B13795">
        <w:rPr>
          <w:rFonts w:ascii="Arial" w:eastAsia="Arial" w:hAnsi="Arial" w:cs="Arial"/>
          <w:sz w:val="22"/>
          <w:szCs w:val="22"/>
        </w:rPr>
        <w:t>c</w:t>
      </w:r>
      <w:r w:rsidRPr="00BD17CA">
        <w:rPr>
          <w:rFonts w:ascii="Arial" w:eastAsia="Arial" w:hAnsi="Arial" w:cs="Arial"/>
          <w:sz w:val="22"/>
          <w:szCs w:val="22"/>
        </w:rPr>
        <w:t>o</w:t>
      </w:r>
      <w:r w:rsidRPr="00B13795">
        <w:rPr>
          <w:rFonts w:ascii="Arial" w:eastAsia="Arial" w:hAnsi="Arial" w:cs="Arial"/>
          <w:sz w:val="22"/>
          <w:szCs w:val="22"/>
        </w:rPr>
        <w:t>g</w:t>
      </w:r>
      <w:r w:rsidRPr="00BD17CA">
        <w:rPr>
          <w:rFonts w:ascii="Arial" w:eastAsia="Arial" w:hAnsi="Arial" w:cs="Arial"/>
          <w:sz w:val="22"/>
          <w:szCs w:val="22"/>
        </w:rPr>
        <w:t>n</w:t>
      </w:r>
      <w:r w:rsidRPr="00B13795">
        <w:rPr>
          <w:rFonts w:ascii="Arial" w:eastAsia="Arial" w:hAnsi="Arial" w:cs="Arial"/>
          <w:sz w:val="22"/>
          <w:szCs w:val="22"/>
        </w:rPr>
        <w:t>ise</w:t>
      </w:r>
      <w:r w:rsidRPr="00BD17CA">
        <w:rPr>
          <w:rFonts w:ascii="Arial" w:eastAsia="Arial" w:hAnsi="Arial" w:cs="Arial"/>
          <w:sz w:val="22"/>
          <w:szCs w:val="22"/>
        </w:rPr>
        <w:t>d</w:t>
      </w:r>
      <w:proofErr w:type="spellEnd"/>
      <w:r w:rsidRPr="00B13795">
        <w:rPr>
          <w:rFonts w:ascii="Arial" w:eastAsia="Arial" w:hAnsi="Arial" w:cs="Arial"/>
          <w:sz w:val="22"/>
          <w:szCs w:val="22"/>
        </w:rPr>
        <w:t xml:space="preserve"> i</w:t>
      </w:r>
      <w:r w:rsidRPr="00BD17CA">
        <w:rPr>
          <w:rFonts w:ascii="Arial" w:eastAsia="Arial" w:hAnsi="Arial" w:cs="Arial"/>
          <w:sz w:val="22"/>
          <w:szCs w:val="22"/>
        </w:rPr>
        <w:t>n</w:t>
      </w:r>
      <w:r w:rsidRPr="00B13795">
        <w:rPr>
          <w:rFonts w:ascii="Arial" w:eastAsia="Arial" w:hAnsi="Arial" w:cs="Arial"/>
          <w:sz w:val="22"/>
          <w:szCs w:val="22"/>
        </w:rPr>
        <w:t xml:space="preserve"> t</w:t>
      </w:r>
      <w:r w:rsidRPr="00BD17CA">
        <w:rPr>
          <w:rFonts w:ascii="Arial" w:eastAsia="Arial" w:hAnsi="Arial" w:cs="Arial"/>
          <w:sz w:val="22"/>
          <w:szCs w:val="22"/>
        </w:rPr>
        <w:t>he</w:t>
      </w:r>
      <w:r w:rsidRPr="00B13795">
        <w:rPr>
          <w:rFonts w:ascii="Arial" w:eastAsia="Arial" w:hAnsi="Arial" w:cs="Arial"/>
          <w:sz w:val="22"/>
          <w:szCs w:val="22"/>
        </w:rPr>
        <w:t xml:space="preserve"> n</w:t>
      </w:r>
      <w:r w:rsidRPr="00BD17CA">
        <w:rPr>
          <w:rFonts w:ascii="Arial" w:eastAsia="Arial" w:hAnsi="Arial" w:cs="Arial"/>
          <w:sz w:val="22"/>
          <w:szCs w:val="22"/>
        </w:rPr>
        <w:t>et</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ss</w:t>
      </w:r>
      <w:r w:rsidRPr="00BD17CA">
        <w:rPr>
          <w:rFonts w:ascii="Arial" w:eastAsia="Arial" w:hAnsi="Arial" w:cs="Arial"/>
          <w:sz w:val="22"/>
          <w:szCs w:val="22"/>
        </w:rPr>
        <w:t>et</w:t>
      </w:r>
      <w:r w:rsidRPr="00B13795">
        <w:rPr>
          <w:rFonts w:ascii="Arial" w:eastAsia="Arial" w:hAnsi="Arial" w:cs="Arial"/>
          <w:sz w:val="22"/>
          <w:szCs w:val="22"/>
        </w:rPr>
        <w:t xml:space="preserve"> s</w:t>
      </w:r>
      <w:r w:rsidRPr="00BD17CA">
        <w:rPr>
          <w:rFonts w:ascii="Arial" w:eastAsia="Arial" w:hAnsi="Arial" w:cs="Arial"/>
          <w:sz w:val="22"/>
          <w:szCs w:val="22"/>
        </w:rPr>
        <w:t>t</w:t>
      </w:r>
      <w:r w:rsidRPr="00B13795">
        <w:rPr>
          <w:rFonts w:ascii="Arial" w:eastAsia="Arial" w:hAnsi="Arial" w:cs="Arial"/>
          <w:sz w:val="22"/>
          <w:szCs w:val="22"/>
        </w:rPr>
        <w:t>a</w:t>
      </w:r>
      <w:r w:rsidRPr="00BD17CA">
        <w:rPr>
          <w:rFonts w:ascii="Arial" w:eastAsia="Arial" w:hAnsi="Arial" w:cs="Arial"/>
          <w:sz w:val="22"/>
          <w:szCs w:val="22"/>
        </w:rPr>
        <w:t>te</w:t>
      </w:r>
      <w:r w:rsidRPr="00B13795">
        <w:rPr>
          <w:rFonts w:ascii="Arial" w:eastAsia="Arial" w:hAnsi="Arial" w:cs="Arial"/>
          <w:sz w:val="22"/>
          <w:szCs w:val="22"/>
        </w:rPr>
        <w:t>m</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b</w:t>
      </w:r>
      <w:r w:rsidRPr="00BD17CA">
        <w:rPr>
          <w:rFonts w:ascii="Arial" w:eastAsia="Arial" w:hAnsi="Arial" w:cs="Arial"/>
          <w:sz w:val="22"/>
          <w:szCs w:val="22"/>
        </w:rPr>
        <w:t>ut</w:t>
      </w:r>
      <w:r w:rsidRPr="00B13795">
        <w:rPr>
          <w:rFonts w:ascii="Arial" w:eastAsia="Arial" w:hAnsi="Arial" w:cs="Arial"/>
          <w:sz w:val="22"/>
          <w:szCs w:val="22"/>
        </w:rPr>
        <w:t xml:space="preserve"> </w:t>
      </w:r>
      <w:r w:rsidRPr="00BD17CA">
        <w:rPr>
          <w:rFonts w:ascii="Arial" w:eastAsia="Arial" w:hAnsi="Arial" w:cs="Arial"/>
          <w:sz w:val="22"/>
          <w:szCs w:val="22"/>
        </w:rPr>
        <w:t>are</w:t>
      </w:r>
      <w:r w:rsidRPr="00B13795">
        <w:rPr>
          <w:rFonts w:ascii="Arial" w:eastAsia="Arial" w:hAnsi="Arial" w:cs="Arial"/>
          <w:sz w:val="22"/>
          <w:szCs w:val="22"/>
        </w:rPr>
        <w:t xml:space="preserve"> </w:t>
      </w:r>
      <w:r w:rsidRPr="00BD17CA">
        <w:rPr>
          <w:rFonts w:ascii="Arial" w:eastAsia="Arial" w:hAnsi="Arial" w:cs="Arial"/>
          <w:sz w:val="22"/>
          <w:szCs w:val="22"/>
        </w:rPr>
        <w:t>d</w:t>
      </w:r>
      <w:r w:rsidRPr="00B13795">
        <w:rPr>
          <w:rFonts w:ascii="Arial" w:eastAsia="Arial" w:hAnsi="Arial" w:cs="Arial"/>
          <w:sz w:val="22"/>
          <w:szCs w:val="22"/>
        </w:rPr>
        <w:t>iscl</w:t>
      </w:r>
      <w:r w:rsidRPr="00BD17CA">
        <w:rPr>
          <w:rFonts w:ascii="Arial" w:eastAsia="Arial" w:hAnsi="Arial" w:cs="Arial"/>
          <w:sz w:val="22"/>
          <w:szCs w:val="22"/>
        </w:rPr>
        <w:t>o</w:t>
      </w:r>
      <w:r w:rsidRPr="00B13795">
        <w:rPr>
          <w:rFonts w:ascii="Arial" w:eastAsia="Arial" w:hAnsi="Arial" w:cs="Arial"/>
          <w:sz w:val="22"/>
          <w:szCs w:val="22"/>
        </w:rPr>
        <w:t>s</w:t>
      </w:r>
      <w:r w:rsidRPr="00BD17CA">
        <w:rPr>
          <w:rFonts w:ascii="Arial" w:eastAsia="Arial" w:hAnsi="Arial" w:cs="Arial"/>
          <w:sz w:val="22"/>
          <w:szCs w:val="22"/>
        </w:rPr>
        <w:t>ed</w:t>
      </w:r>
      <w:r w:rsidRPr="00B13795">
        <w:rPr>
          <w:rFonts w:ascii="Arial" w:eastAsia="Arial" w:hAnsi="Arial" w:cs="Arial"/>
          <w:sz w:val="22"/>
          <w:szCs w:val="22"/>
        </w:rPr>
        <w:t xml:space="preserve"> i</w:t>
      </w:r>
      <w:r w:rsidRPr="00BD17CA">
        <w:rPr>
          <w:rFonts w:ascii="Arial" w:eastAsia="Arial" w:hAnsi="Arial" w:cs="Arial"/>
          <w:sz w:val="22"/>
          <w:szCs w:val="22"/>
        </w:rPr>
        <w:t>n</w:t>
      </w:r>
      <w:r w:rsidRPr="00B13795">
        <w:rPr>
          <w:rFonts w:ascii="Arial" w:eastAsia="Arial" w:hAnsi="Arial" w:cs="Arial"/>
          <w:sz w:val="22"/>
          <w:szCs w:val="22"/>
        </w:rPr>
        <w:t xml:space="preserve"> t</w:t>
      </w:r>
      <w:r w:rsidRPr="00BD17CA">
        <w:rPr>
          <w:rFonts w:ascii="Arial" w:eastAsia="Arial" w:hAnsi="Arial" w:cs="Arial"/>
          <w:sz w:val="22"/>
          <w:szCs w:val="22"/>
        </w:rPr>
        <w:t>he</w:t>
      </w:r>
      <w:r w:rsidRPr="00B13795">
        <w:rPr>
          <w:rFonts w:ascii="Arial" w:eastAsia="Arial" w:hAnsi="Arial" w:cs="Arial"/>
          <w:sz w:val="22"/>
          <w:szCs w:val="22"/>
        </w:rPr>
        <w:t xml:space="preserve"> </w:t>
      </w:r>
      <w:r w:rsidRPr="00BD17CA">
        <w:rPr>
          <w:rFonts w:ascii="Arial" w:eastAsia="Arial" w:hAnsi="Arial" w:cs="Arial"/>
          <w:sz w:val="22"/>
          <w:szCs w:val="22"/>
        </w:rPr>
        <w:t>n</w:t>
      </w:r>
      <w:r w:rsidRPr="00B13795">
        <w:rPr>
          <w:rFonts w:ascii="Arial" w:eastAsia="Arial" w:hAnsi="Arial" w:cs="Arial"/>
          <w:sz w:val="22"/>
          <w:szCs w:val="22"/>
        </w:rPr>
        <w:t>o</w:t>
      </w:r>
      <w:r w:rsidRPr="00BD17CA">
        <w:rPr>
          <w:rFonts w:ascii="Arial" w:eastAsia="Arial" w:hAnsi="Arial" w:cs="Arial"/>
          <w:sz w:val="22"/>
          <w:szCs w:val="22"/>
        </w:rPr>
        <w:t>tes.</w:t>
      </w:r>
    </w:p>
    <w:p w14:paraId="2A35254E" w14:textId="77777777" w:rsidR="00B13795" w:rsidRDefault="001706EB" w:rsidP="00B13795">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N</w:t>
      </w:r>
      <w:r w:rsidRPr="00B13795">
        <w:rPr>
          <w:rFonts w:ascii="Arial" w:eastAsia="Arial" w:hAnsi="Arial" w:cs="Arial"/>
          <w:b/>
          <w:sz w:val="22"/>
          <w:szCs w:val="22"/>
        </w:rPr>
        <w:t>OT</w:t>
      </w:r>
      <w:r w:rsidRPr="00BD17CA">
        <w:rPr>
          <w:rFonts w:ascii="Arial" w:eastAsia="Arial" w:hAnsi="Arial" w:cs="Arial"/>
          <w:b/>
          <w:sz w:val="22"/>
          <w:szCs w:val="22"/>
        </w:rPr>
        <w:t>E</w:t>
      </w:r>
      <w:r w:rsidRPr="00B13795">
        <w:rPr>
          <w:rFonts w:ascii="Arial" w:eastAsia="Arial" w:hAnsi="Arial" w:cs="Arial"/>
          <w:b/>
          <w:sz w:val="22"/>
          <w:szCs w:val="22"/>
        </w:rPr>
        <w:t xml:space="preserve"> </w:t>
      </w:r>
      <w:r w:rsidRPr="00BD17CA">
        <w:rPr>
          <w:rFonts w:ascii="Arial" w:eastAsia="Arial" w:hAnsi="Arial" w:cs="Arial"/>
          <w:b/>
          <w:sz w:val="22"/>
          <w:szCs w:val="22"/>
        </w:rPr>
        <w:t>4:</w:t>
      </w:r>
      <w:r w:rsidRPr="00B13795">
        <w:rPr>
          <w:rFonts w:ascii="Arial" w:eastAsia="Arial" w:hAnsi="Arial" w:cs="Arial"/>
          <w:b/>
          <w:sz w:val="22"/>
          <w:szCs w:val="22"/>
        </w:rPr>
        <w:t xml:space="preserve"> </w:t>
      </w:r>
      <w:r w:rsidRPr="00BD17CA">
        <w:rPr>
          <w:rFonts w:ascii="Arial" w:eastAsia="Arial" w:hAnsi="Arial" w:cs="Arial"/>
          <w:b/>
          <w:sz w:val="22"/>
          <w:szCs w:val="22"/>
        </w:rPr>
        <w:t>CRI</w:t>
      </w:r>
      <w:r w:rsidRPr="00B13795">
        <w:rPr>
          <w:rFonts w:ascii="Arial" w:eastAsia="Arial" w:hAnsi="Arial" w:cs="Arial"/>
          <w:b/>
          <w:sz w:val="22"/>
          <w:szCs w:val="22"/>
        </w:rPr>
        <w:t>T</w:t>
      </w:r>
      <w:r w:rsidRPr="00BD17CA">
        <w:rPr>
          <w:rFonts w:ascii="Arial" w:eastAsia="Arial" w:hAnsi="Arial" w:cs="Arial"/>
          <w:b/>
          <w:sz w:val="22"/>
          <w:szCs w:val="22"/>
        </w:rPr>
        <w:t>I</w:t>
      </w:r>
      <w:r w:rsidRPr="00B13795">
        <w:rPr>
          <w:rFonts w:ascii="Arial" w:eastAsia="Arial" w:hAnsi="Arial" w:cs="Arial"/>
          <w:b/>
          <w:sz w:val="22"/>
          <w:szCs w:val="22"/>
        </w:rPr>
        <w:t>CA</w:t>
      </w:r>
      <w:r w:rsidRPr="00BD17CA">
        <w:rPr>
          <w:rFonts w:ascii="Arial" w:eastAsia="Arial" w:hAnsi="Arial" w:cs="Arial"/>
          <w:b/>
          <w:sz w:val="22"/>
          <w:szCs w:val="22"/>
        </w:rPr>
        <w:t>L</w:t>
      </w:r>
      <w:r w:rsidRPr="00B13795">
        <w:rPr>
          <w:rFonts w:ascii="Arial" w:eastAsia="Arial" w:hAnsi="Arial" w:cs="Arial"/>
          <w:b/>
          <w:sz w:val="22"/>
          <w:szCs w:val="22"/>
        </w:rPr>
        <w:t xml:space="preserve"> </w:t>
      </w:r>
      <w:r w:rsidRPr="00BD17CA">
        <w:rPr>
          <w:rFonts w:ascii="Arial" w:eastAsia="Arial" w:hAnsi="Arial" w:cs="Arial"/>
          <w:b/>
          <w:sz w:val="22"/>
          <w:szCs w:val="22"/>
        </w:rPr>
        <w:t>J</w:t>
      </w:r>
      <w:r w:rsidRPr="00B13795">
        <w:rPr>
          <w:rFonts w:ascii="Arial" w:eastAsia="Arial" w:hAnsi="Arial" w:cs="Arial"/>
          <w:b/>
          <w:sz w:val="22"/>
          <w:szCs w:val="22"/>
        </w:rPr>
        <w:t>U</w:t>
      </w:r>
      <w:r w:rsidRPr="00BD17CA">
        <w:rPr>
          <w:rFonts w:ascii="Arial" w:eastAsia="Arial" w:hAnsi="Arial" w:cs="Arial"/>
          <w:b/>
          <w:sz w:val="22"/>
          <w:szCs w:val="22"/>
        </w:rPr>
        <w:t>D</w:t>
      </w:r>
      <w:r w:rsidRPr="00B13795">
        <w:rPr>
          <w:rFonts w:ascii="Arial" w:eastAsia="Arial" w:hAnsi="Arial" w:cs="Arial"/>
          <w:b/>
          <w:sz w:val="22"/>
          <w:szCs w:val="22"/>
        </w:rPr>
        <w:t>GEME</w:t>
      </w:r>
      <w:r w:rsidRPr="00BD17CA">
        <w:rPr>
          <w:rFonts w:ascii="Arial" w:eastAsia="Arial" w:hAnsi="Arial" w:cs="Arial"/>
          <w:b/>
          <w:sz w:val="22"/>
          <w:szCs w:val="22"/>
        </w:rPr>
        <w:t>N</w:t>
      </w:r>
      <w:r w:rsidRPr="00B13795">
        <w:rPr>
          <w:rFonts w:ascii="Arial" w:eastAsia="Arial" w:hAnsi="Arial" w:cs="Arial"/>
          <w:b/>
          <w:sz w:val="22"/>
          <w:szCs w:val="22"/>
        </w:rPr>
        <w:t>T</w:t>
      </w:r>
      <w:r w:rsidRPr="00BD17CA">
        <w:rPr>
          <w:rFonts w:ascii="Arial" w:eastAsia="Arial" w:hAnsi="Arial" w:cs="Arial"/>
          <w:b/>
          <w:sz w:val="22"/>
          <w:szCs w:val="22"/>
        </w:rPr>
        <w:t>S</w:t>
      </w:r>
      <w:r w:rsidRPr="00B13795">
        <w:rPr>
          <w:rFonts w:ascii="Arial" w:eastAsia="Arial" w:hAnsi="Arial" w:cs="Arial"/>
          <w:b/>
          <w:sz w:val="22"/>
          <w:szCs w:val="22"/>
        </w:rPr>
        <w:t xml:space="preserve"> </w:t>
      </w:r>
      <w:r w:rsidRPr="00BD17CA">
        <w:rPr>
          <w:rFonts w:ascii="Arial" w:eastAsia="Arial" w:hAnsi="Arial" w:cs="Arial"/>
          <w:b/>
          <w:sz w:val="22"/>
          <w:szCs w:val="22"/>
        </w:rPr>
        <w:t xml:space="preserve">IN </w:t>
      </w:r>
      <w:r w:rsidRPr="00B13795">
        <w:rPr>
          <w:rFonts w:ascii="Arial" w:eastAsia="Arial" w:hAnsi="Arial" w:cs="Arial"/>
          <w:b/>
          <w:sz w:val="22"/>
          <w:szCs w:val="22"/>
        </w:rPr>
        <w:t>APP</w:t>
      </w:r>
      <w:r w:rsidRPr="00BD17CA">
        <w:rPr>
          <w:rFonts w:ascii="Arial" w:eastAsia="Arial" w:hAnsi="Arial" w:cs="Arial"/>
          <w:b/>
          <w:sz w:val="22"/>
          <w:szCs w:val="22"/>
        </w:rPr>
        <w:t>L</w:t>
      </w:r>
      <w:r w:rsidRPr="00B13795">
        <w:rPr>
          <w:rFonts w:ascii="Arial" w:eastAsia="Arial" w:hAnsi="Arial" w:cs="Arial"/>
          <w:b/>
          <w:sz w:val="22"/>
          <w:szCs w:val="22"/>
        </w:rPr>
        <w:t>Y</w:t>
      </w:r>
      <w:r w:rsidRPr="00BD17CA">
        <w:rPr>
          <w:rFonts w:ascii="Arial" w:eastAsia="Arial" w:hAnsi="Arial" w:cs="Arial"/>
          <w:b/>
          <w:sz w:val="22"/>
          <w:szCs w:val="22"/>
        </w:rPr>
        <w:t>ING</w:t>
      </w:r>
      <w:r w:rsidRPr="00B13795">
        <w:rPr>
          <w:rFonts w:ascii="Arial" w:eastAsia="Arial" w:hAnsi="Arial" w:cs="Arial"/>
          <w:b/>
          <w:sz w:val="22"/>
          <w:szCs w:val="22"/>
        </w:rPr>
        <w:t xml:space="preserve"> A</w:t>
      </w:r>
      <w:r w:rsidRPr="00BD17CA">
        <w:rPr>
          <w:rFonts w:ascii="Arial" w:eastAsia="Arial" w:hAnsi="Arial" w:cs="Arial"/>
          <w:b/>
          <w:sz w:val="22"/>
          <w:szCs w:val="22"/>
        </w:rPr>
        <w:t>CC</w:t>
      </w:r>
      <w:r w:rsidRPr="00B13795">
        <w:rPr>
          <w:rFonts w:ascii="Arial" w:eastAsia="Arial" w:hAnsi="Arial" w:cs="Arial"/>
          <w:b/>
          <w:sz w:val="22"/>
          <w:szCs w:val="22"/>
        </w:rPr>
        <w:t>O</w:t>
      </w:r>
      <w:r w:rsidRPr="00BD17CA">
        <w:rPr>
          <w:rFonts w:ascii="Arial" w:eastAsia="Arial" w:hAnsi="Arial" w:cs="Arial"/>
          <w:b/>
          <w:sz w:val="22"/>
          <w:szCs w:val="22"/>
        </w:rPr>
        <w:t>UN</w:t>
      </w:r>
      <w:r w:rsidRPr="00B13795">
        <w:rPr>
          <w:rFonts w:ascii="Arial" w:eastAsia="Arial" w:hAnsi="Arial" w:cs="Arial"/>
          <w:b/>
          <w:sz w:val="22"/>
          <w:szCs w:val="22"/>
        </w:rPr>
        <w:t>T</w:t>
      </w:r>
      <w:r w:rsidRPr="00BD17CA">
        <w:rPr>
          <w:rFonts w:ascii="Arial" w:eastAsia="Arial" w:hAnsi="Arial" w:cs="Arial"/>
          <w:b/>
          <w:sz w:val="22"/>
          <w:szCs w:val="22"/>
        </w:rPr>
        <w:t>ING</w:t>
      </w:r>
      <w:r w:rsidRPr="00B13795">
        <w:rPr>
          <w:rFonts w:ascii="Arial" w:eastAsia="Arial" w:hAnsi="Arial" w:cs="Arial"/>
          <w:b/>
          <w:sz w:val="22"/>
          <w:szCs w:val="22"/>
        </w:rPr>
        <w:t xml:space="preserve"> PO</w:t>
      </w:r>
      <w:r w:rsidRPr="00BD17CA">
        <w:rPr>
          <w:rFonts w:ascii="Arial" w:eastAsia="Arial" w:hAnsi="Arial" w:cs="Arial"/>
          <w:b/>
          <w:sz w:val="22"/>
          <w:szCs w:val="22"/>
        </w:rPr>
        <w:t>LICI</w:t>
      </w:r>
      <w:r w:rsidRPr="00B13795">
        <w:rPr>
          <w:rFonts w:ascii="Arial" w:eastAsia="Arial" w:hAnsi="Arial" w:cs="Arial"/>
          <w:b/>
          <w:sz w:val="22"/>
          <w:szCs w:val="22"/>
        </w:rPr>
        <w:t>E</w:t>
      </w:r>
      <w:r w:rsidRPr="00BD17CA">
        <w:rPr>
          <w:rFonts w:ascii="Arial" w:eastAsia="Arial" w:hAnsi="Arial" w:cs="Arial"/>
          <w:b/>
          <w:sz w:val="22"/>
          <w:szCs w:val="22"/>
        </w:rPr>
        <w:t xml:space="preserve">S </w:t>
      </w:r>
    </w:p>
    <w:p w14:paraId="4E7ADF99" w14:textId="527D410B" w:rsidR="009C7422" w:rsidRPr="00B13795" w:rsidRDefault="001706EB" w:rsidP="00B13795">
      <w:pPr>
        <w:spacing w:after="200" w:line="276" w:lineRule="auto"/>
        <w:ind w:right="74"/>
        <w:jc w:val="both"/>
        <w:rPr>
          <w:rFonts w:ascii="Arial" w:eastAsia="Arial" w:hAnsi="Arial" w:cs="Arial"/>
          <w:b/>
          <w:sz w:val="22"/>
          <w:szCs w:val="22"/>
        </w:rPr>
      </w:pPr>
      <w:r w:rsidRPr="00B13795">
        <w:rPr>
          <w:rFonts w:ascii="Arial" w:eastAsia="Arial" w:hAnsi="Arial" w:cs="Arial"/>
          <w:b/>
          <w:sz w:val="22"/>
          <w:szCs w:val="22"/>
        </w:rPr>
        <w:t>P</w:t>
      </w:r>
      <w:r w:rsidRPr="00BD17CA">
        <w:rPr>
          <w:rFonts w:ascii="Arial" w:eastAsia="Arial" w:hAnsi="Arial" w:cs="Arial"/>
          <w:b/>
          <w:sz w:val="22"/>
          <w:szCs w:val="22"/>
        </w:rPr>
        <w:t>ension</w:t>
      </w:r>
      <w:r w:rsidRPr="00B13795">
        <w:rPr>
          <w:rFonts w:ascii="Arial" w:eastAsia="Arial" w:hAnsi="Arial" w:cs="Arial"/>
          <w:b/>
          <w:sz w:val="22"/>
          <w:szCs w:val="22"/>
        </w:rPr>
        <w:t xml:space="preserve"> </w:t>
      </w:r>
      <w:r w:rsidRPr="00BD17CA">
        <w:rPr>
          <w:rFonts w:ascii="Arial" w:eastAsia="Arial" w:hAnsi="Arial" w:cs="Arial"/>
          <w:b/>
          <w:sz w:val="22"/>
          <w:szCs w:val="22"/>
        </w:rPr>
        <w:t>F</w:t>
      </w:r>
      <w:r w:rsidRPr="00B13795">
        <w:rPr>
          <w:rFonts w:ascii="Arial" w:eastAsia="Arial" w:hAnsi="Arial" w:cs="Arial"/>
          <w:b/>
          <w:sz w:val="22"/>
          <w:szCs w:val="22"/>
        </w:rPr>
        <w:t>u</w:t>
      </w:r>
      <w:r w:rsidRPr="00BD17CA">
        <w:rPr>
          <w:rFonts w:ascii="Arial" w:eastAsia="Arial" w:hAnsi="Arial" w:cs="Arial"/>
          <w:b/>
          <w:sz w:val="22"/>
          <w:szCs w:val="22"/>
        </w:rPr>
        <w:t>nd</w:t>
      </w:r>
      <w:r w:rsidRPr="00B13795">
        <w:rPr>
          <w:rFonts w:ascii="Arial" w:eastAsia="Arial" w:hAnsi="Arial" w:cs="Arial"/>
          <w:b/>
          <w:sz w:val="22"/>
          <w:szCs w:val="22"/>
        </w:rPr>
        <w:t xml:space="preserve"> </w:t>
      </w:r>
      <w:r w:rsidRPr="00BD17CA">
        <w:rPr>
          <w:rFonts w:ascii="Arial" w:eastAsia="Arial" w:hAnsi="Arial" w:cs="Arial"/>
          <w:b/>
          <w:sz w:val="22"/>
          <w:szCs w:val="22"/>
        </w:rPr>
        <w:t>L</w:t>
      </w:r>
      <w:r w:rsidRPr="00B13795">
        <w:rPr>
          <w:rFonts w:ascii="Arial" w:eastAsia="Arial" w:hAnsi="Arial" w:cs="Arial"/>
          <w:b/>
          <w:sz w:val="22"/>
          <w:szCs w:val="22"/>
        </w:rPr>
        <w:t>i</w:t>
      </w:r>
      <w:r w:rsidRPr="00BD17CA">
        <w:rPr>
          <w:rFonts w:ascii="Arial" w:eastAsia="Arial" w:hAnsi="Arial" w:cs="Arial"/>
          <w:b/>
          <w:sz w:val="22"/>
          <w:szCs w:val="22"/>
        </w:rPr>
        <w:t>abili</w:t>
      </w:r>
      <w:r w:rsidRPr="00B13795">
        <w:rPr>
          <w:rFonts w:ascii="Arial" w:eastAsia="Arial" w:hAnsi="Arial" w:cs="Arial"/>
          <w:b/>
          <w:sz w:val="22"/>
          <w:szCs w:val="22"/>
        </w:rPr>
        <w:t>t</w:t>
      </w:r>
      <w:r w:rsidRPr="00BD17CA">
        <w:rPr>
          <w:rFonts w:ascii="Arial" w:eastAsia="Arial" w:hAnsi="Arial" w:cs="Arial"/>
          <w:b/>
          <w:sz w:val="22"/>
          <w:szCs w:val="22"/>
        </w:rPr>
        <w:t>y</w:t>
      </w:r>
    </w:p>
    <w:p w14:paraId="49C78AAC" w14:textId="77777777" w:rsidR="009C7422" w:rsidRDefault="001706EB" w:rsidP="00B13795">
      <w:pPr>
        <w:spacing w:after="200" w:line="276" w:lineRule="auto"/>
        <w:ind w:right="74"/>
        <w:jc w:val="both"/>
        <w:rPr>
          <w:rFonts w:ascii="Arial" w:eastAsia="Arial" w:hAnsi="Arial" w:cs="Arial"/>
          <w:sz w:val="22"/>
          <w:szCs w:val="22"/>
        </w:rPr>
      </w:pPr>
      <w:r w:rsidRPr="00B13795">
        <w:rPr>
          <w:rFonts w:ascii="Arial" w:eastAsia="Arial" w:hAnsi="Arial" w:cs="Arial"/>
          <w:sz w:val="22"/>
          <w:szCs w:val="22"/>
        </w:rPr>
        <w:t>The net pension fund liability is re-calculated every three years by the appointed actuary, with annual updates</w:t>
      </w:r>
      <w:r w:rsidR="00B13795">
        <w:rPr>
          <w:rFonts w:ascii="Arial" w:eastAsia="Arial" w:hAnsi="Arial" w:cs="Arial"/>
          <w:sz w:val="22"/>
          <w:szCs w:val="22"/>
        </w:rPr>
        <w:t xml:space="preserve"> </w:t>
      </w:r>
      <w:r w:rsidRPr="00B13795">
        <w:rPr>
          <w:rFonts w:ascii="Arial" w:eastAsia="Arial" w:hAnsi="Arial" w:cs="Arial"/>
          <w:sz w:val="22"/>
          <w:szCs w:val="22"/>
        </w:rPr>
        <w:t>i</w:t>
      </w:r>
      <w:r w:rsidRPr="00BD17CA">
        <w:rPr>
          <w:rFonts w:ascii="Arial" w:eastAsia="Arial" w:hAnsi="Arial" w:cs="Arial"/>
          <w:sz w:val="22"/>
          <w:szCs w:val="22"/>
        </w:rPr>
        <w:t>n</w:t>
      </w:r>
      <w:r w:rsidRPr="00B13795">
        <w:rPr>
          <w:rFonts w:ascii="Arial" w:eastAsia="Arial" w:hAnsi="Arial" w:cs="Arial"/>
          <w:sz w:val="22"/>
          <w:szCs w:val="22"/>
        </w:rPr>
        <w:t xml:space="preserve"> t</w:t>
      </w:r>
      <w:r w:rsidRPr="00BD17CA">
        <w:rPr>
          <w:rFonts w:ascii="Arial" w:eastAsia="Arial" w:hAnsi="Arial" w:cs="Arial"/>
          <w:sz w:val="22"/>
          <w:szCs w:val="22"/>
        </w:rPr>
        <w:t>he</w:t>
      </w:r>
      <w:r w:rsidRPr="00B13795">
        <w:rPr>
          <w:rFonts w:ascii="Arial" w:eastAsia="Arial" w:hAnsi="Arial" w:cs="Arial"/>
          <w:sz w:val="22"/>
          <w:szCs w:val="22"/>
        </w:rPr>
        <w:t xml:space="preserve"> i</w:t>
      </w:r>
      <w:r w:rsidRPr="00BD17CA">
        <w:rPr>
          <w:rFonts w:ascii="Arial" w:eastAsia="Arial" w:hAnsi="Arial" w:cs="Arial"/>
          <w:sz w:val="22"/>
          <w:szCs w:val="22"/>
        </w:rPr>
        <w:t>nt</w:t>
      </w:r>
      <w:r w:rsidRPr="00B13795">
        <w:rPr>
          <w:rFonts w:ascii="Arial" w:eastAsia="Arial" w:hAnsi="Arial" w:cs="Arial"/>
          <w:sz w:val="22"/>
          <w:szCs w:val="22"/>
        </w:rPr>
        <w:t>erve</w:t>
      </w:r>
      <w:r w:rsidRPr="00BD17CA">
        <w:rPr>
          <w:rFonts w:ascii="Arial" w:eastAsia="Arial" w:hAnsi="Arial" w:cs="Arial"/>
          <w:sz w:val="22"/>
          <w:szCs w:val="22"/>
        </w:rPr>
        <w:t>n</w:t>
      </w:r>
      <w:r w:rsidRPr="00B13795">
        <w:rPr>
          <w:rFonts w:ascii="Arial" w:eastAsia="Arial" w:hAnsi="Arial" w:cs="Arial"/>
          <w:sz w:val="22"/>
          <w:szCs w:val="22"/>
        </w:rPr>
        <w:t>in</w:t>
      </w:r>
      <w:r w:rsidRPr="00BD17CA">
        <w:rPr>
          <w:rFonts w:ascii="Arial" w:eastAsia="Arial" w:hAnsi="Arial" w:cs="Arial"/>
          <w:sz w:val="22"/>
          <w:szCs w:val="22"/>
        </w:rPr>
        <w:t>g</w:t>
      </w:r>
      <w:r w:rsidRPr="00B13795">
        <w:rPr>
          <w:rFonts w:ascii="Arial" w:eastAsia="Arial" w:hAnsi="Arial" w:cs="Arial"/>
          <w:sz w:val="22"/>
          <w:szCs w:val="22"/>
        </w:rPr>
        <w:t xml:space="preserve"> y</w:t>
      </w:r>
      <w:r w:rsidRPr="00BD17CA">
        <w:rPr>
          <w:rFonts w:ascii="Arial" w:eastAsia="Arial" w:hAnsi="Arial" w:cs="Arial"/>
          <w:sz w:val="22"/>
          <w:szCs w:val="22"/>
        </w:rPr>
        <w:t>e</w:t>
      </w:r>
      <w:r w:rsidRPr="00B13795">
        <w:rPr>
          <w:rFonts w:ascii="Arial" w:eastAsia="Arial" w:hAnsi="Arial" w:cs="Arial"/>
          <w:sz w:val="22"/>
          <w:szCs w:val="22"/>
        </w:rPr>
        <w:t>ars</w:t>
      </w:r>
      <w:r w:rsidRPr="00BD17CA">
        <w:rPr>
          <w:rFonts w:ascii="Arial" w:eastAsia="Arial" w:hAnsi="Arial" w:cs="Arial"/>
          <w:sz w:val="22"/>
          <w:szCs w:val="22"/>
        </w:rPr>
        <w:t>.</w:t>
      </w:r>
      <w:r w:rsidRPr="00B13795">
        <w:rPr>
          <w:rFonts w:ascii="Arial" w:eastAsia="Arial" w:hAnsi="Arial" w:cs="Arial"/>
          <w:sz w:val="22"/>
          <w:szCs w:val="22"/>
        </w:rPr>
        <w:t xml:space="preserve"> T</w:t>
      </w:r>
      <w:r w:rsidRPr="00BD17CA">
        <w:rPr>
          <w:rFonts w:ascii="Arial" w:eastAsia="Arial" w:hAnsi="Arial" w:cs="Arial"/>
          <w:sz w:val="22"/>
          <w:szCs w:val="22"/>
        </w:rPr>
        <w:t>he</w:t>
      </w:r>
      <w:r w:rsidRPr="00B13795">
        <w:rPr>
          <w:rFonts w:ascii="Arial" w:eastAsia="Arial" w:hAnsi="Arial" w:cs="Arial"/>
          <w:sz w:val="22"/>
          <w:szCs w:val="22"/>
        </w:rPr>
        <w:t xml:space="preserve"> m</w:t>
      </w:r>
      <w:r w:rsidRPr="00BD17CA">
        <w:rPr>
          <w:rFonts w:ascii="Arial" w:eastAsia="Arial" w:hAnsi="Arial" w:cs="Arial"/>
          <w:sz w:val="22"/>
          <w:szCs w:val="22"/>
        </w:rPr>
        <w:t>et</w:t>
      </w:r>
      <w:r w:rsidRPr="00B13795">
        <w:rPr>
          <w:rFonts w:ascii="Arial" w:eastAsia="Arial" w:hAnsi="Arial" w:cs="Arial"/>
          <w:sz w:val="22"/>
          <w:szCs w:val="22"/>
        </w:rPr>
        <w:t>h</w:t>
      </w:r>
      <w:r w:rsidRPr="00BD17CA">
        <w:rPr>
          <w:rFonts w:ascii="Arial" w:eastAsia="Arial" w:hAnsi="Arial" w:cs="Arial"/>
          <w:sz w:val="22"/>
          <w:szCs w:val="22"/>
        </w:rPr>
        <w:t>o</w:t>
      </w:r>
      <w:r w:rsidRPr="00B13795">
        <w:rPr>
          <w:rFonts w:ascii="Arial" w:eastAsia="Arial" w:hAnsi="Arial" w:cs="Arial"/>
          <w:sz w:val="22"/>
          <w:szCs w:val="22"/>
        </w:rPr>
        <w:t>d</w:t>
      </w:r>
      <w:r w:rsidRPr="00BD17CA">
        <w:rPr>
          <w:rFonts w:ascii="Arial" w:eastAsia="Arial" w:hAnsi="Arial" w:cs="Arial"/>
          <w:sz w:val="22"/>
          <w:szCs w:val="22"/>
        </w:rPr>
        <w:t>o</w:t>
      </w:r>
      <w:r w:rsidRPr="00B13795">
        <w:rPr>
          <w:rFonts w:ascii="Arial" w:eastAsia="Arial" w:hAnsi="Arial" w:cs="Arial"/>
          <w:sz w:val="22"/>
          <w:szCs w:val="22"/>
        </w:rPr>
        <w:t>l</w:t>
      </w:r>
      <w:r w:rsidRPr="00BD17CA">
        <w:rPr>
          <w:rFonts w:ascii="Arial" w:eastAsia="Arial" w:hAnsi="Arial" w:cs="Arial"/>
          <w:sz w:val="22"/>
          <w:szCs w:val="22"/>
        </w:rPr>
        <w:t>o</w:t>
      </w:r>
      <w:r w:rsidRPr="00B13795">
        <w:rPr>
          <w:rFonts w:ascii="Arial" w:eastAsia="Arial" w:hAnsi="Arial" w:cs="Arial"/>
          <w:sz w:val="22"/>
          <w:szCs w:val="22"/>
        </w:rPr>
        <w:t>g</w:t>
      </w:r>
      <w:r w:rsidRPr="00BD17CA">
        <w:rPr>
          <w:rFonts w:ascii="Arial" w:eastAsia="Arial" w:hAnsi="Arial" w:cs="Arial"/>
          <w:sz w:val="22"/>
          <w:szCs w:val="22"/>
        </w:rPr>
        <w:t>y</w:t>
      </w:r>
      <w:r w:rsidRPr="00B13795">
        <w:rPr>
          <w:rFonts w:ascii="Arial" w:eastAsia="Arial" w:hAnsi="Arial" w:cs="Arial"/>
          <w:sz w:val="22"/>
          <w:szCs w:val="22"/>
        </w:rPr>
        <w:t xml:space="preserve"> </w:t>
      </w:r>
      <w:r w:rsidRPr="00BD17CA">
        <w:rPr>
          <w:rFonts w:ascii="Arial" w:eastAsia="Arial" w:hAnsi="Arial" w:cs="Arial"/>
          <w:sz w:val="22"/>
          <w:szCs w:val="22"/>
        </w:rPr>
        <w:t>us</w:t>
      </w:r>
      <w:r w:rsidRPr="00B13795">
        <w:rPr>
          <w:rFonts w:ascii="Arial" w:eastAsia="Arial" w:hAnsi="Arial" w:cs="Arial"/>
          <w:sz w:val="22"/>
          <w:szCs w:val="22"/>
        </w:rPr>
        <w:t>e</w:t>
      </w:r>
      <w:r w:rsidRPr="00BD17CA">
        <w:rPr>
          <w:rFonts w:ascii="Arial" w:eastAsia="Arial" w:hAnsi="Arial" w:cs="Arial"/>
          <w:sz w:val="22"/>
          <w:szCs w:val="22"/>
        </w:rPr>
        <w:t>d</w:t>
      </w:r>
      <w:r w:rsidRPr="00B13795">
        <w:rPr>
          <w:rFonts w:ascii="Arial" w:eastAsia="Arial" w:hAnsi="Arial" w:cs="Arial"/>
          <w:sz w:val="22"/>
          <w:szCs w:val="22"/>
        </w:rPr>
        <w:t xml:space="preserve"> i</w:t>
      </w:r>
      <w:r w:rsidRPr="00BD17CA">
        <w:rPr>
          <w:rFonts w:ascii="Arial" w:eastAsia="Arial" w:hAnsi="Arial" w:cs="Arial"/>
          <w:sz w:val="22"/>
          <w:szCs w:val="22"/>
        </w:rPr>
        <w:t>s</w:t>
      </w:r>
      <w:r w:rsidRPr="00B13795">
        <w:rPr>
          <w:rFonts w:ascii="Arial" w:eastAsia="Arial" w:hAnsi="Arial" w:cs="Arial"/>
          <w:sz w:val="22"/>
          <w:szCs w:val="22"/>
        </w:rPr>
        <w:t xml:space="preserve"> i</w:t>
      </w:r>
      <w:r w:rsidRPr="00BD17CA">
        <w:rPr>
          <w:rFonts w:ascii="Arial" w:eastAsia="Arial" w:hAnsi="Arial" w:cs="Arial"/>
          <w:sz w:val="22"/>
          <w:szCs w:val="22"/>
        </w:rPr>
        <w:t xml:space="preserve">n </w:t>
      </w:r>
      <w:r w:rsidRPr="00B13795">
        <w:rPr>
          <w:rFonts w:ascii="Arial" w:eastAsia="Arial" w:hAnsi="Arial" w:cs="Arial"/>
          <w:sz w:val="22"/>
          <w:szCs w:val="22"/>
        </w:rPr>
        <w:t>li</w:t>
      </w:r>
      <w:r w:rsidRPr="00BD17CA">
        <w:rPr>
          <w:rFonts w:ascii="Arial" w:eastAsia="Arial" w:hAnsi="Arial" w:cs="Arial"/>
          <w:sz w:val="22"/>
          <w:szCs w:val="22"/>
        </w:rPr>
        <w:t>ne</w:t>
      </w:r>
      <w:r w:rsidRPr="00B13795">
        <w:rPr>
          <w:rFonts w:ascii="Arial" w:eastAsia="Arial" w:hAnsi="Arial" w:cs="Arial"/>
          <w:sz w:val="22"/>
          <w:szCs w:val="22"/>
        </w:rPr>
        <w:t xml:space="preserve"> </w:t>
      </w:r>
      <w:r w:rsidRPr="00BD17CA">
        <w:rPr>
          <w:rFonts w:ascii="Arial" w:eastAsia="Arial" w:hAnsi="Arial" w:cs="Arial"/>
          <w:sz w:val="22"/>
          <w:szCs w:val="22"/>
        </w:rPr>
        <w:t>w</w:t>
      </w:r>
      <w:r w:rsidRPr="00B13795">
        <w:rPr>
          <w:rFonts w:ascii="Arial" w:eastAsia="Arial" w:hAnsi="Arial" w:cs="Arial"/>
          <w:sz w:val="22"/>
          <w:szCs w:val="22"/>
        </w:rPr>
        <w:t>i</w:t>
      </w:r>
      <w:r w:rsidRPr="00BD17CA">
        <w:rPr>
          <w:rFonts w:ascii="Arial" w:eastAsia="Arial" w:hAnsi="Arial" w:cs="Arial"/>
          <w:sz w:val="22"/>
          <w:szCs w:val="22"/>
        </w:rPr>
        <w:t>th</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cc</w:t>
      </w:r>
      <w:r w:rsidRPr="00BD17CA">
        <w:rPr>
          <w:rFonts w:ascii="Arial" w:eastAsia="Arial" w:hAnsi="Arial" w:cs="Arial"/>
          <w:sz w:val="22"/>
          <w:szCs w:val="22"/>
        </w:rPr>
        <w:t>e</w:t>
      </w:r>
      <w:r w:rsidRPr="00B13795">
        <w:rPr>
          <w:rFonts w:ascii="Arial" w:eastAsia="Arial" w:hAnsi="Arial" w:cs="Arial"/>
          <w:sz w:val="22"/>
          <w:szCs w:val="22"/>
        </w:rPr>
        <w:t>p</w:t>
      </w:r>
      <w:r w:rsidRPr="00BD17CA">
        <w:rPr>
          <w:rFonts w:ascii="Arial" w:eastAsia="Arial" w:hAnsi="Arial" w:cs="Arial"/>
          <w:sz w:val="22"/>
          <w:szCs w:val="22"/>
        </w:rPr>
        <w:t>ted</w:t>
      </w:r>
      <w:r w:rsidRPr="00B13795">
        <w:rPr>
          <w:rFonts w:ascii="Arial" w:eastAsia="Arial" w:hAnsi="Arial" w:cs="Arial"/>
          <w:sz w:val="22"/>
          <w:szCs w:val="22"/>
        </w:rPr>
        <w:t xml:space="preserve"> </w:t>
      </w:r>
      <w:r w:rsidRPr="00BD17CA">
        <w:rPr>
          <w:rFonts w:ascii="Arial" w:eastAsia="Arial" w:hAnsi="Arial" w:cs="Arial"/>
          <w:sz w:val="22"/>
          <w:szCs w:val="22"/>
        </w:rPr>
        <w:t>g</w:t>
      </w:r>
      <w:r w:rsidRPr="00B13795">
        <w:rPr>
          <w:rFonts w:ascii="Arial" w:eastAsia="Arial" w:hAnsi="Arial" w:cs="Arial"/>
          <w:sz w:val="22"/>
          <w:szCs w:val="22"/>
        </w:rPr>
        <w:t>uid</w:t>
      </w:r>
      <w:r w:rsidRPr="00BD17CA">
        <w:rPr>
          <w:rFonts w:ascii="Arial" w:eastAsia="Arial" w:hAnsi="Arial" w:cs="Arial"/>
          <w:sz w:val="22"/>
          <w:szCs w:val="22"/>
        </w:rPr>
        <w:t>e</w:t>
      </w:r>
      <w:r w:rsidRPr="00B13795">
        <w:rPr>
          <w:rFonts w:ascii="Arial" w:eastAsia="Arial" w:hAnsi="Arial" w:cs="Arial"/>
          <w:sz w:val="22"/>
          <w:szCs w:val="22"/>
        </w:rPr>
        <w:t>li</w:t>
      </w:r>
      <w:r w:rsidRPr="00BD17CA">
        <w:rPr>
          <w:rFonts w:ascii="Arial" w:eastAsia="Arial" w:hAnsi="Arial" w:cs="Arial"/>
          <w:sz w:val="22"/>
          <w:szCs w:val="22"/>
        </w:rPr>
        <w:t>n</w:t>
      </w:r>
      <w:r w:rsidRPr="00B13795">
        <w:rPr>
          <w:rFonts w:ascii="Arial" w:eastAsia="Arial" w:hAnsi="Arial" w:cs="Arial"/>
          <w:sz w:val="22"/>
          <w:szCs w:val="22"/>
        </w:rPr>
        <w:t>es</w:t>
      </w:r>
      <w:r w:rsidRPr="00BD17CA">
        <w:rPr>
          <w:rFonts w:ascii="Arial" w:eastAsia="Arial" w:hAnsi="Arial" w:cs="Arial"/>
          <w:sz w:val="22"/>
          <w:szCs w:val="22"/>
        </w:rPr>
        <w:t>.</w:t>
      </w:r>
    </w:p>
    <w:p w14:paraId="06E95137" w14:textId="53B28A25" w:rsidR="009C7422" w:rsidRPr="00BD17CA" w:rsidRDefault="001706EB" w:rsidP="00B13795">
      <w:pPr>
        <w:spacing w:after="200" w:line="276" w:lineRule="auto"/>
        <w:ind w:right="74"/>
        <w:jc w:val="both"/>
        <w:rPr>
          <w:rFonts w:ascii="Arial" w:eastAsia="Arial" w:hAnsi="Arial" w:cs="Arial"/>
          <w:sz w:val="22"/>
          <w:szCs w:val="22"/>
        </w:rPr>
      </w:pPr>
      <w:r w:rsidRPr="00B13795">
        <w:rPr>
          <w:rFonts w:ascii="Arial" w:eastAsia="Arial" w:hAnsi="Arial" w:cs="Arial"/>
          <w:sz w:val="22"/>
          <w:szCs w:val="22"/>
        </w:rPr>
        <w:t>T</w:t>
      </w:r>
      <w:r w:rsidRPr="00BD17CA">
        <w:rPr>
          <w:rFonts w:ascii="Arial" w:eastAsia="Arial" w:hAnsi="Arial" w:cs="Arial"/>
          <w:sz w:val="22"/>
          <w:szCs w:val="22"/>
        </w:rPr>
        <w:t>h</w:t>
      </w:r>
      <w:r w:rsidRPr="00B13795">
        <w:rPr>
          <w:rFonts w:ascii="Arial" w:eastAsia="Arial" w:hAnsi="Arial" w:cs="Arial"/>
          <w:sz w:val="22"/>
          <w:szCs w:val="22"/>
        </w:rPr>
        <w:t>i</w:t>
      </w:r>
      <w:r w:rsidRPr="00BD17CA">
        <w:rPr>
          <w:rFonts w:ascii="Arial" w:eastAsia="Arial" w:hAnsi="Arial" w:cs="Arial"/>
          <w:sz w:val="22"/>
          <w:szCs w:val="22"/>
        </w:rPr>
        <w:t>s</w:t>
      </w:r>
      <w:r w:rsidRPr="00B13795">
        <w:rPr>
          <w:rFonts w:ascii="Arial" w:eastAsia="Arial" w:hAnsi="Arial" w:cs="Arial"/>
          <w:sz w:val="22"/>
          <w:szCs w:val="22"/>
        </w:rPr>
        <w:t xml:space="preserve"> </w:t>
      </w:r>
      <w:r w:rsidRPr="00BD17CA">
        <w:rPr>
          <w:rFonts w:ascii="Arial" w:eastAsia="Arial" w:hAnsi="Arial" w:cs="Arial"/>
          <w:sz w:val="22"/>
          <w:szCs w:val="22"/>
        </w:rPr>
        <w:t>e</w:t>
      </w:r>
      <w:r w:rsidRPr="00B13795">
        <w:rPr>
          <w:rFonts w:ascii="Arial" w:eastAsia="Arial" w:hAnsi="Arial" w:cs="Arial"/>
          <w:sz w:val="22"/>
          <w:szCs w:val="22"/>
        </w:rPr>
        <w:t>s</w:t>
      </w:r>
      <w:r w:rsidRPr="00BD17CA">
        <w:rPr>
          <w:rFonts w:ascii="Arial" w:eastAsia="Arial" w:hAnsi="Arial" w:cs="Arial"/>
          <w:sz w:val="22"/>
          <w:szCs w:val="22"/>
        </w:rPr>
        <w:t>t</w:t>
      </w:r>
      <w:r w:rsidRPr="00B13795">
        <w:rPr>
          <w:rFonts w:ascii="Arial" w:eastAsia="Arial" w:hAnsi="Arial" w:cs="Arial"/>
          <w:sz w:val="22"/>
          <w:szCs w:val="22"/>
        </w:rPr>
        <w:t>im</w:t>
      </w:r>
      <w:r w:rsidRPr="00BD17CA">
        <w:rPr>
          <w:rFonts w:ascii="Arial" w:eastAsia="Arial" w:hAnsi="Arial" w:cs="Arial"/>
          <w:sz w:val="22"/>
          <w:szCs w:val="22"/>
        </w:rPr>
        <w:t>ate</w:t>
      </w:r>
      <w:r w:rsidRPr="00B13795">
        <w:rPr>
          <w:rFonts w:ascii="Arial" w:eastAsia="Arial" w:hAnsi="Arial" w:cs="Arial"/>
          <w:sz w:val="22"/>
          <w:szCs w:val="22"/>
        </w:rPr>
        <w:t xml:space="preserve"> i</w:t>
      </w:r>
      <w:r w:rsidRPr="00BD17CA">
        <w:rPr>
          <w:rFonts w:ascii="Arial" w:eastAsia="Arial" w:hAnsi="Arial" w:cs="Arial"/>
          <w:sz w:val="22"/>
          <w:szCs w:val="22"/>
        </w:rPr>
        <w:t>s</w:t>
      </w:r>
      <w:r w:rsidRPr="00B13795">
        <w:rPr>
          <w:rFonts w:ascii="Arial" w:eastAsia="Arial" w:hAnsi="Arial" w:cs="Arial"/>
          <w:sz w:val="22"/>
          <w:szCs w:val="22"/>
        </w:rPr>
        <w:t xml:space="preserve"> s</w:t>
      </w:r>
      <w:r w:rsidRPr="00BD17CA">
        <w:rPr>
          <w:rFonts w:ascii="Arial" w:eastAsia="Arial" w:hAnsi="Arial" w:cs="Arial"/>
          <w:sz w:val="22"/>
          <w:szCs w:val="22"/>
        </w:rPr>
        <w:t>u</w:t>
      </w:r>
      <w:r w:rsidRPr="00B13795">
        <w:rPr>
          <w:rFonts w:ascii="Arial" w:eastAsia="Arial" w:hAnsi="Arial" w:cs="Arial"/>
          <w:sz w:val="22"/>
          <w:szCs w:val="22"/>
        </w:rPr>
        <w:t>bj</w:t>
      </w:r>
      <w:r w:rsidRPr="00BD17CA">
        <w:rPr>
          <w:rFonts w:ascii="Arial" w:eastAsia="Arial" w:hAnsi="Arial" w:cs="Arial"/>
          <w:sz w:val="22"/>
          <w:szCs w:val="22"/>
        </w:rPr>
        <w:t>e</w:t>
      </w:r>
      <w:r w:rsidRPr="00B13795">
        <w:rPr>
          <w:rFonts w:ascii="Arial" w:eastAsia="Arial" w:hAnsi="Arial" w:cs="Arial"/>
          <w:sz w:val="22"/>
          <w:szCs w:val="22"/>
        </w:rPr>
        <w:t>c</w:t>
      </w:r>
      <w:r w:rsidRPr="00BD17CA">
        <w:rPr>
          <w:rFonts w:ascii="Arial" w:eastAsia="Arial" w:hAnsi="Arial" w:cs="Arial"/>
          <w:sz w:val="22"/>
          <w:szCs w:val="22"/>
        </w:rPr>
        <w:t>t</w:t>
      </w:r>
      <w:r w:rsidRPr="00B13795">
        <w:rPr>
          <w:rFonts w:ascii="Arial" w:eastAsia="Arial" w:hAnsi="Arial" w:cs="Arial"/>
          <w:sz w:val="22"/>
          <w:szCs w:val="22"/>
        </w:rPr>
        <w:t xml:space="preserve"> </w:t>
      </w:r>
      <w:r w:rsidRPr="00BD17CA">
        <w:rPr>
          <w:rFonts w:ascii="Arial" w:eastAsia="Arial" w:hAnsi="Arial" w:cs="Arial"/>
          <w:sz w:val="22"/>
          <w:szCs w:val="22"/>
        </w:rPr>
        <w:t>to</w:t>
      </w:r>
      <w:r w:rsidRPr="00B13795">
        <w:rPr>
          <w:rFonts w:ascii="Arial" w:eastAsia="Arial" w:hAnsi="Arial" w:cs="Arial"/>
          <w:sz w:val="22"/>
          <w:szCs w:val="22"/>
        </w:rPr>
        <w:t xml:space="preserve"> si</w:t>
      </w:r>
      <w:r w:rsidRPr="00BD17CA">
        <w:rPr>
          <w:rFonts w:ascii="Arial" w:eastAsia="Arial" w:hAnsi="Arial" w:cs="Arial"/>
          <w:sz w:val="22"/>
          <w:szCs w:val="22"/>
        </w:rPr>
        <w:t>g</w:t>
      </w:r>
      <w:r w:rsidRPr="00B13795">
        <w:rPr>
          <w:rFonts w:ascii="Arial" w:eastAsia="Arial" w:hAnsi="Arial" w:cs="Arial"/>
          <w:sz w:val="22"/>
          <w:szCs w:val="22"/>
        </w:rPr>
        <w:t>nific</w:t>
      </w:r>
      <w:r w:rsidRPr="00BD17CA">
        <w:rPr>
          <w:rFonts w:ascii="Arial" w:eastAsia="Arial" w:hAnsi="Arial" w:cs="Arial"/>
          <w:sz w:val="22"/>
          <w:szCs w:val="22"/>
        </w:rPr>
        <w:t>a</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v</w:t>
      </w:r>
      <w:r w:rsidRPr="00BD17CA">
        <w:rPr>
          <w:rFonts w:ascii="Arial" w:eastAsia="Arial" w:hAnsi="Arial" w:cs="Arial"/>
          <w:sz w:val="22"/>
          <w:szCs w:val="22"/>
        </w:rPr>
        <w:t>ar</w:t>
      </w:r>
      <w:r w:rsidRPr="00B13795">
        <w:rPr>
          <w:rFonts w:ascii="Arial" w:eastAsia="Arial" w:hAnsi="Arial" w:cs="Arial"/>
          <w:sz w:val="22"/>
          <w:szCs w:val="22"/>
        </w:rPr>
        <w:t>i</w:t>
      </w:r>
      <w:r w:rsidRPr="00BD17CA">
        <w:rPr>
          <w:rFonts w:ascii="Arial" w:eastAsia="Arial" w:hAnsi="Arial" w:cs="Arial"/>
          <w:sz w:val="22"/>
          <w:szCs w:val="22"/>
        </w:rPr>
        <w:t>a</w:t>
      </w:r>
      <w:r w:rsidRPr="00B13795">
        <w:rPr>
          <w:rFonts w:ascii="Arial" w:eastAsia="Arial" w:hAnsi="Arial" w:cs="Arial"/>
          <w:sz w:val="22"/>
          <w:szCs w:val="22"/>
        </w:rPr>
        <w:t>nc</w:t>
      </w:r>
      <w:r w:rsidRPr="00BD17CA">
        <w:rPr>
          <w:rFonts w:ascii="Arial" w:eastAsia="Arial" w:hAnsi="Arial" w:cs="Arial"/>
          <w:sz w:val="22"/>
          <w:szCs w:val="22"/>
        </w:rPr>
        <w:t>es</w:t>
      </w:r>
      <w:r w:rsidRPr="00B13795">
        <w:rPr>
          <w:rFonts w:ascii="Arial" w:eastAsia="Arial" w:hAnsi="Arial" w:cs="Arial"/>
          <w:sz w:val="22"/>
          <w:szCs w:val="22"/>
        </w:rPr>
        <w:t xml:space="preserve"> b</w:t>
      </w:r>
      <w:r w:rsidRPr="00BD17CA">
        <w:rPr>
          <w:rFonts w:ascii="Arial" w:eastAsia="Arial" w:hAnsi="Arial" w:cs="Arial"/>
          <w:sz w:val="22"/>
          <w:szCs w:val="22"/>
        </w:rPr>
        <w:t>a</w:t>
      </w:r>
      <w:r w:rsidRPr="00B13795">
        <w:rPr>
          <w:rFonts w:ascii="Arial" w:eastAsia="Arial" w:hAnsi="Arial" w:cs="Arial"/>
          <w:sz w:val="22"/>
          <w:szCs w:val="22"/>
        </w:rPr>
        <w:t>s</w:t>
      </w:r>
      <w:r w:rsidRPr="00BD17CA">
        <w:rPr>
          <w:rFonts w:ascii="Arial" w:eastAsia="Arial" w:hAnsi="Arial" w:cs="Arial"/>
          <w:sz w:val="22"/>
          <w:szCs w:val="22"/>
        </w:rPr>
        <w:t>ed</w:t>
      </w:r>
      <w:r w:rsidRPr="00B13795">
        <w:rPr>
          <w:rFonts w:ascii="Arial" w:eastAsia="Arial" w:hAnsi="Arial" w:cs="Arial"/>
          <w:sz w:val="22"/>
          <w:szCs w:val="22"/>
        </w:rPr>
        <w:t xml:space="preserve"> </w:t>
      </w:r>
      <w:r w:rsidRPr="00BD17CA">
        <w:rPr>
          <w:rFonts w:ascii="Arial" w:eastAsia="Arial" w:hAnsi="Arial" w:cs="Arial"/>
          <w:sz w:val="22"/>
          <w:szCs w:val="22"/>
        </w:rPr>
        <w:t>on</w:t>
      </w:r>
      <w:r w:rsidRPr="00B13795">
        <w:rPr>
          <w:rFonts w:ascii="Arial" w:eastAsia="Arial" w:hAnsi="Arial" w:cs="Arial"/>
          <w:sz w:val="22"/>
          <w:szCs w:val="22"/>
        </w:rPr>
        <w:t xml:space="preserve"> ch</w:t>
      </w:r>
      <w:r w:rsidRPr="00BD17CA">
        <w:rPr>
          <w:rFonts w:ascii="Arial" w:eastAsia="Arial" w:hAnsi="Arial" w:cs="Arial"/>
          <w:sz w:val="22"/>
          <w:szCs w:val="22"/>
        </w:rPr>
        <w:t>a</w:t>
      </w:r>
      <w:r w:rsidRPr="00B13795">
        <w:rPr>
          <w:rFonts w:ascii="Arial" w:eastAsia="Arial" w:hAnsi="Arial" w:cs="Arial"/>
          <w:sz w:val="22"/>
          <w:szCs w:val="22"/>
        </w:rPr>
        <w:t>ng</w:t>
      </w:r>
      <w:r w:rsidRPr="00BD17CA">
        <w:rPr>
          <w:rFonts w:ascii="Arial" w:eastAsia="Arial" w:hAnsi="Arial" w:cs="Arial"/>
          <w:sz w:val="22"/>
          <w:szCs w:val="22"/>
        </w:rPr>
        <w:t>es</w:t>
      </w:r>
      <w:r w:rsidRPr="00B13795">
        <w:rPr>
          <w:rFonts w:ascii="Arial" w:eastAsia="Arial" w:hAnsi="Arial" w:cs="Arial"/>
          <w:sz w:val="22"/>
          <w:szCs w:val="22"/>
        </w:rPr>
        <w:t xml:space="preserve"> </w:t>
      </w:r>
      <w:r w:rsidRPr="00BD17CA">
        <w:rPr>
          <w:rFonts w:ascii="Arial" w:eastAsia="Arial" w:hAnsi="Arial" w:cs="Arial"/>
          <w:sz w:val="22"/>
          <w:szCs w:val="22"/>
        </w:rPr>
        <w:t>to</w:t>
      </w:r>
      <w:r w:rsidRPr="00B13795">
        <w:rPr>
          <w:rFonts w:ascii="Arial" w:eastAsia="Arial" w:hAnsi="Arial" w:cs="Arial"/>
          <w:sz w:val="22"/>
          <w:szCs w:val="22"/>
        </w:rPr>
        <w:t xml:space="preserve"> </w:t>
      </w:r>
      <w:r w:rsidRPr="00BD17CA">
        <w:rPr>
          <w:rFonts w:ascii="Arial" w:eastAsia="Arial" w:hAnsi="Arial" w:cs="Arial"/>
          <w:sz w:val="22"/>
          <w:szCs w:val="22"/>
        </w:rPr>
        <w:t>the</w:t>
      </w:r>
      <w:r w:rsidRPr="00B13795">
        <w:rPr>
          <w:rFonts w:ascii="Arial" w:eastAsia="Arial" w:hAnsi="Arial" w:cs="Arial"/>
          <w:sz w:val="22"/>
          <w:szCs w:val="22"/>
        </w:rPr>
        <w:t xml:space="preserve"> underlyi</w:t>
      </w:r>
      <w:r w:rsidRPr="00BD17CA">
        <w:rPr>
          <w:rFonts w:ascii="Arial" w:eastAsia="Arial" w:hAnsi="Arial" w:cs="Arial"/>
          <w:sz w:val="22"/>
          <w:szCs w:val="22"/>
        </w:rPr>
        <w:t>ng</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ss</w:t>
      </w:r>
      <w:r w:rsidRPr="00BD17CA">
        <w:rPr>
          <w:rFonts w:ascii="Arial" w:eastAsia="Arial" w:hAnsi="Arial" w:cs="Arial"/>
          <w:sz w:val="22"/>
          <w:szCs w:val="22"/>
        </w:rPr>
        <w:t>u</w:t>
      </w:r>
      <w:r w:rsidRPr="00B13795">
        <w:rPr>
          <w:rFonts w:ascii="Arial" w:eastAsia="Arial" w:hAnsi="Arial" w:cs="Arial"/>
          <w:sz w:val="22"/>
          <w:szCs w:val="22"/>
        </w:rPr>
        <w:t>m</w:t>
      </w:r>
      <w:r w:rsidRPr="00BD17CA">
        <w:rPr>
          <w:rFonts w:ascii="Arial" w:eastAsia="Arial" w:hAnsi="Arial" w:cs="Arial"/>
          <w:sz w:val="22"/>
          <w:szCs w:val="22"/>
        </w:rPr>
        <w:t>pt</w:t>
      </w:r>
      <w:r w:rsidRPr="00B13795">
        <w:rPr>
          <w:rFonts w:ascii="Arial" w:eastAsia="Arial" w:hAnsi="Arial" w:cs="Arial"/>
          <w:sz w:val="22"/>
          <w:szCs w:val="22"/>
        </w:rPr>
        <w:t>i</w:t>
      </w:r>
      <w:r w:rsidRPr="00BD17CA">
        <w:rPr>
          <w:rFonts w:ascii="Arial" w:eastAsia="Arial" w:hAnsi="Arial" w:cs="Arial"/>
          <w:sz w:val="22"/>
          <w:szCs w:val="22"/>
        </w:rPr>
        <w:t>o</w:t>
      </w:r>
      <w:r w:rsidRPr="00B13795">
        <w:rPr>
          <w:rFonts w:ascii="Arial" w:eastAsia="Arial" w:hAnsi="Arial" w:cs="Arial"/>
          <w:sz w:val="22"/>
          <w:szCs w:val="22"/>
        </w:rPr>
        <w:t>n</w:t>
      </w:r>
      <w:r w:rsidRPr="00BD17CA">
        <w:rPr>
          <w:rFonts w:ascii="Arial" w:eastAsia="Arial" w:hAnsi="Arial" w:cs="Arial"/>
          <w:sz w:val="22"/>
          <w:szCs w:val="22"/>
        </w:rPr>
        <w:t>s</w:t>
      </w:r>
      <w:r w:rsidRPr="00B13795">
        <w:rPr>
          <w:rFonts w:ascii="Arial" w:eastAsia="Arial" w:hAnsi="Arial" w:cs="Arial"/>
          <w:sz w:val="22"/>
          <w:szCs w:val="22"/>
        </w:rPr>
        <w:t xml:space="preserve"> whic</w:t>
      </w:r>
      <w:r w:rsidRPr="00BD17CA">
        <w:rPr>
          <w:rFonts w:ascii="Arial" w:eastAsia="Arial" w:hAnsi="Arial" w:cs="Arial"/>
          <w:sz w:val="22"/>
          <w:szCs w:val="22"/>
        </w:rPr>
        <w:t>h</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r</w:t>
      </w:r>
      <w:r w:rsidRPr="00BD17CA">
        <w:rPr>
          <w:rFonts w:ascii="Arial" w:eastAsia="Arial" w:hAnsi="Arial" w:cs="Arial"/>
          <w:sz w:val="22"/>
          <w:szCs w:val="22"/>
        </w:rPr>
        <w:t>e a</w:t>
      </w:r>
      <w:r w:rsidRPr="00B13795">
        <w:rPr>
          <w:rFonts w:ascii="Arial" w:eastAsia="Arial" w:hAnsi="Arial" w:cs="Arial"/>
          <w:sz w:val="22"/>
          <w:szCs w:val="22"/>
        </w:rPr>
        <w:t>gr</w:t>
      </w:r>
      <w:r w:rsidRPr="00BD17CA">
        <w:rPr>
          <w:rFonts w:ascii="Arial" w:eastAsia="Arial" w:hAnsi="Arial" w:cs="Arial"/>
          <w:sz w:val="22"/>
          <w:szCs w:val="22"/>
        </w:rPr>
        <w:t>e</w:t>
      </w:r>
      <w:r w:rsidRPr="00B13795">
        <w:rPr>
          <w:rFonts w:ascii="Arial" w:eastAsia="Arial" w:hAnsi="Arial" w:cs="Arial"/>
          <w:sz w:val="22"/>
          <w:szCs w:val="22"/>
        </w:rPr>
        <w:t>e</w:t>
      </w:r>
      <w:r w:rsidRPr="00BD17CA">
        <w:rPr>
          <w:rFonts w:ascii="Arial" w:eastAsia="Arial" w:hAnsi="Arial" w:cs="Arial"/>
          <w:sz w:val="22"/>
          <w:szCs w:val="22"/>
        </w:rPr>
        <w:t>d</w:t>
      </w:r>
      <w:r w:rsidRPr="00B13795">
        <w:rPr>
          <w:rFonts w:ascii="Arial" w:eastAsia="Arial" w:hAnsi="Arial" w:cs="Arial"/>
          <w:sz w:val="22"/>
          <w:szCs w:val="22"/>
        </w:rPr>
        <w:t xml:space="preserve"> </w:t>
      </w:r>
      <w:r w:rsidRPr="00BD17CA">
        <w:rPr>
          <w:rFonts w:ascii="Arial" w:eastAsia="Arial" w:hAnsi="Arial" w:cs="Arial"/>
          <w:sz w:val="22"/>
          <w:szCs w:val="22"/>
        </w:rPr>
        <w:t>w</w:t>
      </w:r>
      <w:r w:rsidRPr="00B13795">
        <w:rPr>
          <w:rFonts w:ascii="Arial" w:eastAsia="Arial" w:hAnsi="Arial" w:cs="Arial"/>
          <w:sz w:val="22"/>
          <w:szCs w:val="22"/>
        </w:rPr>
        <w:t>i</w:t>
      </w:r>
      <w:r w:rsidRPr="00BD17CA">
        <w:rPr>
          <w:rFonts w:ascii="Arial" w:eastAsia="Arial" w:hAnsi="Arial" w:cs="Arial"/>
          <w:sz w:val="22"/>
          <w:szCs w:val="22"/>
        </w:rPr>
        <w:t>th</w:t>
      </w:r>
      <w:r w:rsidRPr="00B13795">
        <w:rPr>
          <w:rFonts w:ascii="Arial" w:eastAsia="Arial" w:hAnsi="Arial" w:cs="Arial"/>
          <w:sz w:val="22"/>
          <w:szCs w:val="22"/>
        </w:rPr>
        <w:t xml:space="preserve"> </w:t>
      </w:r>
      <w:r w:rsidRPr="00BD17CA">
        <w:rPr>
          <w:rFonts w:ascii="Arial" w:eastAsia="Arial" w:hAnsi="Arial" w:cs="Arial"/>
          <w:sz w:val="22"/>
          <w:szCs w:val="22"/>
        </w:rPr>
        <w:t>t</w:t>
      </w:r>
      <w:r w:rsidRPr="00B13795">
        <w:rPr>
          <w:rFonts w:ascii="Arial" w:eastAsia="Arial" w:hAnsi="Arial" w:cs="Arial"/>
          <w:sz w:val="22"/>
          <w:szCs w:val="22"/>
        </w:rPr>
        <w:t>h</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c</w:t>
      </w:r>
      <w:r w:rsidRPr="00BD17CA">
        <w:rPr>
          <w:rFonts w:ascii="Arial" w:eastAsia="Arial" w:hAnsi="Arial" w:cs="Arial"/>
          <w:sz w:val="22"/>
          <w:szCs w:val="22"/>
        </w:rPr>
        <w:t>tu</w:t>
      </w:r>
      <w:r w:rsidRPr="00B13795">
        <w:rPr>
          <w:rFonts w:ascii="Arial" w:eastAsia="Arial" w:hAnsi="Arial" w:cs="Arial"/>
          <w:sz w:val="22"/>
          <w:szCs w:val="22"/>
        </w:rPr>
        <w:t>ar</w:t>
      </w:r>
      <w:r w:rsidRPr="00BD17CA">
        <w:rPr>
          <w:rFonts w:ascii="Arial" w:eastAsia="Arial" w:hAnsi="Arial" w:cs="Arial"/>
          <w:sz w:val="22"/>
          <w:szCs w:val="22"/>
        </w:rPr>
        <w:t>y</w:t>
      </w:r>
      <w:r w:rsidRPr="00B13795">
        <w:rPr>
          <w:rFonts w:ascii="Arial" w:eastAsia="Arial" w:hAnsi="Arial" w:cs="Arial"/>
          <w:sz w:val="22"/>
          <w:szCs w:val="22"/>
        </w:rPr>
        <w:t xml:space="preserve"> an</w:t>
      </w:r>
      <w:r w:rsidRPr="00BD17CA">
        <w:rPr>
          <w:rFonts w:ascii="Arial" w:eastAsia="Arial" w:hAnsi="Arial" w:cs="Arial"/>
          <w:sz w:val="22"/>
          <w:szCs w:val="22"/>
        </w:rPr>
        <w:t>d</w:t>
      </w:r>
      <w:r w:rsidRPr="00B13795">
        <w:rPr>
          <w:rFonts w:ascii="Arial" w:eastAsia="Arial" w:hAnsi="Arial" w:cs="Arial"/>
          <w:sz w:val="22"/>
          <w:szCs w:val="22"/>
        </w:rPr>
        <w:t xml:space="preserve"> h</w:t>
      </w:r>
      <w:r w:rsidRPr="00BD17CA">
        <w:rPr>
          <w:rFonts w:ascii="Arial" w:eastAsia="Arial" w:hAnsi="Arial" w:cs="Arial"/>
          <w:sz w:val="22"/>
          <w:szCs w:val="22"/>
        </w:rPr>
        <w:t>a</w:t>
      </w:r>
      <w:r w:rsidRPr="00B13795">
        <w:rPr>
          <w:rFonts w:ascii="Arial" w:eastAsia="Arial" w:hAnsi="Arial" w:cs="Arial"/>
          <w:sz w:val="22"/>
          <w:szCs w:val="22"/>
        </w:rPr>
        <w:t>v</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b</w:t>
      </w:r>
      <w:r w:rsidRPr="00B13795">
        <w:rPr>
          <w:rFonts w:ascii="Arial" w:eastAsia="Arial" w:hAnsi="Arial" w:cs="Arial"/>
          <w:sz w:val="22"/>
          <w:szCs w:val="22"/>
        </w:rPr>
        <w:t>ee</w:t>
      </w:r>
      <w:r w:rsidRPr="00BD17CA">
        <w:rPr>
          <w:rFonts w:ascii="Arial" w:eastAsia="Arial" w:hAnsi="Arial" w:cs="Arial"/>
          <w:sz w:val="22"/>
          <w:szCs w:val="22"/>
        </w:rPr>
        <w:t>n</w:t>
      </w:r>
      <w:r w:rsidRPr="00B13795">
        <w:rPr>
          <w:rFonts w:ascii="Arial" w:eastAsia="Arial" w:hAnsi="Arial" w:cs="Arial"/>
          <w:sz w:val="22"/>
          <w:szCs w:val="22"/>
        </w:rPr>
        <w:t xml:space="preserve"> </w:t>
      </w:r>
      <w:proofErr w:type="spellStart"/>
      <w:r w:rsidRPr="00B13795">
        <w:rPr>
          <w:rFonts w:ascii="Arial" w:eastAsia="Arial" w:hAnsi="Arial" w:cs="Arial"/>
          <w:sz w:val="22"/>
          <w:szCs w:val="22"/>
        </w:rPr>
        <w:t>s</w:t>
      </w:r>
      <w:r w:rsidRPr="00BD17CA">
        <w:rPr>
          <w:rFonts w:ascii="Arial" w:eastAsia="Arial" w:hAnsi="Arial" w:cs="Arial"/>
          <w:sz w:val="22"/>
          <w:szCs w:val="22"/>
        </w:rPr>
        <w:t>u</w:t>
      </w:r>
      <w:r w:rsidRPr="00B13795">
        <w:rPr>
          <w:rFonts w:ascii="Arial" w:eastAsia="Arial" w:hAnsi="Arial" w:cs="Arial"/>
          <w:sz w:val="22"/>
          <w:szCs w:val="22"/>
        </w:rPr>
        <w:t>mm</w:t>
      </w:r>
      <w:r w:rsidRPr="00BD17CA">
        <w:rPr>
          <w:rFonts w:ascii="Arial" w:eastAsia="Arial" w:hAnsi="Arial" w:cs="Arial"/>
          <w:sz w:val="22"/>
          <w:szCs w:val="22"/>
        </w:rPr>
        <w:t>a</w:t>
      </w:r>
      <w:r w:rsidRPr="00B13795">
        <w:rPr>
          <w:rFonts w:ascii="Arial" w:eastAsia="Arial" w:hAnsi="Arial" w:cs="Arial"/>
          <w:sz w:val="22"/>
          <w:szCs w:val="22"/>
        </w:rPr>
        <w:t>ris</w:t>
      </w:r>
      <w:r w:rsidRPr="00BD17CA">
        <w:rPr>
          <w:rFonts w:ascii="Arial" w:eastAsia="Arial" w:hAnsi="Arial" w:cs="Arial"/>
          <w:sz w:val="22"/>
          <w:szCs w:val="22"/>
        </w:rPr>
        <w:t>ed</w:t>
      </w:r>
      <w:proofErr w:type="spellEnd"/>
      <w:r w:rsidRPr="00B13795">
        <w:rPr>
          <w:rFonts w:ascii="Arial" w:eastAsia="Arial" w:hAnsi="Arial" w:cs="Arial"/>
          <w:sz w:val="22"/>
          <w:szCs w:val="22"/>
        </w:rPr>
        <w:t xml:space="preserve"> i</w:t>
      </w:r>
      <w:r w:rsidRPr="00BD17CA">
        <w:rPr>
          <w:rFonts w:ascii="Arial" w:eastAsia="Arial" w:hAnsi="Arial" w:cs="Arial"/>
          <w:sz w:val="22"/>
          <w:szCs w:val="22"/>
        </w:rPr>
        <w:t>n</w:t>
      </w:r>
      <w:r w:rsidRPr="00B13795">
        <w:rPr>
          <w:rFonts w:ascii="Arial" w:eastAsia="Arial" w:hAnsi="Arial" w:cs="Arial"/>
          <w:sz w:val="22"/>
          <w:szCs w:val="22"/>
        </w:rPr>
        <w:t xml:space="preserve"> Note </w:t>
      </w:r>
      <w:r w:rsidR="00247116" w:rsidRPr="00B13795">
        <w:rPr>
          <w:rFonts w:ascii="Arial" w:eastAsia="Arial" w:hAnsi="Arial" w:cs="Arial"/>
          <w:sz w:val="22"/>
          <w:szCs w:val="22"/>
        </w:rPr>
        <w:t>1</w:t>
      </w:r>
      <w:r w:rsidR="00247116">
        <w:rPr>
          <w:rFonts w:ascii="Arial" w:eastAsia="Arial" w:hAnsi="Arial" w:cs="Arial"/>
          <w:sz w:val="22"/>
          <w:szCs w:val="22"/>
        </w:rPr>
        <w:t>7</w:t>
      </w:r>
      <w:r w:rsidRPr="00BD17CA">
        <w:rPr>
          <w:rFonts w:ascii="Arial" w:eastAsia="Arial" w:hAnsi="Arial" w:cs="Arial"/>
          <w:sz w:val="22"/>
          <w:szCs w:val="22"/>
        </w:rPr>
        <w:t>.</w:t>
      </w:r>
      <w:r w:rsidRPr="00B13795">
        <w:rPr>
          <w:rFonts w:ascii="Arial" w:eastAsia="Arial" w:hAnsi="Arial" w:cs="Arial"/>
          <w:sz w:val="22"/>
          <w:szCs w:val="22"/>
        </w:rPr>
        <w:t xml:space="preserve"> Ac</w:t>
      </w:r>
      <w:r w:rsidRPr="00BD17CA">
        <w:rPr>
          <w:rFonts w:ascii="Arial" w:eastAsia="Arial" w:hAnsi="Arial" w:cs="Arial"/>
          <w:sz w:val="22"/>
          <w:szCs w:val="22"/>
        </w:rPr>
        <w:t>tu</w:t>
      </w:r>
      <w:r w:rsidRPr="00B13795">
        <w:rPr>
          <w:rFonts w:ascii="Arial" w:eastAsia="Arial" w:hAnsi="Arial" w:cs="Arial"/>
          <w:sz w:val="22"/>
          <w:szCs w:val="22"/>
        </w:rPr>
        <w:t>ari</w:t>
      </w:r>
      <w:r w:rsidRPr="00BD17CA">
        <w:rPr>
          <w:rFonts w:ascii="Arial" w:eastAsia="Arial" w:hAnsi="Arial" w:cs="Arial"/>
          <w:sz w:val="22"/>
          <w:szCs w:val="22"/>
        </w:rPr>
        <w:t xml:space="preserve">al </w:t>
      </w:r>
      <w:r w:rsidRPr="00B13795">
        <w:rPr>
          <w:rFonts w:ascii="Arial" w:eastAsia="Arial" w:hAnsi="Arial" w:cs="Arial"/>
          <w:sz w:val="22"/>
          <w:szCs w:val="22"/>
        </w:rPr>
        <w:t>re-v</w:t>
      </w:r>
      <w:r w:rsidRPr="00BD17CA">
        <w:rPr>
          <w:rFonts w:ascii="Arial" w:eastAsia="Arial" w:hAnsi="Arial" w:cs="Arial"/>
          <w:sz w:val="22"/>
          <w:szCs w:val="22"/>
        </w:rPr>
        <w:t>a</w:t>
      </w:r>
      <w:r w:rsidRPr="00B13795">
        <w:rPr>
          <w:rFonts w:ascii="Arial" w:eastAsia="Arial" w:hAnsi="Arial" w:cs="Arial"/>
          <w:sz w:val="22"/>
          <w:szCs w:val="22"/>
        </w:rPr>
        <w:t>l</w:t>
      </w:r>
      <w:r w:rsidRPr="00BD17CA">
        <w:rPr>
          <w:rFonts w:ascii="Arial" w:eastAsia="Arial" w:hAnsi="Arial" w:cs="Arial"/>
          <w:sz w:val="22"/>
          <w:szCs w:val="22"/>
        </w:rPr>
        <w:t>u</w:t>
      </w:r>
      <w:r w:rsidRPr="00B13795">
        <w:rPr>
          <w:rFonts w:ascii="Arial" w:eastAsia="Arial" w:hAnsi="Arial" w:cs="Arial"/>
          <w:sz w:val="22"/>
          <w:szCs w:val="22"/>
        </w:rPr>
        <w:t>a</w:t>
      </w:r>
      <w:r w:rsidRPr="00BD17CA">
        <w:rPr>
          <w:rFonts w:ascii="Arial" w:eastAsia="Arial" w:hAnsi="Arial" w:cs="Arial"/>
          <w:sz w:val="22"/>
          <w:szCs w:val="22"/>
        </w:rPr>
        <w:t>t</w:t>
      </w:r>
      <w:r w:rsidRPr="00B13795">
        <w:rPr>
          <w:rFonts w:ascii="Arial" w:eastAsia="Arial" w:hAnsi="Arial" w:cs="Arial"/>
          <w:sz w:val="22"/>
          <w:szCs w:val="22"/>
        </w:rPr>
        <w:t>i</w:t>
      </w:r>
      <w:r w:rsidRPr="00BD17CA">
        <w:rPr>
          <w:rFonts w:ascii="Arial" w:eastAsia="Arial" w:hAnsi="Arial" w:cs="Arial"/>
          <w:sz w:val="22"/>
          <w:szCs w:val="22"/>
        </w:rPr>
        <w:t>o</w:t>
      </w:r>
      <w:r w:rsidRPr="00B13795">
        <w:rPr>
          <w:rFonts w:ascii="Arial" w:eastAsia="Arial" w:hAnsi="Arial" w:cs="Arial"/>
          <w:sz w:val="22"/>
          <w:szCs w:val="22"/>
        </w:rPr>
        <w:t>n</w:t>
      </w:r>
      <w:r w:rsidRPr="00BD17CA">
        <w:rPr>
          <w:rFonts w:ascii="Arial" w:eastAsia="Arial" w:hAnsi="Arial" w:cs="Arial"/>
          <w:sz w:val="22"/>
          <w:szCs w:val="22"/>
        </w:rPr>
        <w:t>s</w:t>
      </w:r>
      <w:r w:rsidRPr="00B13795">
        <w:rPr>
          <w:rFonts w:ascii="Arial" w:eastAsia="Arial" w:hAnsi="Arial" w:cs="Arial"/>
          <w:sz w:val="22"/>
          <w:szCs w:val="22"/>
        </w:rPr>
        <w:t xml:space="preserve"> </w:t>
      </w:r>
      <w:r w:rsidRPr="00BD17CA">
        <w:rPr>
          <w:rFonts w:ascii="Arial" w:eastAsia="Arial" w:hAnsi="Arial" w:cs="Arial"/>
          <w:sz w:val="22"/>
          <w:szCs w:val="22"/>
        </w:rPr>
        <w:t>are</w:t>
      </w:r>
      <w:r w:rsidRPr="00B13795">
        <w:rPr>
          <w:rFonts w:ascii="Arial" w:eastAsia="Arial" w:hAnsi="Arial" w:cs="Arial"/>
          <w:sz w:val="22"/>
          <w:szCs w:val="22"/>
        </w:rPr>
        <w:t xml:space="preserve"> </w:t>
      </w:r>
      <w:r w:rsidRPr="00BD17CA">
        <w:rPr>
          <w:rFonts w:ascii="Arial" w:eastAsia="Arial" w:hAnsi="Arial" w:cs="Arial"/>
          <w:sz w:val="22"/>
          <w:szCs w:val="22"/>
        </w:rPr>
        <w:t>u</w:t>
      </w:r>
      <w:r w:rsidRPr="00B13795">
        <w:rPr>
          <w:rFonts w:ascii="Arial" w:eastAsia="Arial" w:hAnsi="Arial" w:cs="Arial"/>
          <w:sz w:val="22"/>
          <w:szCs w:val="22"/>
        </w:rPr>
        <w:t>s</w:t>
      </w:r>
      <w:r w:rsidRPr="00BD17CA">
        <w:rPr>
          <w:rFonts w:ascii="Arial" w:eastAsia="Arial" w:hAnsi="Arial" w:cs="Arial"/>
          <w:sz w:val="22"/>
          <w:szCs w:val="22"/>
        </w:rPr>
        <w:t>ed</w:t>
      </w:r>
      <w:r w:rsidRPr="00B13795">
        <w:rPr>
          <w:rFonts w:ascii="Arial" w:eastAsia="Arial" w:hAnsi="Arial" w:cs="Arial"/>
          <w:sz w:val="22"/>
          <w:szCs w:val="22"/>
        </w:rPr>
        <w:t xml:space="preserve"> </w:t>
      </w:r>
      <w:r w:rsidRPr="00BD17CA">
        <w:rPr>
          <w:rFonts w:ascii="Arial" w:eastAsia="Arial" w:hAnsi="Arial" w:cs="Arial"/>
          <w:sz w:val="22"/>
          <w:szCs w:val="22"/>
        </w:rPr>
        <w:t>to</w:t>
      </w:r>
      <w:r w:rsidRPr="00B13795">
        <w:rPr>
          <w:rFonts w:ascii="Arial" w:eastAsia="Arial" w:hAnsi="Arial" w:cs="Arial"/>
          <w:sz w:val="22"/>
          <w:szCs w:val="22"/>
        </w:rPr>
        <w:t xml:space="preserve"> s</w:t>
      </w:r>
      <w:r w:rsidRPr="00BD17CA">
        <w:rPr>
          <w:rFonts w:ascii="Arial" w:eastAsia="Arial" w:hAnsi="Arial" w:cs="Arial"/>
          <w:sz w:val="22"/>
          <w:szCs w:val="22"/>
        </w:rPr>
        <w:t>et</w:t>
      </w:r>
      <w:r w:rsidRPr="00B13795">
        <w:rPr>
          <w:rFonts w:ascii="Arial" w:eastAsia="Arial" w:hAnsi="Arial" w:cs="Arial"/>
          <w:sz w:val="22"/>
          <w:szCs w:val="22"/>
        </w:rPr>
        <w:t xml:space="preserve"> f</w:t>
      </w:r>
      <w:r w:rsidRPr="00BD17CA">
        <w:rPr>
          <w:rFonts w:ascii="Arial" w:eastAsia="Arial" w:hAnsi="Arial" w:cs="Arial"/>
          <w:sz w:val="22"/>
          <w:szCs w:val="22"/>
        </w:rPr>
        <w:t>ut</w:t>
      </w:r>
      <w:r w:rsidRPr="00B13795">
        <w:rPr>
          <w:rFonts w:ascii="Arial" w:eastAsia="Arial" w:hAnsi="Arial" w:cs="Arial"/>
          <w:sz w:val="22"/>
          <w:szCs w:val="22"/>
        </w:rPr>
        <w:t>ur</w:t>
      </w:r>
      <w:r w:rsidRPr="00BD17CA">
        <w:rPr>
          <w:rFonts w:ascii="Arial" w:eastAsia="Arial" w:hAnsi="Arial" w:cs="Arial"/>
          <w:sz w:val="22"/>
          <w:szCs w:val="22"/>
        </w:rPr>
        <w:t xml:space="preserve">e </w:t>
      </w:r>
      <w:r w:rsidRPr="00B13795">
        <w:rPr>
          <w:rFonts w:ascii="Arial" w:eastAsia="Arial" w:hAnsi="Arial" w:cs="Arial"/>
          <w:sz w:val="22"/>
          <w:szCs w:val="22"/>
        </w:rPr>
        <w:t>c</w:t>
      </w:r>
      <w:r w:rsidRPr="00BD17CA">
        <w:rPr>
          <w:rFonts w:ascii="Arial" w:eastAsia="Arial" w:hAnsi="Arial" w:cs="Arial"/>
          <w:sz w:val="22"/>
          <w:szCs w:val="22"/>
        </w:rPr>
        <w:t>o</w:t>
      </w:r>
      <w:r w:rsidRPr="00B13795">
        <w:rPr>
          <w:rFonts w:ascii="Arial" w:eastAsia="Arial" w:hAnsi="Arial" w:cs="Arial"/>
          <w:sz w:val="22"/>
          <w:szCs w:val="22"/>
        </w:rPr>
        <w:t>n</w:t>
      </w:r>
      <w:r w:rsidRPr="00BD17CA">
        <w:rPr>
          <w:rFonts w:ascii="Arial" w:eastAsia="Arial" w:hAnsi="Arial" w:cs="Arial"/>
          <w:sz w:val="22"/>
          <w:szCs w:val="22"/>
        </w:rPr>
        <w:t>tr</w:t>
      </w:r>
      <w:r w:rsidRPr="00B13795">
        <w:rPr>
          <w:rFonts w:ascii="Arial" w:eastAsia="Arial" w:hAnsi="Arial" w:cs="Arial"/>
          <w:sz w:val="22"/>
          <w:szCs w:val="22"/>
        </w:rPr>
        <w:t>i</w:t>
      </w:r>
      <w:r w:rsidRPr="00BD17CA">
        <w:rPr>
          <w:rFonts w:ascii="Arial" w:eastAsia="Arial" w:hAnsi="Arial" w:cs="Arial"/>
          <w:sz w:val="22"/>
          <w:szCs w:val="22"/>
        </w:rPr>
        <w:t>b</w:t>
      </w:r>
      <w:r w:rsidRPr="00B13795">
        <w:rPr>
          <w:rFonts w:ascii="Arial" w:eastAsia="Arial" w:hAnsi="Arial" w:cs="Arial"/>
          <w:sz w:val="22"/>
          <w:szCs w:val="22"/>
        </w:rPr>
        <w:t>u</w:t>
      </w:r>
      <w:r w:rsidRPr="00BD17CA">
        <w:rPr>
          <w:rFonts w:ascii="Arial" w:eastAsia="Arial" w:hAnsi="Arial" w:cs="Arial"/>
          <w:sz w:val="22"/>
          <w:szCs w:val="22"/>
        </w:rPr>
        <w:t>t</w:t>
      </w:r>
      <w:r w:rsidRPr="00B13795">
        <w:rPr>
          <w:rFonts w:ascii="Arial" w:eastAsia="Arial" w:hAnsi="Arial" w:cs="Arial"/>
          <w:sz w:val="22"/>
          <w:szCs w:val="22"/>
        </w:rPr>
        <w:t>i</w:t>
      </w:r>
      <w:r w:rsidRPr="00BD17CA">
        <w:rPr>
          <w:rFonts w:ascii="Arial" w:eastAsia="Arial" w:hAnsi="Arial" w:cs="Arial"/>
          <w:sz w:val="22"/>
          <w:szCs w:val="22"/>
        </w:rPr>
        <w:t>on</w:t>
      </w:r>
      <w:r w:rsidRPr="00B13795">
        <w:rPr>
          <w:rFonts w:ascii="Arial" w:eastAsia="Arial" w:hAnsi="Arial" w:cs="Arial"/>
          <w:sz w:val="22"/>
          <w:szCs w:val="22"/>
        </w:rPr>
        <w:t xml:space="preserve"> ra</w:t>
      </w:r>
      <w:r w:rsidRPr="00BD17CA">
        <w:rPr>
          <w:rFonts w:ascii="Arial" w:eastAsia="Arial" w:hAnsi="Arial" w:cs="Arial"/>
          <w:sz w:val="22"/>
          <w:szCs w:val="22"/>
        </w:rPr>
        <w:t>tes</w:t>
      </w:r>
      <w:r w:rsidRPr="00B13795">
        <w:rPr>
          <w:rFonts w:ascii="Arial" w:eastAsia="Arial" w:hAnsi="Arial" w:cs="Arial"/>
          <w:sz w:val="22"/>
          <w:szCs w:val="22"/>
        </w:rPr>
        <w:t xml:space="preserve"> a</w:t>
      </w:r>
      <w:r w:rsidRPr="00BD17CA">
        <w:rPr>
          <w:rFonts w:ascii="Arial" w:eastAsia="Arial" w:hAnsi="Arial" w:cs="Arial"/>
          <w:sz w:val="22"/>
          <w:szCs w:val="22"/>
        </w:rPr>
        <w:t>nd</w:t>
      </w:r>
      <w:r w:rsidRPr="00B13795">
        <w:rPr>
          <w:rFonts w:ascii="Arial" w:eastAsia="Arial" w:hAnsi="Arial" w:cs="Arial"/>
          <w:sz w:val="22"/>
          <w:szCs w:val="22"/>
        </w:rPr>
        <w:t xml:space="preserve"> </w:t>
      </w:r>
      <w:r w:rsidRPr="00BD17CA">
        <w:rPr>
          <w:rFonts w:ascii="Arial" w:eastAsia="Arial" w:hAnsi="Arial" w:cs="Arial"/>
          <w:sz w:val="22"/>
          <w:szCs w:val="22"/>
        </w:rPr>
        <w:t>u</w:t>
      </w:r>
      <w:r w:rsidRPr="00B13795">
        <w:rPr>
          <w:rFonts w:ascii="Arial" w:eastAsia="Arial" w:hAnsi="Arial" w:cs="Arial"/>
          <w:sz w:val="22"/>
          <w:szCs w:val="22"/>
        </w:rPr>
        <w:t>nd</w:t>
      </w:r>
      <w:r w:rsidRPr="00BD17CA">
        <w:rPr>
          <w:rFonts w:ascii="Arial" w:eastAsia="Arial" w:hAnsi="Arial" w:cs="Arial"/>
          <w:sz w:val="22"/>
          <w:szCs w:val="22"/>
        </w:rPr>
        <w:t>erp</w:t>
      </w:r>
      <w:r w:rsidRPr="00B13795">
        <w:rPr>
          <w:rFonts w:ascii="Arial" w:eastAsia="Arial" w:hAnsi="Arial" w:cs="Arial"/>
          <w:sz w:val="22"/>
          <w:szCs w:val="22"/>
        </w:rPr>
        <w:t>i</w:t>
      </w:r>
      <w:r w:rsidRPr="00BD17CA">
        <w:rPr>
          <w:rFonts w:ascii="Arial" w:eastAsia="Arial" w:hAnsi="Arial" w:cs="Arial"/>
          <w:sz w:val="22"/>
          <w:szCs w:val="22"/>
        </w:rPr>
        <w:t>n</w:t>
      </w:r>
      <w:r w:rsidRPr="00B13795">
        <w:rPr>
          <w:rFonts w:ascii="Arial" w:eastAsia="Arial" w:hAnsi="Arial" w:cs="Arial"/>
          <w:sz w:val="22"/>
          <w:szCs w:val="22"/>
        </w:rPr>
        <w:t xml:space="preserve"> </w:t>
      </w:r>
      <w:r w:rsidRPr="00BD17CA">
        <w:rPr>
          <w:rFonts w:ascii="Arial" w:eastAsia="Arial" w:hAnsi="Arial" w:cs="Arial"/>
          <w:sz w:val="22"/>
          <w:szCs w:val="22"/>
        </w:rPr>
        <w:t>t</w:t>
      </w:r>
      <w:r w:rsidRPr="00B13795">
        <w:rPr>
          <w:rFonts w:ascii="Arial" w:eastAsia="Arial" w:hAnsi="Arial" w:cs="Arial"/>
          <w:sz w:val="22"/>
          <w:szCs w:val="22"/>
        </w:rPr>
        <w:t>h</w:t>
      </w:r>
      <w:r w:rsidRPr="00BD17CA">
        <w:rPr>
          <w:rFonts w:ascii="Arial" w:eastAsia="Arial" w:hAnsi="Arial" w:cs="Arial"/>
          <w:sz w:val="22"/>
          <w:szCs w:val="22"/>
        </w:rPr>
        <w:t>e</w:t>
      </w:r>
      <w:r w:rsidRPr="00B13795">
        <w:rPr>
          <w:rFonts w:ascii="Arial" w:eastAsia="Arial" w:hAnsi="Arial" w:cs="Arial"/>
          <w:sz w:val="22"/>
          <w:szCs w:val="22"/>
        </w:rPr>
        <w:t xml:space="preserve"> f</w:t>
      </w:r>
      <w:r w:rsidRPr="00BD17CA">
        <w:rPr>
          <w:rFonts w:ascii="Arial" w:eastAsia="Arial" w:hAnsi="Arial" w:cs="Arial"/>
          <w:sz w:val="22"/>
          <w:szCs w:val="22"/>
        </w:rPr>
        <w:t>u</w:t>
      </w:r>
      <w:r w:rsidRPr="00B13795">
        <w:rPr>
          <w:rFonts w:ascii="Arial" w:eastAsia="Arial" w:hAnsi="Arial" w:cs="Arial"/>
          <w:sz w:val="22"/>
          <w:szCs w:val="22"/>
        </w:rPr>
        <w:t>n</w:t>
      </w:r>
      <w:r w:rsidRPr="00BD17CA">
        <w:rPr>
          <w:rFonts w:ascii="Arial" w:eastAsia="Arial" w:hAnsi="Arial" w:cs="Arial"/>
          <w:sz w:val="22"/>
          <w:szCs w:val="22"/>
        </w:rPr>
        <w:t>d's</w:t>
      </w:r>
      <w:r w:rsidRPr="00B13795">
        <w:rPr>
          <w:rFonts w:ascii="Arial" w:eastAsia="Arial" w:hAnsi="Arial" w:cs="Arial"/>
          <w:sz w:val="22"/>
          <w:szCs w:val="22"/>
        </w:rPr>
        <w:t xml:space="preserve"> m</w:t>
      </w:r>
      <w:r w:rsidRPr="00BD17CA">
        <w:rPr>
          <w:rFonts w:ascii="Arial" w:eastAsia="Arial" w:hAnsi="Arial" w:cs="Arial"/>
          <w:sz w:val="22"/>
          <w:szCs w:val="22"/>
        </w:rPr>
        <w:t>o</w:t>
      </w:r>
      <w:r w:rsidRPr="00B13795">
        <w:rPr>
          <w:rFonts w:ascii="Arial" w:eastAsia="Arial" w:hAnsi="Arial" w:cs="Arial"/>
          <w:sz w:val="22"/>
          <w:szCs w:val="22"/>
        </w:rPr>
        <w:t>s</w:t>
      </w:r>
      <w:r w:rsidRPr="00BD17CA">
        <w:rPr>
          <w:rFonts w:ascii="Arial" w:eastAsia="Arial" w:hAnsi="Arial" w:cs="Arial"/>
          <w:sz w:val="22"/>
          <w:szCs w:val="22"/>
        </w:rPr>
        <w:t>t</w:t>
      </w:r>
      <w:r w:rsidRPr="00B13795">
        <w:rPr>
          <w:rFonts w:ascii="Arial" w:eastAsia="Arial" w:hAnsi="Arial" w:cs="Arial"/>
          <w:sz w:val="22"/>
          <w:szCs w:val="22"/>
        </w:rPr>
        <w:t xml:space="preserve"> si</w:t>
      </w:r>
      <w:r w:rsidRPr="00BD17CA">
        <w:rPr>
          <w:rFonts w:ascii="Arial" w:eastAsia="Arial" w:hAnsi="Arial" w:cs="Arial"/>
          <w:sz w:val="22"/>
          <w:szCs w:val="22"/>
        </w:rPr>
        <w:t>g</w:t>
      </w:r>
      <w:r w:rsidRPr="00B13795">
        <w:rPr>
          <w:rFonts w:ascii="Arial" w:eastAsia="Arial" w:hAnsi="Arial" w:cs="Arial"/>
          <w:sz w:val="22"/>
          <w:szCs w:val="22"/>
        </w:rPr>
        <w:t>nific</w:t>
      </w:r>
      <w:r w:rsidRPr="00BD17CA">
        <w:rPr>
          <w:rFonts w:ascii="Arial" w:eastAsia="Arial" w:hAnsi="Arial" w:cs="Arial"/>
          <w:sz w:val="22"/>
          <w:szCs w:val="22"/>
        </w:rPr>
        <w:t>a</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i</w:t>
      </w:r>
      <w:r w:rsidRPr="00BD17CA">
        <w:rPr>
          <w:rFonts w:ascii="Arial" w:eastAsia="Arial" w:hAnsi="Arial" w:cs="Arial"/>
          <w:sz w:val="22"/>
          <w:szCs w:val="22"/>
        </w:rPr>
        <w:t>n</w:t>
      </w:r>
      <w:r w:rsidRPr="00B13795">
        <w:rPr>
          <w:rFonts w:ascii="Arial" w:eastAsia="Arial" w:hAnsi="Arial" w:cs="Arial"/>
          <w:sz w:val="22"/>
          <w:szCs w:val="22"/>
        </w:rPr>
        <w:t>v</w:t>
      </w:r>
      <w:r w:rsidRPr="00BD17CA">
        <w:rPr>
          <w:rFonts w:ascii="Arial" w:eastAsia="Arial" w:hAnsi="Arial" w:cs="Arial"/>
          <w:sz w:val="22"/>
          <w:szCs w:val="22"/>
        </w:rPr>
        <w:t>e</w:t>
      </w:r>
      <w:r w:rsidRPr="00B13795">
        <w:rPr>
          <w:rFonts w:ascii="Arial" w:eastAsia="Arial" w:hAnsi="Arial" w:cs="Arial"/>
          <w:sz w:val="22"/>
          <w:szCs w:val="22"/>
        </w:rPr>
        <w:t>s</w:t>
      </w:r>
      <w:r w:rsidRPr="00BD17CA">
        <w:rPr>
          <w:rFonts w:ascii="Arial" w:eastAsia="Arial" w:hAnsi="Arial" w:cs="Arial"/>
          <w:sz w:val="22"/>
          <w:szCs w:val="22"/>
        </w:rPr>
        <w:t>t</w:t>
      </w:r>
      <w:r w:rsidRPr="00B13795">
        <w:rPr>
          <w:rFonts w:ascii="Arial" w:eastAsia="Arial" w:hAnsi="Arial" w:cs="Arial"/>
          <w:sz w:val="22"/>
          <w:szCs w:val="22"/>
        </w:rPr>
        <w:t>m</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m</w:t>
      </w:r>
      <w:r w:rsidRPr="00BD17CA">
        <w:rPr>
          <w:rFonts w:ascii="Arial" w:eastAsia="Arial" w:hAnsi="Arial" w:cs="Arial"/>
          <w:sz w:val="22"/>
          <w:szCs w:val="22"/>
        </w:rPr>
        <w:t>a</w:t>
      </w:r>
      <w:r w:rsidRPr="00B13795">
        <w:rPr>
          <w:rFonts w:ascii="Arial" w:eastAsia="Arial" w:hAnsi="Arial" w:cs="Arial"/>
          <w:sz w:val="22"/>
          <w:szCs w:val="22"/>
        </w:rPr>
        <w:t>n</w:t>
      </w:r>
      <w:r w:rsidRPr="00BD17CA">
        <w:rPr>
          <w:rFonts w:ascii="Arial" w:eastAsia="Arial" w:hAnsi="Arial" w:cs="Arial"/>
          <w:sz w:val="22"/>
          <w:szCs w:val="22"/>
        </w:rPr>
        <w:t>a</w:t>
      </w:r>
      <w:r w:rsidRPr="00B13795">
        <w:rPr>
          <w:rFonts w:ascii="Arial" w:eastAsia="Arial" w:hAnsi="Arial" w:cs="Arial"/>
          <w:sz w:val="22"/>
          <w:szCs w:val="22"/>
        </w:rPr>
        <w:t>g</w:t>
      </w:r>
      <w:r w:rsidRPr="00BD17CA">
        <w:rPr>
          <w:rFonts w:ascii="Arial" w:eastAsia="Arial" w:hAnsi="Arial" w:cs="Arial"/>
          <w:sz w:val="22"/>
          <w:szCs w:val="22"/>
        </w:rPr>
        <w:t>e</w:t>
      </w:r>
      <w:r w:rsidRPr="00B13795">
        <w:rPr>
          <w:rFonts w:ascii="Arial" w:eastAsia="Arial" w:hAnsi="Arial" w:cs="Arial"/>
          <w:sz w:val="22"/>
          <w:szCs w:val="22"/>
        </w:rPr>
        <w:t>m</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 p</w:t>
      </w:r>
      <w:r w:rsidRPr="00B13795">
        <w:rPr>
          <w:rFonts w:ascii="Arial" w:eastAsia="Arial" w:hAnsi="Arial" w:cs="Arial"/>
          <w:sz w:val="22"/>
          <w:szCs w:val="22"/>
        </w:rPr>
        <w:t>olici</w:t>
      </w:r>
      <w:r w:rsidRPr="00BD17CA">
        <w:rPr>
          <w:rFonts w:ascii="Arial" w:eastAsia="Arial" w:hAnsi="Arial" w:cs="Arial"/>
          <w:sz w:val="22"/>
          <w:szCs w:val="22"/>
        </w:rPr>
        <w:t>e</w:t>
      </w:r>
      <w:r w:rsidRPr="00B13795">
        <w:rPr>
          <w:rFonts w:ascii="Arial" w:eastAsia="Arial" w:hAnsi="Arial" w:cs="Arial"/>
          <w:sz w:val="22"/>
          <w:szCs w:val="22"/>
        </w:rPr>
        <w:t>s</w:t>
      </w:r>
      <w:r w:rsidRPr="00BD17CA">
        <w:rPr>
          <w:rFonts w:ascii="Arial" w:eastAsia="Arial" w:hAnsi="Arial" w:cs="Arial"/>
          <w:sz w:val="22"/>
          <w:szCs w:val="22"/>
        </w:rPr>
        <w:t>,</w:t>
      </w:r>
      <w:r w:rsidRPr="00B13795">
        <w:rPr>
          <w:rFonts w:ascii="Arial" w:eastAsia="Arial" w:hAnsi="Arial" w:cs="Arial"/>
          <w:sz w:val="22"/>
          <w:szCs w:val="22"/>
        </w:rPr>
        <w:t xml:space="preserve"> f</w:t>
      </w:r>
      <w:r w:rsidRPr="00BD17CA">
        <w:rPr>
          <w:rFonts w:ascii="Arial" w:eastAsia="Arial" w:hAnsi="Arial" w:cs="Arial"/>
          <w:sz w:val="22"/>
          <w:szCs w:val="22"/>
        </w:rPr>
        <w:t>or</w:t>
      </w:r>
      <w:r w:rsidRPr="00B13795">
        <w:rPr>
          <w:rFonts w:ascii="Arial" w:eastAsia="Arial" w:hAnsi="Arial" w:cs="Arial"/>
          <w:sz w:val="22"/>
          <w:szCs w:val="22"/>
        </w:rPr>
        <w:t xml:space="preserve"> </w:t>
      </w:r>
      <w:r w:rsidRPr="00BD17CA">
        <w:rPr>
          <w:rFonts w:ascii="Arial" w:eastAsia="Arial" w:hAnsi="Arial" w:cs="Arial"/>
          <w:sz w:val="22"/>
          <w:szCs w:val="22"/>
        </w:rPr>
        <w:t>e</w:t>
      </w:r>
      <w:r w:rsidRPr="00B13795">
        <w:rPr>
          <w:rFonts w:ascii="Arial" w:eastAsia="Arial" w:hAnsi="Arial" w:cs="Arial"/>
          <w:sz w:val="22"/>
          <w:szCs w:val="22"/>
        </w:rPr>
        <w:t>x</w:t>
      </w:r>
      <w:r w:rsidRPr="00BD17CA">
        <w:rPr>
          <w:rFonts w:ascii="Arial" w:eastAsia="Arial" w:hAnsi="Arial" w:cs="Arial"/>
          <w:sz w:val="22"/>
          <w:szCs w:val="22"/>
        </w:rPr>
        <w:t>a</w:t>
      </w:r>
      <w:r w:rsidRPr="00B13795">
        <w:rPr>
          <w:rFonts w:ascii="Arial" w:eastAsia="Arial" w:hAnsi="Arial" w:cs="Arial"/>
          <w:sz w:val="22"/>
          <w:szCs w:val="22"/>
        </w:rPr>
        <w:t>m</w:t>
      </w:r>
      <w:r w:rsidRPr="00BD17CA">
        <w:rPr>
          <w:rFonts w:ascii="Arial" w:eastAsia="Arial" w:hAnsi="Arial" w:cs="Arial"/>
          <w:sz w:val="22"/>
          <w:szCs w:val="22"/>
        </w:rPr>
        <w:t>p</w:t>
      </w:r>
      <w:r w:rsidRPr="00B13795">
        <w:rPr>
          <w:rFonts w:ascii="Arial" w:eastAsia="Arial" w:hAnsi="Arial" w:cs="Arial"/>
          <w:sz w:val="22"/>
          <w:szCs w:val="22"/>
        </w:rPr>
        <w:t>l</w:t>
      </w:r>
      <w:r w:rsidRPr="00BD17CA">
        <w:rPr>
          <w:rFonts w:ascii="Arial" w:eastAsia="Arial" w:hAnsi="Arial" w:cs="Arial"/>
          <w:sz w:val="22"/>
          <w:szCs w:val="22"/>
        </w:rPr>
        <w:t>e</w:t>
      </w:r>
      <w:r w:rsidRPr="00B13795">
        <w:rPr>
          <w:rFonts w:ascii="Arial" w:eastAsia="Arial" w:hAnsi="Arial" w:cs="Arial"/>
          <w:sz w:val="22"/>
          <w:szCs w:val="22"/>
        </w:rPr>
        <w:t xml:space="preserve"> i</w:t>
      </w:r>
      <w:r w:rsidRPr="00BD17CA">
        <w:rPr>
          <w:rFonts w:ascii="Arial" w:eastAsia="Arial" w:hAnsi="Arial" w:cs="Arial"/>
          <w:sz w:val="22"/>
          <w:szCs w:val="22"/>
        </w:rPr>
        <w:t>n ter</w:t>
      </w:r>
      <w:r w:rsidRPr="00B13795">
        <w:rPr>
          <w:rFonts w:ascii="Arial" w:eastAsia="Arial" w:hAnsi="Arial" w:cs="Arial"/>
          <w:sz w:val="22"/>
          <w:szCs w:val="22"/>
        </w:rPr>
        <w:t>m</w:t>
      </w:r>
      <w:r w:rsidRPr="00BD17CA">
        <w:rPr>
          <w:rFonts w:ascii="Arial" w:eastAsia="Arial" w:hAnsi="Arial" w:cs="Arial"/>
          <w:sz w:val="22"/>
          <w:szCs w:val="22"/>
        </w:rPr>
        <w:t>s</w:t>
      </w:r>
      <w:r w:rsidRPr="00B13795">
        <w:rPr>
          <w:rFonts w:ascii="Arial" w:eastAsia="Arial" w:hAnsi="Arial" w:cs="Arial"/>
          <w:sz w:val="22"/>
          <w:szCs w:val="22"/>
        </w:rPr>
        <w:t xml:space="preserve"> </w:t>
      </w:r>
      <w:r w:rsidRPr="00BD17CA">
        <w:rPr>
          <w:rFonts w:ascii="Arial" w:eastAsia="Arial" w:hAnsi="Arial" w:cs="Arial"/>
          <w:sz w:val="22"/>
          <w:szCs w:val="22"/>
        </w:rPr>
        <w:t>of the</w:t>
      </w:r>
      <w:r w:rsidRPr="00B13795">
        <w:rPr>
          <w:rFonts w:ascii="Arial" w:eastAsia="Arial" w:hAnsi="Arial" w:cs="Arial"/>
          <w:sz w:val="22"/>
          <w:szCs w:val="22"/>
        </w:rPr>
        <w:t xml:space="preserve"> </w:t>
      </w:r>
      <w:r w:rsidRPr="00BD17CA">
        <w:rPr>
          <w:rFonts w:ascii="Arial" w:eastAsia="Arial" w:hAnsi="Arial" w:cs="Arial"/>
          <w:sz w:val="22"/>
          <w:szCs w:val="22"/>
        </w:rPr>
        <w:t>b</w:t>
      </w:r>
      <w:r w:rsidRPr="00B13795">
        <w:rPr>
          <w:rFonts w:ascii="Arial" w:eastAsia="Arial" w:hAnsi="Arial" w:cs="Arial"/>
          <w:sz w:val="22"/>
          <w:szCs w:val="22"/>
        </w:rPr>
        <w:t>al</w:t>
      </w:r>
      <w:r w:rsidRPr="00BD17CA">
        <w:rPr>
          <w:rFonts w:ascii="Arial" w:eastAsia="Arial" w:hAnsi="Arial" w:cs="Arial"/>
          <w:sz w:val="22"/>
          <w:szCs w:val="22"/>
        </w:rPr>
        <w:t>a</w:t>
      </w:r>
      <w:r w:rsidRPr="00B13795">
        <w:rPr>
          <w:rFonts w:ascii="Arial" w:eastAsia="Arial" w:hAnsi="Arial" w:cs="Arial"/>
          <w:sz w:val="22"/>
          <w:szCs w:val="22"/>
        </w:rPr>
        <w:t>nc</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stru</w:t>
      </w:r>
      <w:r w:rsidRPr="00B13795">
        <w:rPr>
          <w:rFonts w:ascii="Arial" w:eastAsia="Arial" w:hAnsi="Arial" w:cs="Arial"/>
          <w:sz w:val="22"/>
          <w:szCs w:val="22"/>
        </w:rPr>
        <w:t>c</w:t>
      </w:r>
      <w:r w:rsidRPr="00BD17CA">
        <w:rPr>
          <w:rFonts w:ascii="Arial" w:eastAsia="Arial" w:hAnsi="Arial" w:cs="Arial"/>
          <w:sz w:val="22"/>
          <w:szCs w:val="22"/>
        </w:rPr>
        <w:t>k</w:t>
      </w:r>
      <w:r w:rsidRPr="00B13795">
        <w:rPr>
          <w:rFonts w:ascii="Arial" w:eastAsia="Arial" w:hAnsi="Arial" w:cs="Arial"/>
          <w:sz w:val="22"/>
          <w:szCs w:val="22"/>
        </w:rPr>
        <w:t xml:space="preserve"> </w:t>
      </w:r>
      <w:r w:rsidRPr="00BD17CA">
        <w:rPr>
          <w:rFonts w:ascii="Arial" w:eastAsia="Arial" w:hAnsi="Arial" w:cs="Arial"/>
          <w:sz w:val="22"/>
          <w:szCs w:val="22"/>
        </w:rPr>
        <w:t>b</w:t>
      </w:r>
      <w:r w:rsidRPr="00B13795">
        <w:rPr>
          <w:rFonts w:ascii="Arial" w:eastAsia="Arial" w:hAnsi="Arial" w:cs="Arial"/>
          <w:sz w:val="22"/>
          <w:szCs w:val="22"/>
        </w:rPr>
        <w:t>et</w:t>
      </w:r>
      <w:r w:rsidRPr="00BD17CA">
        <w:rPr>
          <w:rFonts w:ascii="Arial" w:eastAsia="Arial" w:hAnsi="Arial" w:cs="Arial"/>
          <w:sz w:val="22"/>
          <w:szCs w:val="22"/>
        </w:rPr>
        <w:t>ween</w:t>
      </w:r>
      <w:r w:rsidRPr="00B13795">
        <w:rPr>
          <w:rFonts w:ascii="Arial" w:eastAsia="Arial" w:hAnsi="Arial" w:cs="Arial"/>
          <w:sz w:val="22"/>
          <w:szCs w:val="22"/>
        </w:rPr>
        <w:t xml:space="preserve"> lo</w:t>
      </w:r>
      <w:r w:rsidRPr="00BD17CA">
        <w:rPr>
          <w:rFonts w:ascii="Arial" w:eastAsia="Arial" w:hAnsi="Arial" w:cs="Arial"/>
          <w:sz w:val="22"/>
          <w:szCs w:val="22"/>
        </w:rPr>
        <w:t>n</w:t>
      </w:r>
      <w:r w:rsidRPr="00B13795">
        <w:rPr>
          <w:rFonts w:ascii="Arial" w:eastAsia="Arial" w:hAnsi="Arial" w:cs="Arial"/>
          <w:sz w:val="22"/>
          <w:szCs w:val="22"/>
        </w:rPr>
        <w:t>g</w:t>
      </w:r>
      <w:r w:rsidRPr="00BD17CA">
        <w:rPr>
          <w:rFonts w:ascii="Arial" w:eastAsia="Arial" w:hAnsi="Arial" w:cs="Arial"/>
          <w:sz w:val="22"/>
          <w:szCs w:val="22"/>
        </w:rPr>
        <w:t>er</w:t>
      </w:r>
      <w:r w:rsidRPr="00B13795">
        <w:rPr>
          <w:rFonts w:ascii="Arial" w:eastAsia="Arial" w:hAnsi="Arial" w:cs="Arial"/>
          <w:sz w:val="22"/>
          <w:szCs w:val="22"/>
        </w:rPr>
        <w:t xml:space="preserve"> t</w:t>
      </w:r>
      <w:r w:rsidRPr="00BD17CA">
        <w:rPr>
          <w:rFonts w:ascii="Arial" w:eastAsia="Arial" w:hAnsi="Arial" w:cs="Arial"/>
          <w:sz w:val="22"/>
          <w:szCs w:val="22"/>
        </w:rPr>
        <w:t>erm</w:t>
      </w:r>
      <w:r w:rsidRPr="00B13795">
        <w:rPr>
          <w:rFonts w:ascii="Arial" w:eastAsia="Arial" w:hAnsi="Arial" w:cs="Arial"/>
          <w:sz w:val="22"/>
          <w:szCs w:val="22"/>
        </w:rPr>
        <w:t xml:space="preserve"> i</w:t>
      </w:r>
      <w:r w:rsidRPr="00BD17CA">
        <w:rPr>
          <w:rFonts w:ascii="Arial" w:eastAsia="Arial" w:hAnsi="Arial" w:cs="Arial"/>
          <w:sz w:val="22"/>
          <w:szCs w:val="22"/>
        </w:rPr>
        <w:t>n</w:t>
      </w:r>
      <w:r w:rsidRPr="00B13795">
        <w:rPr>
          <w:rFonts w:ascii="Arial" w:eastAsia="Arial" w:hAnsi="Arial" w:cs="Arial"/>
          <w:sz w:val="22"/>
          <w:szCs w:val="22"/>
        </w:rPr>
        <w:t>v</w:t>
      </w:r>
      <w:r w:rsidRPr="00BD17CA">
        <w:rPr>
          <w:rFonts w:ascii="Arial" w:eastAsia="Arial" w:hAnsi="Arial" w:cs="Arial"/>
          <w:sz w:val="22"/>
          <w:szCs w:val="22"/>
        </w:rPr>
        <w:t>e</w:t>
      </w:r>
      <w:r w:rsidRPr="00B13795">
        <w:rPr>
          <w:rFonts w:ascii="Arial" w:eastAsia="Arial" w:hAnsi="Arial" w:cs="Arial"/>
          <w:sz w:val="22"/>
          <w:szCs w:val="22"/>
        </w:rPr>
        <w:t>s</w:t>
      </w:r>
      <w:r w:rsidRPr="00BD17CA">
        <w:rPr>
          <w:rFonts w:ascii="Arial" w:eastAsia="Arial" w:hAnsi="Arial" w:cs="Arial"/>
          <w:sz w:val="22"/>
          <w:szCs w:val="22"/>
        </w:rPr>
        <w:t>t</w:t>
      </w:r>
      <w:r w:rsidRPr="00B13795">
        <w:rPr>
          <w:rFonts w:ascii="Arial" w:eastAsia="Arial" w:hAnsi="Arial" w:cs="Arial"/>
          <w:sz w:val="22"/>
          <w:szCs w:val="22"/>
        </w:rPr>
        <w:t>m</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gr</w:t>
      </w:r>
      <w:r w:rsidRPr="00BD17CA">
        <w:rPr>
          <w:rFonts w:ascii="Arial" w:eastAsia="Arial" w:hAnsi="Arial" w:cs="Arial"/>
          <w:sz w:val="22"/>
          <w:szCs w:val="22"/>
        </w:rPr>
        <w:t>o</w:t>
      </w:r>
      <w:r w:rsidRPr="00B13795">
        <w:rPr>
          <w:rFonts w:ascii="Arial" w:eastAsia="Arial" w:hAnsi="Arial" w:cs="Arial"/>
          <w:sz w:val="22"/>
          <w:szCs w:val="22"/>
        </w:rPr>
        <w:t>wt</w:t>
      </w:r>
      <w:r w:rsidRPr="00BD17CA">
        <w:rPr>
          <w:rFonts w:ascii="Arial" w:eastAsia="Arial" w:hAnsi="Arial" w:cs="Arial"/>
          <w:sz w:val="22"/>
          <w:szCs w:val="22"/>
        </w:rPr>
        <w:t>h</w:t>
      </w:r>
      <w:r w:rsidRPr="00B13795">
        <w:rPr>
          <w:rFonts w:ascii="Arial" w:eastAsia="Arial" w:hAnsi="Arial" w:cs="Arial"/>
          <w:sz w:val="22"/>
          <w:szCs w:val="22"/>
        </w:rPr>
        <w:t xml:space="preserve"> a</w:t>
      </w:r>
      <w:r w:rsidRPr="00BD17CA">
        <w:rPr>
          <w:rFonts w:ascii="Arial" w:eastAsia="Arial" w:hAnsi="Arial" w:cs="Arial"/>
          <w:sz w:val="22"/>
          <w:szCs w:val="22"/>
        </w:rPr>
        <w:t>nd</w:t>
      </w:r>
      <w:r w:rsidRPr="00B13795">
        <w:rPr>
          <w:rFonts w:ascii="Arial" w:eastAsia="Arial" w:hAnsi="Arial" w:cs="Arial"/>
          <w:sz w:val="22"/>
          <w:szCs w:val="22"/>
        </w:rPr>
        <w:t xml:space="preserve"> s</w:t>
      </w:r>
      <w:r w:rsidRPr="00BD17CA">
        <w:rPr>
          <w:rFonts w:ascii="Arial" w:eastAsia="Arial" w:hAnsi="Arial" w:cs="Arial"/>
          <w:sz w:val="22"/>
          <w:szCs w:val="22"/>
        </w:rPr>
        <w:t>h</w:t>
      </w:r>
      <w:r w:rsidRPr="00B13795">
        <w:rPr>
          <w:rFonts w:ascii="Arial" w:eastAsia="Arial" w:hAnsi="Arial" w:cs="Arial"/>
          <w:sz w:val="22"/>
          <w:szCs w:val="22"/>
        </w:rPr>
        <w:t>ort-t</w:t>
      </w:r>
      <w:r w:rsidRPr="00BD17CA">
        <w:rPr>
          <w:rFonts w:ascii="Arial" w:eastAsia="Arial" w:hAnsi="Arial" w:cs="Arial"/>
          <w:sz w:val="22"/>
          <w:szCs w:val="22"/>
        </w:rPr>
        <w:t>erm</w:t>
      </w:r>
      <w:r w:rsidRPr="00B13795">
        <w:rPr>
          <w:rFonts w:ascii="Arial" w:eastAsia="Arial" w:hAnsi="Arial" w:cs="Arial"/>
          <w:sz w:val="22"/>
          <w:szCs w:val="22"/>
        </w:rPr>
        <w:t xml:space="preserve"> yiel</w:t>
      </w:r>
      <w:r w:rsidRPr="00BD17CA">
        <w:rPr>
          <w:rFonts w:ascii="Arial" w:eastAsia="Arial" w:hAnsi="Arial" w:cs="Arial"/>
          <w:sz w:val="22"/>
          <w:szCs w:val="22"/>
        </w:rPr>
        <w:t>d/re</w:t>
      </w:r>
      <w:r w:rsidRPr="00B13795">
        <w:rPr>
          <w:rFonts w:ascii="Arial" w:eastAsia="Arial" w:hAnsi="Arial" w:cs="Arial"/>
          <w:sz w:val="22"/>
          <w:szCs w:val="22"/>
        </w:rPr>
        <w:t>t</w:t>
      </w:r>
      <w:r w:rsidRPr="00BD17CA">
        <w:rPr>
          <w:rFonts w:ascii="Arial" w:eastAsia="Arial" w:hAnsi="Arial" w:cs="Arial"/>
          <w:sz w:val="22"/>
          <w:szCs w:val="22"/>
        </w:rPr>
        <w:t>urn.</w:t>
      </w:r>
    </w:p>
    <w:p w14:paraId="2AD97C0A" w14:textId="77777777" w:rsidR="009C7422" w:rsidRPr="00B13795" w:rsidRDefault="001706EB" w:rsidP="00B13795">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lastRenderedPageBreak/>
        <w:t>N</w:t>
      </w:r>
      <w:r w:rsidRPr="00B13795">
        <w:rPr>
          <w:rFonts w:ascii="Arial" w:eastAsia="Arial" w:hAnsi="Arial" w:cs="Arial"/>
          <w:b/>
          <w:sz w:val="22"/>
          <w:szCs w:val="22"/>
        </w:rPr>
        <w:t>OT</w:t>
      </w:r>
      <w:r w:rsidRPr="00BD17CA">
        <w:rPr>
          <w:rFonts w:ascii="Arial" w:eastAsia="Arial" w:hAnsi="Arial" w:cs="Arial"/>
          <w:b/>
          <w:sz w:val="22"/>
          <w:szCs w:val="22"/>
        </w:rPr>
        <w:t>E</w:t>
      </w:r>
      <w:r w:rsidRPr="00B13795">
        <w:rPr>
          <w:rFonts w:ascii="Arial" w:eastAsia="Arial" w:hAnsi="Arial" w:cs="Arial"/>
          <w:b/>
          <w:sz w:val="22"/>
          <w:szCs w:val="22"/>
        </w:rPr>
        <w:t xml:space="preserve"> </w:t>
      </w:r>
      <w:r w:rsidRPr="00BD17CA">
        <w:rPr>
          <w:rFonts w:ascii="Arial" w:eastAsia="Arial" w:hAnsi="Arial" w:cs="Arial"/>
          <w:b/>
          <w:sz w:val="22"/>
          <w:szCs w:val="22"/>
        </w:rPr>
        <w:t xml:space="preserve">5: </w:t>
      </w:r>
      <w:r w:rsidRPr="00B13795">
        <w:rPr>
          <w:rFonts w:ascii="Arial" w:eastAsia="Arial" w:hAnsi="Arial" w:cs="Arial"/>
          <w:b/>
          <w:sz w:val="22"/>
          <w:szCs w:val="22"/>
        </w:rPr>
        <w:t>ASS</w:t>
      </w:r>
      <w:r w:rsidRPr="00BD17CA">
        <w:rPr>
          <w:rFonts w:ascii="Arial" w:eastAsia="Arial" w:hAnsi="Arial" w:cs="Arial"/>
          <w:b/>
          <w:sz w:val="22"/>
          <w:szCs w:val="22"/>
        </w:rPr>
        <w:t>U</w:t>
      </w:r>
      <w:r w:rsidRPr="00B13795">
        <w:rPr>
          <w:rFonts w:ascii="Arial" w:eastAsia="Arial" w:hAnsi="Arial" w:cs="Arial"/>
          <w:b/>
          <w:sz w:val="22"/>
          <w:szCs w:val="22"/>
        </w:rPr>
        <w:t>MPT</w:t>
      </w:r>
      <w:r w:rsidRPr="00BD17CA">
        <w:rPr>
          <w:rFonts w:ascii="Arial" w:eastAsia="Arial" w:hAnsi="Arial" w:cs="Arial"/>
          <w:b/>
          <w:sz w:val="22"/>
          <w:szCs w:val="22"/>
        </w:rPr>
        <w:t>I</w:t>
      </w:r>
      <w:r w:rsidRPr="00B13795">
        <w:rPr>
          <w:rFonts w:ascii="Arial" w:eastAsia="Arial" w:hAnsi="Arial" w:cs="Arial"/>
          <w:b/>
          <w:sz w:val="22"/>
          <w:szCs w:val="22"/>
        </w:rPr>
        <w:t>O</w:t>
      </w:r>
      <w:r w:rsidRPr="00BD17CA">
        <w:rPr>
          <w:rFonts w:ascii="Arial" w:eastAsia="Arial" w:hAnsi="Arial" w:cs="Arial"/>
          <w:b/>
          <w:sz w:val="22"/>
          <w:szCs w:val="22"/>
        </w:rPr>
        <w:t>NS</w:t>
      </w:r>
      <w:r w:rsidRPr="00B13795">
        <w:rPr>
          <w:rFonts w:ascii="Arial" w:eastAsia="Arial" w:hAnsi="Arial" w:cs="Arial"/>
          <w:b/>
          <w:sz w:val="22"/>
          <w:szCs w:val="22"/>
        </w:rPr>
        <w:t xml:space="preserve"> MA</w:t>
      </w:r>
      <w:r w:rsidRPr="00BD17CA">
        <w:rPr>
          <w:rFonts w:ascii="Arial" w:eastAsia="Arial" w:hAnsi="Arial" w:cs="Arial"/>
          <w:b/>
          <w:sz w:val="22"/>
          <w:szCs w:val="22"/>
        </w:rPr>
        <w:t xml:space="preserve">DE </w:t>
      </w:r>
      <w:r w:rsidRPr="00B13795">
        <w:rPr>
          <w:rFonts w:ascii="Arial" w:eastAsia="Arial" w:hAnsi="Arial" w:cs="Arial"/>
          <w:b/>
          <w:sz w:val="22"/>
          <w:szCs w:val="22"/>
        </w:rPr>
        <w:t>A</w:t>
      </w:r>
      <w:r w:rsidRPr="00BD17CA">
        <w:rPr>
          <w:rFonts w:ascii="Arial" w:eastAsia="Arial" w:hAnsi="Arial" w:cs="Arial"/>
          <w:b/>
          <w:sz w:val="22"/>
          <w:szCs w:val="22"/>
        </w:rPr>
        <w:t>B</w:t>
      </w:r>
      <w:r w:rsidRPr="00B13795">
        <w:rPr>
          <w:rFonts w:ascii="Arial" w:eastAsia="Arial" w:hAnsi="Arial" w:cs="Arial"/>
          <w:b/>
          <w:sz w:val="22"/>
          <w:szCs w:val="22"/>
        </w:rPr>
        <w:t>O</w:t>
      </w:r>
      <w:r w:rsidRPr="00BD17CA">
        <w:rPr>
          <w:rFonts w:ascii="Arial" w:eastAsia="Arial" w:hAnsi="Arial" w:cs="Arial"/>
          <w:b/>
          <w:sz w:val="22"/>
          <w:szCs w:val="22"/>
        </w:rPr>
        <w:t>UT</w:t>
      </w:r>
      <w:r w:rsidRPr="00B13795">
        <w:rPr>
          <w:rFonts w:ascii="Arial" w:eastAsia="Arial" w:hAnsi="Arial" w:cs="Arial"/>
          <w:b/>
          <w:sz w:val="22"/>
          <w:szCs w:val="22"/>
        </w:rPr>
        <w:t xml:space="preserve"> T</w:t>
      </w:r>
      <w:r w:rsidRPr="00BD17CA">
        <w:rPr>
          <w:rFonts w:ascii="Arial" w:eastAsia="Arial" w:hAnsi="Arial" w:cs="Arial"/>
          <w:b/>
          <w:sz w:val="22"/>
          <w:szCs w:val="22"/>
        </w:rPr>
        <w:t>HE</w:t>
      </w:r>
      <w:r w:rsidRPr="00B13795">
        <w:rPr>
          <w:rFonts w:ascii="Arial" w:eastAsia="Arial" w:hAnsi="Arial" w:cs="Arial"/>
          <w:b/>
          <w:sz w:val="22"/>
          <w:szCs w:val="22"/>
        </w:rPr>
        <w:t xml:space="preserve"> </w:t>
      </w:r>
      <w:r w:rsidRPr="00BD17CA">
        <w:rPr>
          <w:rFonts w:ascii="Arial" w:eastAsia="Arial" w:hAnsi="Arial" w:cs="Arial"/>
          <w:b/>
          <w:sz w:val="22"/>
          <w:szCs w:val="22"/>
        </w:rPr>
        <w:t>FU</w:t>
      </w:r>
      <w:r w:rsidRPr="00B13795">
        <w:rPr>
          <w:rFonts w:ascii="Arial" w:eastAsia="Arial" w:hAnsi="Arial" w:cs="Arial"/>
          <w:b/>
          <w:sz w:val="22"/>
          <w:szCs w:val="22"/>
        </w:rPr>
        <w:t>TU</w:t>
      </w:r>
      <w:r w:rsidRPr="00BD17CA">
        <w:rPr>
          <w:rFonts w:ascii="Arial" w:eastAsia="Arial" w:hAnsi="Arial" w:cs="Arial"/>
          <w:b/>
          <w:sz w:val="22"/>
          <w:szCs w:val="22"/>
        </w:rPr>
        <w:t>RE</w:t>
      </w:r>
      <w:r w:rsidRPr="00B13795">
        <w:rPr>
          <w:rFonts w:ascii="Arial" w:eastAsia="Arial" w:hAnsi="Arial" w:cs="Arial"/>
          <w:b/>
          <w:sz w:val="22"/>
          <w:szCs w:val="22"/>
        </w:rPr>
        <w:t xml:space="preserve"> A</w:t>
      </w:r>
      <w:r w:rsidRPr="00BD17CA">
        <w:rPr>
          <w:rFonts w:ascii="Arial" w:eastAsia="Arial" w:hAnsi="Arial" w:cs="Arial"/>
          <w:b/>
          <w:sz w:val="22"/>
          <w:szCs w:val="22"/>
        </w:rPr>
        <w:t>ND</w:t>
      </w:r>
      <w:r w:rsidRPr="00B13795">
        <w:rPr>
          <w:rFonts w:ascii="Arial" w:eastAsia="Arial" w:hAnsi="Arial" w:cs="Arial"/>
          <w:b/>
          <w:sz w:val="22"/>
          <w:szCs w:val="22"/>
        </w:rPr>
        <w:t xml:space="preserve"> OT</w:t>
      </w:r>
      <w:r w:rsidRPr="00BD17CA">
        <w:rPr>
          <w:rFonts w:ascii="Arial" w:eastAsia="Arial" w:hAnsi="Arial" w:cs="Arial"/>
          <w:b/>
          <w:sz w:val="22"/>
          <w:szCs w:val="22"/>
        </w:rPr>
        <w:t>H</w:t>
      </w:r>
      <w:r w:rsidRPr="00B13795">
        <w:rPr>
          <w:rFonts w:ascii="Arial" w:eastAsia="Arial" w:hAnsi="Arial" w:cs="Arial"/>
          <w:b/>
          <w:sz w:val="22"/>
          <w:szCs w:val="22"/>
        </w:rPr>
        <w:t>E</w:t>
      </w:r>
      <w:r w:rsidRPr="00BD17CA">
        <w:rPr>
          <w:rFonts w:ascii="Arial" w:eastAsia="Arial" w:hAnsi="Arial" w:cs="Arial"/>
          <w:b/>
          <w:sz w:val="22"/>
          <w:szCs w:val="22"/>
        </w:rPr>
        <w:t>R</w:t>
      </w:r>
      <w:r w:rsidRPr="00B13795">
        <w:rPr>
          <w:rFonts w:ascii="Arial" w:eastAsia="Arial" w:hAnsi="Arial" w:cs="Arial"/>
          <w:b/>
          <w:sz w:val="22"/>
          <w:szCs w:val="22"/>
        </w:rPr>
        <w:t xml:space="preserve"> SO</w:t>
      </w:r>
      <w:r w:rsidRPr="00BD17CA">
        <w:rPr>
          <w:rFonts w:ascii="Arial" w:eastAsia="Arial" w:hAnsi="Arial" w:cs="Arial"/>
          <w:b/>
          <w:sz w:val="22"/>
          <w:szCs w:val="22"/>
        </w:rPr>
        <w:t>UR</w:t>
      </w:r>
      <w:r w:rsidRPr="00B13795">
        <w:rPr>
          <w:rFonts w:ascii="Arial" w:eastAsia="Arial" w:hAnsi="Arial" w:cs="Arial"/>
          <w:b/>
          <w:sz w:val="22"/>
          <w:szCs w:val="22"/>
        </w:rPr>
        <w:t>CE</w:t>
      </w:r>
      <w:r w:rsidRPr="00BD17CA">
        <w:rPr>
          <w:rFonts w:ascii="Arial" w:eastAsia="Arial" w:hAnsi="Arial" w:cs="Arial"/>
          <w:b/>
          <w:sz w:val="22"/>
          <w:szCs w:val="22"/>
        </w:rPr>
        <w:t>S</w:t>
      </w:r>
      <w:r w:rsidRPr="00B13795">
        <w:rPr>
          <w:rFonts w:ascii="Arial" w:eastAsia="Arial" w:hAnsi="Arial" w:cs="Arial"/>
          <w:b/>
          <w:sz w:val="22"/>
          <w:szCs w:val="22"/>
        </w:rPr>
        <w:t xml:space="preserve"> O</w:t>
      </w:r>
      <w:r w:rsidRPr="00BD17CA">
        <w:rPr>
          <w:rFonts w:ascii="Arial" w:eastAsia="Arial" w:hAnsi="Arial" w:cs="Arial"/>
          <w:b/>
          <w:sz w:val="22"/>
          <w:szCs w:val="22"/>
        </w:rPr>
        <w:t>F</w:t>
      </w:r>
      <w:r w:rsidRPr="00B13795">
        <w:rPr>
          <w:rFonts w:ascii="Arial" w:eastAsia="Arial" w:hAnsi="Arial" w:cs="Arial"/>
          <w:b/>
          <w:sz w:val="22"/>
          <w:szCs w:val="22"/>
        </w:rPr>
        <w:t xml:space="preserve"> ESTIMAT</w:t>
      </w:r>
      <w:r w:rsidRPr="00BD17CA">
        <w:rPr>
          <w:rFonts w:ascii="Arial" w:eastAsia="Arial" w:hAnsi="Arial" w:cs="Arial"/>
          <w:b/>
          <w:sz w:val="22"/>
          <w:szCs w:val="22"/>
        </w:rPr>
        <w:t>I</w:t>
      </w:r>
      <w:r w:rsidRPr="00B13795">
        <w:rPr>
          <w:rFonts w:ascii="Arial" w:eastAsia="Arial" w:hAnsi="Arial" w:cs="Arial"/>
          <w:b/>
          <w:sz w:val="22"/>
          <w:szCs w:val="22"/>
        </w:rPr>
        <w:t>O</w:t>
      </w:r>
      <w:r w:rsidRPr="00BD17CA">
        <w:rPr>
          <w:rFonts w:ascii="Arial" w:eastAsia="Arial" w:hAnsi="Arial" w:cs="Arial"/>
          <w:b/>
          <w:sz w:val="22"/>
          <w:szCs w:val="22"/>
        </w:rPr>
        <w:t>N UNCER</w:t>
      </w:r>
      <w:r w:rsidRPr="00B13795">
        <w:rPr>
          <w:rFonts w:ascii="Arial" w:eastAsia="Arial" w:hAnsi="Arial" w:cs="Arial"/>
          <w:b/>
          <w:sz w:val="22"/>
          <w:szCs w:val="22"/>
        </w:rPr>
        <w:t>TAI</w:t>
      </w:r>
      <w:r w:rsidRPr="00BD17CA">
        <w:rPr>
          <w:rFonts w:ascii="Arial" w:eastAsia="Arial" w:hAnsi="Arial" w:cs="Arial"/>
          <w:b/>
          <w:sz w:val="22"/>
          <w:szCs w:val="22"/>
        </w:rPr>
        <w:t>N</w:t>
      </w:r>
      <w:r w:rsidRPr="00B13795">
        <w:rPr>
          <w:rFonts w:ascii="Arial" w:eastAsia="Arial" w:hAnsi="Arial" w:cs="Arial"/>
          <w:b/>
          <w:sz w:val="22"/>
          <w:szCs w:val="22"/>
        </w:rPr>
        <w:t>T</w:t>
      </w:r>
      <w:r w:rsidRPr="00BD17CA">
        <w:rPr>
          <w:rFonts w:ascii="Arial" w:eastAsia="Arial" w:hAnsi="Arial" w:cs="Arial"/>
          <w:b/>
          <w:sz w:val="22"/>
          <w:szCs w:val="22"/>
        </w:rPr>
        <w:t>Y</w:t>
      </w:r>
    </w:p>
    <w:p w14:paraId="47448260" w14:textId="77777777" w:rsidR="009C7422" w:rsidRPr="00BD17CA" w:rsidRDefault="001706EB" w:rsidP="00B13795">
      <w:pPr>
        <w:spacing w:after="200" w:line="276" w:lineRule="auto"/>
        <w:ind w:right="74"/>
        <w:jc w:val="both"/>
        <w:rPr>
          <w:rFonts w:ascii="Arial" w:eastAsia="Arial" w:hAnsi="Arial" w:cs="Arial"/>
          <w:sz w:val="22"/>
          <w:szCs w:val="22"/>
        </w:rPr>
      </w:pPr>
      <w:r w:rsidRPr="00B13795">
        <w:rPr>
          <w:rFonts w:ascii="Arial" w:eastAsia="Arial" w:hAnsi="Arial" w:cs="Arial"/>
          <w:sz w:val="22"/>
          <w:szCs w:val="22"/>
        </w:rPr>
        <w:t>T</w:t>
      </w:r>
      <w:r w:rsidRPr="00BD17CA">
        <w:rPr>
          <w:rFonts w:ascii="Arial" w:eastAsia="Arial" w:hAnsi="Arial" w:cs="Arial"/>
          <w:sz w:val="22"/>
          <w:szCs w:val="22"/>
        </w:rPr>
        <w:t>he</w:t>
      </w:r>
      <w:r w:rsidRPr="00B13795">
        <w:rPr>
          <w:rFonts w:ascii="Arial" w:eastAsia="Arial" w:hAnsi="Arial" w:cs="Arial"/>
          <w:sz w:val="22"/>
          <w:szCs w:val="22"/>
        </w:rPr>
        <w:t xml:space="preserve"> </w:t>
      </w:r>
      <w:r w:rsidRPr="00BD17CA">
        <w:rPr>
          <w:rFonts w:ascii="Arial" w:eastAsia="Arial" w:hAnsi="Arial" w:cs="Arial"/>
          <w:sz w:val="22"/>
          <w:szCs w:val="22"/>
        </w:rPr>
        <w:t>prepara</w:t>
      </w:r>
      <w:r w:rsidRPr="00B13795">
        <w:rPr>
          <w:rFonts w:ascii="Arial" w:eastAsia="Arial" w:hAnsi="Arial" w:cs="Arial"/>
          <w:sz w:val="22"/>
          <w:szCs w:val="22"/>
        </w:rPr>
        <w:t>ti</w:t>
      </w:r>
      <w:r w:rsidRPr="00BD17CA">
        <w:rPr>
          <w:rFonts w:ascii="Arial" w:eastAsia="Arial" w:hAnsi="Arial" w:cs="Arial"/>
          <w:sz w:val="22"/>
          <w:szCs w:val="22"/>
        </w:rPr>
        <w:t>on</w:t>
      </w:r>
      <w:r w:rsidRPr="00B13795">
        <w:rPr>
          <w:rFonts w:ascii="Arial" w:eastAsia="Arial" w:hAnsi="Arial" w:cs="Arial"/>
          <w:sz w:val="22"/>
          <w:szCs w:val="22"/>
        </w:rPr>
        <w:t xml:space="preserve"> </w:t>
      </w:r>
      <w:r w:rsidRPr="00BD17CA">
        <w:rPr>
          <w:rFonts w:ascii="Arial" w:eastAsia="Arial" w:hAnsi="Arial" w:cs="Arial"/>
          <w:sz w:val="22"/>
          <w:szCs w:val="22"/>
        </w:rPr>
        <w:t>of</w:t>
      </w:r>
      <w:r w:rsidRPr="00B13795">
        <w:rPr>
          <w:rFonts w:ascii="Arial" w:eastAsia="Arial" w:hAnsi="Arial" w:cs="Arial"/>
          <w:sz w:val="22"/>
          <w:szCs w:val="22"/>
        </w:rPr>
        <w:t xml:space="preserve"> fi</w:t>
      </w:r>
      <w:r w:rsidRPr="00BD17CA">
        <w:rPr>
          <w:rFonts w:ascii="Arial" w:eastAsia="Arial" w:hAnsi="Arial" w:cs="Arial"/>
          <w:sz w:val="22"/>
          <w:szCs w:val="22"/>
        </w:rPr>
        <w:t>n</w:t>
      </w:r>
      <w:r w:rsidRPr="00B13795">
        <w:rPr>
          <w:rFonts w:ascii="Arial" w:eastAsia="Arial" w:hAnsi="Arial" w:cs="Arial"/>
          <w:sz w:val="22"/>
          <w:szCs w:val="22"/>
        </w:rPr>
        <w:t>a</w:t>
      </w:r>
      <w:r w:rsidRPr="00BD17CA">
        <w:rPr>
          <w:rFonts w:ascii="Arial" w:eastAsia="Arial" w:hAnsi="Arial" w:cs="Arial"/>
          <w:sz w:val="22"/>
          <w:szCs w:val="22"/>
        </w:rPr>
        <w:t>n</w:t>
      </w:r>
      <w:r w:rsidRPr="00B13795">
        <w:rPr>
          <w:rFonts w:ascii="Arial" w:eastAsia="Arial" w:hAnsi="Arial" w:cs="Arial"/>
          <w:sz w:val="22"/>
          <w:szCs w:val="22"/>
        </w:rPr>
        <w:t>ci</w:t>
      </w:r>
      <w:r w:rsidRPr="00BD17CA">
        <w:rPr>
          <w:rFonts w:ascii="Arial" w:eastAsia="Arial" w:hAnsi="Arial" w:cs="Arial"/>
          <w:sz w:val="22"/>
          <w:szCs w:val="22"/>
        </w:rPr>
        <w:t>al</w:t>
      </w:r>
      <w:r w:rsidRPr="00B13795">
        <w:rPr>
          <w:rFonts w:ascii="Arial" w:eastAsia="Arial" w:hAnsi="Arial" w:cs="Arial"/>
          <w:sz w:val="22"/>
          <w:szCs w:val="22"/>
        </w:rPr>
        <w:t xml:space="preserve"> s</w:t>
      </w:r>
      <w:r w:rsidRPr="00BD17CA">
        <w:rPr>
          <w:rFonts w:ascii="Arial" w:eastAsia="Arial" w:hAnsi="Arial" w:cs="Arial"/>
          <w:sz w:val="22"/>
          <w:szCs w:val="22"/>
        </w:rPr>
        <w:t>ta</w:t>
      </w:r>
      <w:r w:rsidRPr="00B13795">
        <w:rPr>
          <w:rFonts w:ascii="Arial" w:eastAsia="Arial" w:hAnsi="Arial" w:cs="Arial"/>
          <w:sz w:val="22"/>
          <w:szCs w:val="22"/>
        </w:rPr>
        <w:t>t</w:t>
      </w:r>
      <w:r w:rsidRPr="00BD17CA">
        <w:rPr>
          <w:rFonts w:ascii="Arial" w:eastAsia="Arial" w:hAnsi="Arial" w:cs="Arial"/>
          <w:sz w:val="22"/>
          <w:szCs w:val="22"/>
        </w:rPr>
        <w:t>e</w:t>
      </w:r>
      <w:r w:rsidRPr="00B13795">
        <w:rPr>
          <w:rFonts w:ascii="Arial" w:eastAsia="Arial" w:hAnsi="Arial" w:cs="Arial"/>
          <w:sz w:val="22"/>
          <w:szCs w:val="22"/>
        </w:rPr>
        <w:t>m</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ts</w:t>
      </w:r>
      <w:r w:rsidRPr="00B13795">
        <w:rPr>
          <w:rFonts w:ascii="Arial" w:eastAsia="Arial" w:hAnsi="Arial" w:cs="Arial"/>
          <w:sz w:val="22"/>
          <w:szCs w:val="22"/>
        </w:rPr>
        <w:t xml:space="preserve"> r</w:t>
      </w:r>
      <w:r w:rsidRPr="00BD17CA">
        <w:rPr>
          <w:rFonts w:ascii="Arial" w:eastAsia="Arial" w:hAnsi="Arial" w:cs="Arial"/>
          <w:sz w:val="22"/>
          <w:szCs w:val="22"/>
        </w:rPr>
        <w:t>e</w:t>
      </w:r>
      <w:r w:rsidRPr="00B13795">
        <w:rPr>
          <w:rFonts w:ascii="Arial" w:eastAsia="Arial" w:hAnsi="Arial" w:cs="Arial"/>
          <w:sz w:val="22"/>
          <w:szCs w:val="22"/>
        </w:rPr>
        <w:t>q</w:t>
      </w:r>
      <w:r w:rsidRPr="00BD17CA">
        <w:rPr>
          <w:rFonts w:ascii="Arial" w:eastAsia="Arial" w:hAnsi="Arial" w:cs="Arial"/>
          <w:sz w:val="22"/>
          <w:szCs w:val="22"/>
        </w:rPr>
        <w:t>u</w:t>
      </w:r>
      <w:r w:rsidRPr="00B13795">
        <w:rPr>
          <w:rFonts w:ascii="Arial" w:eastAsia="Arial" w:hAnsi="Arial" w:cs="Arial"/>
          <w:sz w:val="22"/>
          <w:szCs w:val="22"/>
        </w:rPr>
        <w:t>ir</w:t>
      </w:r>
      <w:r w:rsidRPr="00BD17CA">
        <w:rPr>
          <w:rFonts w:ascii="Arial" w:eastAsia="Arial" w:hAnsi="Arial" w:cs="Arial"/>
          <w:sz w:val="22"/>
          <w:szCs w:val="22"/>
        </w:rPr>
        <w:t>es</w:t>
      </w:r>
      <w:r w:rsidRPr="00B13795">
        <w:rPr>
          <w:rFonts w:ascii="Arial" w:eastAsia="Arial" w:hAnsi="Arial" w:cs="Arial"/>
          <w:sz w:val="22"/>
          <w:szCs w:val="22"/>
        </w:rPr>
        <w:t xml:space="preserve"> m</w:t>
      </w:r>
      <w:r w:rsidRPr="00BD17CA">
        <w:rPr>
          <w:rFonts w:ascii="Arial" w:eastAsia="Arial" w:hAnsi="Arial" w:cs="Arial"/>
          <w:sz w:val="22"/>
          <w:szCs w:val="22"/>
        </w:rPr>
        <w:t>a</w:t>
      </w:r>
      <w:r w:rsidRPr="00B13795">
        <w:rPr>
          <w:rFonts w:ascii="Arial" w:eastAsia="Arial" w:hAnsi="Arial" w:cs="Arial"/>
          <w:sz w:val="22"/>
          <w:szCs w:val="22"/>
        </w:rPr>
        <w:t>n</w:t>
      </w:r>
      <w:r w:rsidRPr="00BD17CA">
        <w:rPr>
          <w:rFonts w:ascii="Arial" w:eastAsia="Arial" w:hAnsi="Arial" w:cs="Arial"/>
          <w:sz w:val="22"/>
          <w:szCs w:val="22"/>
        </w:rPr>
        <w:t>a</w:t>
      </w:r>
      <w:r w:rsidRPr="00B13795">
        <w:rPr>
          <w:rFonts w:ascii="Arial" w:eastAsia="Arial" w:hAnsi="Arial" w:cs="Arial"/>
          <w:sz w:val="22"/>
          <w:szCs w:val="22"/>
        </w:rPr>
        <w:t>g</w:t>
      </w:r>
      <w:r w:rsidRPr="00BD17CA">
        <w:rPr>
          <w:rFonts w:ascii="Arial" w:eastAsia="Arial" w:hAnsi="Arial" w:cs="Arial"/>
          <w:sz w:val="22"/>
          <w:szCs w:val="22"/>
        </w:rPr>
        <w:t>e</w:t>
      </w:r>
      <w:r w:rsidRPr="00B13795">
        <w:rPr>
          <w:rFonts w:ascii="Arial" w:eastAsia="Arial" w:hAnsi="Arial" w:cs="Arial"/>
          <w:sz w:val="22"/>
          <w:szCs w:val="22"/>
        </w:rPr>
        <w:t>m</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w:t>
      </w:r>
      <w:r w:rsidRPr="00BD17CA">
        <w:rPr>
          <w:rFonts w:ascii="Arial" w:eastAsia="Arial" w:hAnsi="Arial" w:cs="Arial"/>
          <w:sz w:val="22"/>
          <w:szCs w:val="22"/>
        </w:rPr>
        <w:t>to</w:t>
      </w:r>
      <w:r w:rsidRPr="00B13795">
        <w:rPr>
          <w:rFonts w:ascii="Arial" w:eastAsia="Arial" w:hAnsi="Arial" w:cs="Arial"/>
          <w:sz w:val="22"/>
          <w:szCs w:val="22"/>
        </w:rPr>
        <w:t xml:space="preserve"> mak</w:t>
      </w:r>
      <w:r w:rsidRPr="00BD17CA">
        <w:rPr>
          <w:rFonts w:ascii="Arial" w:eastAsia="Arial" w:hAnsi="Arial" w:cs="Arial"/>
          <w:sz w:val="22"/>
          <w:szCs w:val="22"/>
        </w:rPr>
        <w:t>e</w:t>
      </w:r>
      <w:r w:rsidRPr="00B13795">
        <w:rPr>
          <w:rFonts w:ascii="Arial" w:eastAsia="Arial" w:hAnsi="Arial" w:cs="Arial"/>
          <w:sz w:val="22"/>
          <w:szCs w:val="22"/>
        </w:rPr>
        <w:t xml:space="preserve"> j</w:t>
      </w:r>
      <w:r w:rsidRPr="00BD17CA">
        <w:rPr>
          <w:rFonts w:ascii="Arial" w:eastAsia="Arial" w:hAnsi="Arial" w:cs="Arial"/>
          <w:sz w:val="22"/>
          <w:szCs w:val="22"/>
        </w:rPr>
        <w:t>u</w:t>
      </w:r>
      <w:r w:rsidRPr="00B13795">
        <w:rPr>
          <w:rFonts w:ascii="Arial" w:eastAsia="Arial" w:hAnsi="Arial" w:cs="Arial"/>
          <w:sz w:val="22"/>
          <w:szCs w:val="22"/>
        </w:rPr>
        <w:t>d</w:t>
      </w:r>
      <w:r w:rsidRPr="00BD17CA">
        <w:rPr>
          <w:rFonts w:ascii="Arial" w:eastAsia="Arial" w:hAnsi="Arial" w:cs="Arial"/>
          <w:sz w:val="22"/>
          <w:szCs w:val="22"/>
        </w:rPr>
        <w:t>g</w:t>
      </w:r>
      <w:r w:rsidRPr="00B13795">
        <w:rPr>
          <w:rFonts w:ascii="Arial" w:eastAsia="Arial" w:hAnsi="Arial" w:cs="Arial"/>
          <w:sz w:val="22"/>
          <w:szCs w:val="22"/>
        </w:rPr>
        <w:t>em</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s</w:t>
      </w:r>
      <w:r w:rsidRPr="00BD17CA">
        <w:rPr>
          <w:rFonts w:ascii="Arial" w:eastAsia="Arial" w:hAnsi="Arial" w:cs="Arial"/>
          <w:sz w:val="22"/>
          <w:szCs w:val="22"/>
        </w:rPr>
        <w:t>,</w:t>
      </w:r>
      <w:r w:rsidRPr="00B13795">
        <w:rPr>
          <w:rFonts w:ascii="Arial" w:eastAsia="Arial" w:hAnsi="Arial" w:cs="Arial"/>
          <w:sz w:val="22"/>
          <w:szCs w:val="22"/>
        </w:rPr>
        <w:t xml:space="preserve"> </w:t>
      </w:r>
      <w:r w:rsidRPr="00BD17CA">
        <w:rPr>
          <w:rFonts w:ascii="Arial" w:eastAsia="Arial" w:hAnsi="Arial" w:cs="Arial"/>
          <w:sz w:val="22"/>
          <w:szCs w:val="22"/>
        </w:rPr>
        <w:t>e</w:t>
      </w:r>
      <w:r w:rsidRPr="00B13795">
        <w:rPr>
          <w:rFonts w:ascii="Arial" w:eastAsia="Arial" w:hAnsi="Arial" w:cs="Arial"/>
          <w:sz w:val="22"/>
          <w:szCs w:val="22"/>
        </w:rPr>
        <w:t>s</w:t>
      </w:r>
      <w:r w:rsidRPr="00BD17CA">
        <w:rPr>
          <w:rFonts w:ascii="Arial" w:eastAsia="Arial" w:hAnsi="Arial" w:cs="Arial"/>
          <w:sz w:val="22"/>
          <w:szCs w:val="22"/>
        </w:rPr>
        <w:t>t</w:t>
      </w:r>
      <w:r w:rsidRPr="00B13795">
        <w:rPr>
          <w:rFonts w:ascii="Arial" w:eastAsia="Arial" w:hAnsi="Arial" w:cs="Arial"/>
          <w:sz w:val="22"/>
          <w:szCs w:val="22"/>
        </w:rPr>
        <w:t>im</w:t>
      </w:r>
      <w:r w:rsidRPr="00BD17CA">
        <w:rPr>
          <w:rFonts w:ascii="Arial" w:eastAsia="Arial" w:hAnsi="Arial" w:cs="Arial"/>
          <w:sz w:val="22"/>
          <w:szCs w:val="22"/>
        </w:rPr>
        <w:t>at</w:t>
      </w:r>
      <w:r w:rsidRPr="00B13795">
        <w:rPr>
          <w:rFonts w:ascii="Arial" w:eastAsia="Arial" w:hAnsi="Arial" w:cs="Arial"/>
          <w:sz w:val="22"/>
          <w:szCs w:val="22"/>
        </w:rPr>
        <w:t>e</w:t>
      </w:r>
      <w:r w:rsidRPr="00BD17CA">
        <w:rPr>
          <w:rFonts w:ascii="Arial" w:eastAsia="Arial" w:hAnsi="Arial" w:cs="Arial"/>
          <w:sz w:val="22"/>
          <w:szCs w:val="22"/>
        </w:rPr>
        <w:t>s</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n</w:t>
      </w:r>
      <w:r w:rsidRPr="00BD17CA">
        <w:rPr>
          <w:rFonts w:ascii="Arial" w:eastAsia="Arial" w:hAnsi="Arial" w:cs="Arial"/>
          <w:sz w:val="22"/>
          <w:szCs w:val="22"/>
        </w:rPr>
        <w:t>d</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ss</w:t>
      </w:r>
      <w:r w:rsidRPr="00BD17CA">
        <w:rPr>
          <w:rFonts w:ascii="Arial" w:eastAsia="Arial" w:hAnsi="Arial" w:cs="Arial"/>
          <w:sz w:val="22"/>
          <w:szCs w:val="22"/>
        </w:rPr>
        <w:t>u</w:t>
      </w:r>
      <w:r w:rsidRPr="00B13795">
        <w:rPr>
          <w:rFonts w:ascii="Arial" w:eastAsia="Arial" w:hAnsi="Arial" w:cs="Arial"/>
          <w:sz w:val="22"/>
          <w:szCs w:val="22"/>
        </w:rPr>
        <w:t>m</w:t>
      </w:r>
      <w:r w:rsidRPr="00BD17CA">
        <w:rPr>
          <w:rFonts w:ascii="Arial" w:eastAsia="Arial" w:hAnsi="Arial" w:cs="Arial"/>
          <w:sz w:val="22"/>
          <w:szCs w:val="22"/>
        </w:rPr>
        <w:t>pt</w:t>
      </w:r>
      <w:r w:rsidRPr="00B13795">
        <w:rPr>
          <w:rFonts w:ascii="Arial" w:eastAsia="Arial" w:hAnsi="Arial" w:cs="Arial"/>
          <w:sz w:val="22"/>
          <w:szCs w:val="22"/>
        </w:rPr>
        <w:t>i</w:t>
      </w:r>
      <w:r w:rsidRPr="00BD17CA">
        <w:rPr>
          <w:rFonts w:ascii="Arial" w:eastAsia="Arial" w:hAnsi="Arial" w:cs="Arial"/>
          <w:sz w:val="22"/>
          <w:szCs w:val="22"/>
        </w:rPr>
        <w:t>o</w:t>
      </w:r>
      <w:r w:rsidRPr="00B13795">
        <w:rPr>
          <w:rFonts w:ascii="Arial" w:eastAsia="Arial" w:hAnsi="Arial" w:cs="Arial"/>
          <w:sz w:val="22"/>
          <w:szCs w:val="22"/>
        </w:rPr>
        <w:t>n</w:t>
      </w:r>
      <w:r w:rsidRPr="00BD17CA">
        <w:rPr>
          <w:rFonts w:ascii="Arial" w:eastAsia="Arial" w:hAnsi="Arial" w:cs="Arial"/>
          <w:sz w:val="22"/>
          <w:szCs w:val="22"/>
        </w:rPr>
        <w:t>s th</w:t>
      </w:r>
      <w:r w:rsidRPr="00B13795">
        <w:rPr>
          <w:rFonts w:ascii="Arial" w:eastAsia="Arial" w:hAnsi="Arial" w:cs="Arial"/>
          <w:sz w:val="22"/>
          <w:szCs w:val="22"/>
        </w:rPr>
        <w:t>a</w:t>
      </w:r>
      <w:r w:rsidRPr="00BD17CA">
        <w:rPr>
          <w:rFonts w:ascii="Arial" w:eastAsia="Arial" w:hAnsi="Arial" w:cs="Arial"/>
          <w:sz w:val="22"/>
          <w:szCs w:val="22"/>
        </w:rPr>
        <w:t>t</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ff</w:t>
      </w:r>
      <w:r w:rsidRPr="00BD17CA">
        <w:rPr>
          <w:rFonts w:ascii="Arial" w:eastAsia="Arial" w:hAnsi="Arial" w:cs="Arial"/>
          <w:sz w:val="22"/>
          <w:szCs w:val="22"/>
        </w:rPr>
        <w:t>e</w:t>
      </w:r>
      <w:r w:rsidRPr="00B13795">
        <w:rPr>
          <w:rFonts w:ascii="Arial" w:eastAsia="Arial" w:hAnsi="Arial" w:cs="Arial"/>
          <w:sz w:val="22"/>
          <w:szCs w:val="22"/>
        </w:rPr>
        <w:t>c</w:t>
      </w:r>
      <w:r w:rsidRPr="00BD17CA">
        <w:rPr>
          <w:rFonts w:ascii="Arial" w:eastAsia="Arial" w:hAnsi="Arial" w:cs="Arial"/>
          <w:sz w:val="22"/>
          <w:szCs w:val="22"/>
        </w:rPr>
        <w:t>t</w:t>
      </w:r>
      <w:r w:rsidRPr="00B13795">
        <w:rPr>
          <w:rFonts w:ascii="Arial" w:eastAsia="Arial" w:hAnsi="Arial" w:cs="Arial"/>
          <w:sz w:val="22"/>
          <w:szCs w:val="22"/>
        </w:rPr>
        <w:t xml:space="preserve"> </w:t>
      </w:r>
      <w:r w:rsidRPr="00BD17CA">
        <w:rPr>
          <w:rFonts w:ascii="Arial" w:eastAsia="Arial" w:hAnsi="Arial" w:cs="Arial"/>
          <w:sz w:val="22"/>
          <w:szCs w:val="22"/>
        </w:rPr>
        <w:t>the</w:t>
      </w:r>
      <w:r w:rsidRPr="00B13795">
        <w:rPr>
          <w:rFonts w:ascii="Arial" w:eastAsia="Arial" w:hAnsi="Arial" w:cs="Arial"/>
          <w:sz w:val="22"/>
          <w:szCs w:val="22"/>
        </w:rPr>
        <w:t xml:space="preserve"> r</w:t>
      </w:r>
      <w:r w:rsidRPr="00BD17CA">
        <w:rPr>
          <w:rFonts w:ascii="Arial" w:eastAsia="Arial" w:hAnsi="Arial" w:cs="Arial"/>
          <w:sz w:val="22"/>
          <w:szCs w:val="22"/>
        </w:rPr>
        <w:t>e</w:t>
      </w:r>
      <w:r w:rsidRPr="00B13795">
        <w:rPr>
          <w:rFonts w:ascii="Arial" w:eastAsia="Arial" w:hAnsi="Arial" w:cs="Arial"/>
          <w:sz w:val="22"/>
          <w:szCs w:val="22"/>
        </w:rPr>
        <w:t>p</w:t>
      </w:r>
      <w:r w:rsidRPr="00BD17CA">
        <w:rPr>
          <w:rFonts w:ascii="Arial" w:eastAsia="Arial" w:hAnsi="Arial" w:cs="Arial"/>
          <w:sz w:val="22"/>
          <w:szCs w:val="22"/>
        </w:rPr>
        <w:t>or</w:t>
      </w:r>
      <w:r w:rsidRPr="00B13795">
        <w:rPr>
          <w:rFonts w:ascii="Arial" w:eastAsia="Arial" w:hAnsi="Arial" w:cs="Arial"/>
          <w:sz w:val="22"/>
          <w:szCs w:val="22"/>
        </w:rPr>
        <w:t>t</w:t>
      </w:r>
      <w:r w:rsidRPr="00BD17CA">
        <w:rPr>
          <w:rFonts w:ascii="Arial" w:eastAsia="Arial" w:hAnsi="Arial" w:cs="Arial"/>
          <w:sz w:val="22"/>
          <w:szCs w:val="22"/>
        </w:rPr>
        <w:t>ed</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cc</w:t>
      </w:r>
      <w:r w:rsidRPr="00BD17CA">
        <w:rPr>
          <w:rFonts w:ascii="Arial" w:eastAsia="Arial" w:hAnsi="Arial" w:cs="Arial"/>
          <w:sz w:val="22"/>
          <w:szCs w:val="22"/>
        </w:rPr>
        <w:t>o</w:t>
      </w:r>
      <w:r w:rsidRPr="00B13795">
        <w:rPr>
          <w:rFonts w:ascii="Arial" w:eastAsia="Arial" w:hAnsi="Arial" w:cs="Arial"/>
          <w:sz w:val="22"/>
          <w:szCs w:val="22"/>
        </w:rPr>
        <w:t>u</w:t>
      </w:r>
      <w:r w:rsidRPr="00BD17CA">
        <w:rPr>
          <w:rFonts w:ascii="Arial" w:eastAsia="Arial" w:hAnsi="Arial" w:cs="Arial"/>
          <w:sz w:val="22"/>
          <w:szCs w:val="22"/>
        </w:rPr>
        <w:t>nts.</w:t>
      </w:r>
      <w:r w:rsidRPr="00B13795">
        <w:rPr>
          <w:rFonts w:ascii="Arial" w:eastAsia="Arial" w:hAnsi="Arial" w:cs="Arial"/>
          <w:sz w:val="22"/>
          <w:szCs w:val="22"/>
        </w:rPr>
        <w:t xml:space="preserve"> Es</w:t>
      </w:r>
      <w:r w:rsidRPr="00BD17CA">
        <w:rPr>
          <w:rFonts w:ascii="Arial" w:eastAsia="Arial" w:hAnsi="Arial" w:cs="Arial"/>
          <w:sz w:val="22"/>
          <w:szCs w:val="22"/>
        </w:rPr>
        <w:t>t</w:t>
      </w:r>
      <w:r w:rsidRPr="00B13795">
        <w:rPr>
          <w:rFonts w:ascii="Arial" w:eastAsia="Arial" w:hAnsi="Arial" w:cs="Arial"/>
          <w:sz w:val="22"/>
          <w:szCs w:val="22"/>
        </w:rPr>
        <w:t>im</w:t>
      </w:r>
      <w:r w:rsidRPr="00BD17CA">
        <w:rPr>
          <w:rFonts w:ascii="Arial" w:eastAsia="Arial" w:hAnsi="Arial" w:cs="Arial"/>
          <w:sz w:val="22"/>
          <w:szCs w:val="22"/>
        </w:rPr>
        <w:t>at</w:t>
      </w:r>
      <w:r w:rsidRPr="00B13795">
        <w:rPr>
          <w:rFonts w:ascii="Arial" w:eastAsia="Arial" w:hAnsi="Arial" w:cs="Arial"/>
          <w:sz w:val="22"/>
          <w:szCs w:val="22"/>
        </w:rPr>
        <w:t>e</w:t>
      </w:r>
      <w:r w:rsidRPr="00BD17CA">
        <w:rPr>
          <w:rFonts w:ascii="Arial" w:eastAsia="Arial" w:hAnsi="Arial" w:cs="Arial"/>
          <w:sz w:val="22"/>
          <w:szCs w:val="22"/>
        </w:rPr>
        <w:t>s</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n</w:t>
      </w:r>
      <w:r w:rsidRPr="00BD17CA">
        <w:rPr>
          <w:rFonts w:ascii="Arial" w:eastAsia="Arial" w:hAnsi="Arial" w:cs="Arial"/>
          <w:sz w:val="22"/>
          <w:szCs w:val="22"/>
        </w:rPr>
        <w:t>d</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ss</w:t>
      </w:r>
      <w:r w:rsidRPr="00BD17CA">
        <w:rPr>
          <w:rFonts w:ascii="Arial" w:eastAsia="Arial" w:hAnsi="Arial" w:cs="Arial"/>
          <w:sz w:val="22"/>
          <w:szCs w:val="22"/>
        </w:rPr>
        <w:t>u</w:t>
      </w:r>
      <w:r w:rsidRPr="00B13795">
        <w:rPr>
          <w:rFonts w:ascii="Arial" w:eastAsia="Arial" w:hAnsi="Arial" w:cs="Arial"/>
          <w:sz w:val="22"/>
          <w:szCs w:val="22"/>
        </w:rPr>
        <w:t>m</w:t>
      </w:r>
      <w:r w:rsidRPr="00BD17CA">
        <w:rPr>
          <w:rFonts w:ascii="Arial" w:eastAsia="Arial" w:hAnsi="Arial" w:cs="Arial"/>
          <w:sz w:val="22"/>
          <w:szCs w:val="22"/>
        </w:rPr>
        <w:t>pt</w:t>
      </w:r>
      <w:r w:rsidRPr="00B13795">
        <w:rPr>
          <w:rFonts w:ascii="Arial" w:eastAsia="Arial" w:hAnsi="Arial" w:cs="Arial"/>
          <w:sz w:val="22"/>
          <w:szCs w:val="22"/>
        </w:rPr>
        <w:t>i</w:t>
      </w:r>
      <w:r w:rsidRPr="00BD17CA">
        <w:rPr>
          <w:rFonts w:ascii="Arial" w:eastAsia="Arial" w:hAnsi="Arial" w:cs="Arial"/>
          <w:sz w:val="22"/>
          <w:szCs w:val="22"/>
        </w:rPr>
        <w:t>o</w:t>
      </w:r>
      <w:r w:rsidRPr="00B13795">
        <w:rPr>
          <w:rFonts w:ascii="Arial" w:eastAsia="Arial" w:hAnsi="Arial" w:cs="Arial"/>
          <w:sz w:val="22"/>
          <w:szCs w:val="22"/>
        </w:rPr>
        <w:t>n</w:t>
      </w:r>
      <w:r w:rsidRPr="00BD17CA">
        <w:rPr>
          <w:rFonts w:ascii="Arial" w:eastAsia="Arial" w:hAnsi="Arial" w:cs="Arial"/>
          <w:sz w:val="22"/>
          <w:szCs w:val="22"/>
        </w:rPr>
        <w:t>s</w:t>
      </w:r>
      <w:r w:rsidRPr="00B13795">
        <w:rPr>
          <w:rFonts w:ascii="Arial" w:eastAsia="Arial" w:hAnsi="Arial" w:cs="Arial"/>
          <w:sz w:val="22"/>
          <w:szCs w:val="22"/>
        </w:rPr>
        <w:t xml:space="preserve"> </w:t>
      </w:r>
      <w:r w:rsidRPr="00BD17CA">
        <w:rPr>
          <w:rFonts w:ascii="Arial" w:eastAsia="Arial" w:hAnsi="Arial" w:cs="Arial"/>
          <w:sz w:val="22"/>
          <w:szCs w:val="22"/>
        </w:rPr>
        <w:t>ta</w:t>
      </w:r>
      <w:r w:rsidRPr="00B13795">
        <w:rPr>
          <w:rFonts w:ascii="Arial" w:eastAsia="Arial" w:hAnsi="Arial" w:cs="Arial"/>
          <w:sz w:val="22"/>
          <w:szCs w:val="22"/>
        </w:rPr>
        <w:t>k</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cc</w:t>
      </w:r>
      <w:r w:rsidRPr="00BD17CA">
        <w:rPr>
          <w:rFonts w:ascii="Arial" w:eastAsia="Arial" w:hAnsi="Arial" w:cs="Arial"/>
          <w:sz w:val="22"/>
          <w:szCs w:val="22"/>
        </w:rPr>
        <w:t>o</w:t>
      </w:r>
      <w:r w:rsidRPr="00B13795">
        <w:rPr>
          <w:rFonts w:ascii="Arial" w:eastAsia="Arial" w:hAnsi="Arial" w:cs="Arial"/>
          <w:sz w:val="22"/>
          <w:szCs w:val="22"/>
        </w:rPr>
        <w:t>u</w:t>
      </w:r>
      <w:r w:rsidRPr="00BD17CA">
        <w:rPr>
          <w:rFonts w:ascii="Arial" w:eastAsia="Arial" w:hAnsi="Arial" w:cs="Arial"/>
          <w:sz w:val="22"/>
          <w:szCs w:val="22"/>
        </w:rPr>
        <w:t>nt</w:t>
      </w:r>
      <w:r w:rsidRPr="00B13795">
        <w:rPr>
          <w:rFonts w:ascii="Arial" w:eastAsia="Arial" w:hAnsi="Arial" w:cs="Arial"/>
          <w:sz w:val="22"/>
          <w:szCs w:val="22"/>
        </w:rPr>
        <w:t xml:space="preserve"> </w:t>
      </w:r>
      <w:r w:rsidRPr="00BD17CA">
        <w:rPr>
          <w:rFonts w:ascii="Arial" w:eastAsia="Arial" w:hAnsi="Arial" w:cs="Arial"/>
          <w:sz w:val="22"/>
          <w:szCs w:val="22"/>
        </w:rPr>
        <w:t>of</w:t>
      </w:r>
      <w:r w:rsidRPr="00B13795">
        <w:rPr>
          <w:rFonts w:ascii="Arial" w:eastAsia="Arial" w:hAnsi="Arial" w:cs="Arial"/>
          <w:sz w:val="22"/>
          <w:szCs w:val="22"/>
        </w:rPr>
        <w:t xml:space="preserve"> </w:t>
      </w:r>
      <w:r w:rsidRPr="00BD17CA">
        <w:rPr>
          <w:rFonts w:ascii="Arial" w:eastAsia="Arial" w:hAnsi="Arial" w:cs="Arial"/>
          <w:sz w:val="22"/>
          <w:szCs w:val="22"/>
        </w:rPr>
        <w:t>h</w:t>
      </w:r>
      <w:r w:rsidRPr="00B13795">
        <w:rPr>
          <w:rFonts w:ascii="Arial" w:eastAsia="Arial" w:hAnsi="Arial" w:cs="Arial"/>
          <w:sz w:val="22"/>
          <w:szCs w:val="22"/>
        </w:rPr>
        <w:t>is</w:t>
      </w:r>
      <w:r w:rsidRPr="00BD17CA">
        <w:rPr>
          <w:rFonts w:ascii="Arial" w:eastAsia="Arial" w:hAnsi="Arial" w:cs="Arial"/>
          <w:sz w:val="22"/>
          <w:szCs w:val="22"/>
        </w:rPr>
        <w:t>tor</w:t>
      </w:r>
      <w:r w:rsidRPr="00B13795">
        <w:rPr>
          <w:rFonts w:ascii="Arial" w:eastAsia="Arial" w:hAnsi="Arial" w:cs="Arial"/>
          <w:sz w:val="22"/>
          <w:szCs w:val="22"/>
        </w:rPr>
        <w:t>ica</w:t>
      </w:r>
      <w:r w:rsidRPr="00BD17CA">
        <w:rPr>
          <w:rFonts w:ascii="Arial" w:eastAsia="Arial" w:hAnsi="Arial" w:cs="Arial"/>
          <w:sz w:val="22"/>
          <w:szCs w:val="22"/>
        </w:rPr>
        <w:t>l</w:t>
      </w:r>
      <w:r w:rsidRPr="00B13795">
        <w:rPr>
          <w:rFonts w:ascii="Arial" w:eastAsia="Arial" w:hAnsi="Arial" w:cs="Arial"/>
          <w:sz w:val="22"/>
          <w:szCs w:val="22"/>
        </w:rPr>
        <w:t xml:space="preserve"> </w:t>
      </w:r>
      <w:r w:rsidRPr="00BD17CA">
        <w:rPr>
          <w:rFonts w:ascii="Arial" w:eastAsia="Arial" w:hAnsi="Arial" w:cs="Arial"/>
          <w:sz w:val="22"/>
          <w:szCs w:val="22"/>
        </w:rPr>
        <w:t>e</w:t>
      </w:r>
      <w:r w:rsidRPr="00B13795">
        <w:rPr>
          <w:rFonts w:ascii="Arial" w:eastAsia="Arial" w:hAnsi="Arial" w:cs="Arial"/>
          <w:sz w:val="22"/>
          <w:szCs w:val="22"/>
        </w:rPr>
        <w:t>x</w:t>
      </w:r>
      <w:r w:rsidRPr="00BD17CA">
        <w:rPr>
          <w:rFonts w:ascii="Arial" w:eastAsia="Arial" w:hAnsi="Arial" w:cs="Arial"/>
          <w:sz w:val="22"/>
          <w:szCs w:val="22"/>
        </w:rPr>
        <w:t>p</w:t>
      </w:r>
      <w:r w:rsidRPr="00B13795">
        <w:rPr>
          <w:rFonts w:ascii="Arial" w:eastAsia="Arial" w:hAnsi="Arial" w:cs="Arial"/>
          <w:sz w:val="22"/>
          <w:szCs w:val="22"/>
        </w:rPr>
        <w:t>erie</w:t>
      </w:r>
      <w:r w:rsidRPr="00BD17CA">
        <w:rPr>
          <w:rFonts w:ascii="Arial" w:eastAsia="Arial" w:hAnsi="Arial" w:cs="Arial"/>
          <w:sz w:val="22"/>
          <w:szCs w:val="22"/>
        </w:rPr>
        <w:t>n</w:t>
      </w:r>
      <w:r w:rsidRPr="00B13795">
        <w:rPr>
          <w:rFonts w:ascii="Arial" w:eastAsia="Arial" w:hAnsi="Arial" w:cs="Arial"/>
          <w:sz w:val="22"/>
          <w:szCs w:val="22"/>
        </w:rPr>
        <w:t>c</w:t>
      </w:r>
      <w:r w:rsidRPr="00BD17CA">
        <w:rPr>
          <w:rFonts w:ascii="Arial" w:eastAsia="Arial" w:hAnsi="Arial" w:cs="Arial"/>
          <w:sz w:val="22"/>
          <w:szCs w:val="22"/>
        </w:rPr>
        <w:t xml:space="preserve">e, </w:t>
      </w:r>
      <w:r w:rsidRPr="00B13795">
        <w:rPr>
          <w:rFonts w:ascii="Arial" w:eastAsia="Arial" w:hAnsi="Arial" w:cs="Arial"/>
          <w:sz w:val="22"/>
          <w:szCs w:val="22"/>
        </w:rPr>
        <w:t>c</w:t>
      </w:r>
      <w:r w:rsidRPr="00BD17CA">
        <w:rPr>
          <w:rFonts w:ascii="Arial" w:eastAsia="Arial" w:hAnsi="Arial" w:cs="Arial"/>
          <w:sz w:val="22"/>
          <w:szCs w:val="22"/>
        </w:rPr>
        <w:t>ur</w:t>
      </w:r>
      <w:r w:rsidRPr="00B13795">
        <w:rPr>
          <w:rFonts w:ascii="Arial" w:eastAsia="Arial" w:hAnsi="Arial" w:cs="Arial"/>
          <w:sz w:val="22"/>
          <w:szCs w:val="22"/>
        </w:rPr>
        <w:t>re</w:t>
      </w:r>
      <w:r w:rsidRPr="00BD17CA">
        <w:rPr>
          <w:rFonts w:ascii="Arial" w:eastAsia="Arial" w:hAnsi="Arial" w:cs="Arial"/>
          <w:sz w:val="22"/>
          <w:szCs w:val="22"/>
        </w:rPr>
        <w:t>nt tre</w:t>
      </w:r>
      <w:r w:rsidRPr="00B13795">
        <w:rPr>
          <w:rFonts w:ascii="Arial" w:eastAsia="Arial" w:hAnsi="Arial" w:cs="Arial"/>
          <w:sz w:val="22"/>
          <w:szCs w:val="22"/>
        </w:rPr>
        <w:t>n</w:t>
      </w:r>
      <w:r w:rsidRPr="00BD17CA">
        <w:rPr>
          <w:rFonts w:ascii="Arial" w:eastAsia="Arial" w:hAnsi="Arial" w:cs="Arial"/>
          <w:sz w:val="22"/>
          <w:szCs w:val="22"/>
        </w:rPr>
        <w:t>ds</w:t>
      </w:r>
      <w:r w:rsidRPr="00B13795">
        <w:rPr>
          <w:rFonts w:ascii="Arial" w:eastAsia="Arial" w:hAnsi="Arial" w:cs="Arial"/>
          <w:sz w:val="22"/>
          <w:szCs w:val="22"/>
        </w:rPr>
        <w:t xml:space="preserve"> a</w:t>
      </w:r>
      <w:r w:rsidRPr="00BD17CA">
        <w:rPr>
          <w:rFonts w:ascii="Arial" w:eastAsia="Arial" w:hAnsi="Arial" w:cs="Arial"/>
          <w:sz w:val="22"/>
          <w:szCs w:val="22"/>
        </w:rPr>
        <w:t>nd</w:t>
      </w:r>
      <w:r w:rsidRPr="00B13795">
        <w:rPr>
          <w:rFonts w:ascii="Arial" w:eastAsia="Arial" w:hAnsi="Arial" w:cs="Arial"/>
          <w:sz w:val="22"/>
          <w:szCs w:val="22"/>
        </w:rPr>
        <w:t xml:space="preserve"> f</w:t>
      </w:r>
      <w:r w:rsidRPr="00BD17CA">
        <w:rPr>
          <w:rFonts w:ascii="Arial" w:eastAsia="Arial" w:hAnsi="Arial" w:cs="Arial"/>
          <w:sz w:val="22"/>
          <w:szCs w:val="22"/>
        </w:rPr>
        <w:t>ut</w:t>
      </w:r>
      <w:r w:rsidRPr="00B13795">
        <w:rPr>
          <w:rFonts w:ascii="Arial" w:eastAsia="Arial" w:hAnsi="Arial" w:cs="Arial"/>
          <w:sz w:val="22"/>
          <w:szCs w:val="22"/>
        </w:rPr>
        <w:t>ur</w:t>
      </w:r>
      <w:r w:rsidRPr="00BD17CA">
        <w:rPr>
          <w:rFonts w:ascii="Arial" w:eastAsia="Arial" w:hAnsi="Arial" w:cs="Arial"/>
          <w:sz w:val="22"/>
          <w:szCs w:val="22"/>
        </w:rPr>
        <w:t>e</w:t>
      </w:r>
      <w:r w:rsidRPr="00B13795">
        <w:rPr>
          <w:rFonts w:ascii="Arial" w:eastAsia="Arial" w:hAnsi="Arial" w:cs="Arial"/>
          <w:sz w:val="22"/>
          <w:szCs w:val="22"/>
        </w:rPr>
        <w:t xml:space="preserve"> expectations, </w:t>
      </w:r>
      <w:r w:rsidRPr="00BD17CA">
        <w:rPr>
          <w:rFonts w:ascii="Arial" w:eastAsia="Arial" w:hAnsi="Arial" w:cs="Arial"/>
          <w:sz w:val="22"/>
          <w:szCs w:val="22"/>
        </w:rPr>
        <w:t>h</w:t>
      </w:r>
      <w:r w:rsidRPr="00B13795">
        <w:rPr>
          <w:rFonts w:ascii="Arial" w:eastAsia="Arial" w:hAnsi="Arial" w:cs="Arial"/>
          <w:sz w:val="22"/>
          <w:szCs w:val="22"/>
        </w:rPr>
        <w:t>o</w:t>
      </w:r>
      <w:r w:rsidRPr="00BD17CA">
        <w:rPr>
          <w:rFonts w:ascii="Arial" w:eastAsia="Arial" w:hAnsi="Arial" w:cs="Arial"/>
          <w:sz w:val="22"/>
          <w:szCs w:val="22"/>
        </w:rPr>
        <w:t>we</w:t>
      </w:r>
      <w:r w:rsidRPr="00B13795">
        <w:rPr>
          <w:rFonts w:ascii="Arial" w:eastAsia="Arial" w:hAnsi="Arial" w:cs="Arial"/>
          <w:sz w:val="22"/>
          <w:szCs w:val="22"/>
        </w:rPr>
        <w:t>v</w:t>
      </w:r>
      <w:r w:rsidRPr="00BD17CA">
        <w:rPr>
          <w:rFonts w:ascii="Arial" w:eastAsia="Arial" w:hAnsi="Arial" w:cs="Arial"/>
          <w:sz w:val="22"/>
          <w:szCs w:val="22"/>
        </w:rPr>
        <w:t>er</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c</w:t>
      </w:r>
      <w:r w:rsidRPr="00BD17CA">
        <w:rPr>
          <w:rFonts w:ascii="Arial" w:eastAsia="Arial" w:hAnsi="Arial" w:cs="Arial"/>
          <w:sz w:val="22"/>
          <w:szCs w:val="22"/>
        </w:rPr>
        <w:t>t</w:t>
      </w:r>
      <w:r w:rsidRPr="00B13795">
        <w:rPr>
          <w:rFonts w:ascii="Arial" w:eastAsia="Arial" w:hAnsi="Arial" w:cs="Arial"/>
          <w:sz w:val="22"/>
          <w:szCs w:val="22"/>
        </w:rPr>
        <w:t>u</w:t>
      </w:r>
      <w:r w:rsidRPr="00BD17CA">
        <w:rPr>
          <w:rFonts w:ascii="Arial" w:eastAsia="Arial" w:hAnsi="Arial" w:cs="Arial"/>
          <w:sz w:val="22"/>
          <w:szCs w:val="22"/>
        </w:rPr>
        <w:t>al</w:t>
      </w:r>
      <w:r w:rsidRPr="00B13795">
        <w:rPr>
          <w:rFonts w:ascii="Arial" w:eastAsia="Arial" w:hAnsi="Arial" w:cs="Arial"/>
          <w:sz w:val="22"/>
          <w:szCs w:val="22"/>
        </w:rPr>
        <w:t xml:space="preserve"> </w:t>
      </w:r>
      <w:r w:rsidRPr="00BD17CA">
        <w:rPr>
          <w:rFonts w:ascii="Arial" w:eastAsia="Arial" w:hAnsi="Arial" w:cs="Arial"/>
          <w:sz w:val="22"/>
          <w:szCs w:val="22"/>
        </w:rPr>
        <w:t>o</w:t>
      </w:r>
      <w:r w:rsidRPr="00B13795">
        <w:rPr>
          <w:rFonts w:ascii="Arial" w:eastAsia="Arial" w:hAnsi="Arial" w:cs="Arial"/>
          <w:sz w:val="22"/>
          <w:szCs w:val="22"/>
        </w:rPr>
        <w:t>u</w:t>
      </w:r>
      <w:r w:rsidRPr="00BD17CA">
        <w:rPr>
          <w:rFonts w:ascii="Arial" w:eastAsia="Arial" w:hAnsi="Arial" w:cs="Arial"/>
          <w:sz w:val="22"/>
          <w:szCs w:val="22"/>
        </w:rPr>
        <w:t>t</w:t>
      </w:r>
      <w:r w:rsidRPr="00B13795">
        <w:rPr>
          <w:rFonts w:ascii="Arial" w:eastAsia="Arial" w:hAnsi="Arial" w:cs="Arial"/>
          <w:sz w:val="22"/>
          <w:szCs w:val="22"/>
        </w:rPr>
        <w:t>c</w:t>
      </w:r>
      <w:r w:rsidRPr="00BD17CA">
        <w:rPr>
          <w:rFonts w:ascii="Arial" w:eastAsia="Arial" w:hAnsi="Arial" w:cs="Arial"/>
          <w:sz w:val="22"/>
          <w:szCs w:val="22"/>
        </w:rPr>
        <w:t>o</w:t>
      </w:r>
      <w:r w:rsidRPr="00B13795">
        <w:rPr>
          <w:rFonts w:ascii="Arial" w:eastAsia="Arial" w:hAnsi="Arial" w:cs="Arial"/>
          <w:sz w:val="22"/>
          <w:szCs w:val="22"/>
        </w:rPr>
        <w:t>m</w:t>
      </w:r>
      <w:r w:rsidRPr="00BD17CA">
        <w:rPr>
          <w:rFonts w:ascii="Arial" w:eastAsia="Arial" w:hAnsi="Arial" w:cs="Arial"/>
          <w:sz w:val="22"/>
          <w:szCs w:val="22"/>
        </w:rPr>
        <w:t>es</w:t>
      </w:r>
      <w:r w:rsidRPr="00B13795">
        <w:rPr>
          <w:rFonts w:ascii="Arial" w:eastAsia="Arial" w:hAnsi="Arial" w:cs="Arial"/>
          <w:sz w:val="22"/>
          <w:szCs w:val="22"/>
        </w:rPr>
        <w:t xml:space="preserve"> c</w:t>
      </w:r>
      <w:r w:rsidRPr="00BD17CA">
        <w:rPr>
          <w:rFonts w:ascii="Arial" w:eastAsia="Arial" w:hAnsi="Arial" w:cs="Arial"/>
          <w:sz w:val="22"/>
          <w:szCs w:val="22"/>
        </w:rPr>
        <w:t>o</w:t>
      </w:r>
      <w:r w:rsidRPr="00B13795">
        <w:rPr>
          <w:rFonts w:ascii="Arial" w:eastAsia="Arial" w:hAnsi="Arial" w:cs="Arial"/>
          <w:sz w:val="22"/>
          <w:szCs w:val="22"/>
        </w:rPr>
        <w:t>ul</w:t>
      </w:r>
      <w:r w:rsidRPr="00BD17CA">
        <w:rPr>
          <w:rFonts w:ascii="Arial" w:eastAsia="Arial" w:hAnsi="Arial" w:cs="Arial"/>
          <w:sz w:val="22"/>
          <w:szCs w:val="22"/>
        </w:rPr>
        <w:t>d</w:t>
      </w:r>
      <w:r w:rsidRPr="00B13795">
        <w:rPr>
          <w:rFonts w:ascii="Arial" w:eastAsia="Arial" w:hAnsi="Arial" w:cs="Arial"/>
          <w:sz w:val="22"/>
          <w:szCs w:val="22"/>
        </w:rPr>
        <w:t xml:space="preserve"> </w:t>
      </w:r>
      <w:r w:rsidRPr="00BD17CA">
        <w:rPr>
          <w:rFonts w:ascii="Arial" w:eastAsia="Arial" w:hAnsi="Arial" w:cs="Arial"/>
          <w:sz w:val="22"/>
          <w:szCs w:val="22"/>
        </w:rPr>
        <w:t>be</w:t>
      </w:r>
      <w:r w:rsidRPr="00B13795">
        <w:rPr>
          <w:rFonts w:ascii="Arial" w:eastAsia="Arial" w:hAnsi="Arial" w:cs="Arial"/>
          <w:sz w:val="22"/>
          <w:szCs w:val="22"/>
        </w:rPr>
        <w:t xml:space="preserve"> </w:t>
      </w:r>
      <w:r w:rsidRPr="00BD17CA">
        <w:rPr>
          <w:rFonts w:ascii="Arial" w:eastAsia="Arial" w:hAnsi="Arial" w:cs="Arial"/>
          <w:sz w:val="22"/>
          <w:szCs w:val="22"/>
        </w:rPr>
        <w:t>d</w:t>
      </w:r>
      <w:r w:rsidRPr="00B13795">
        <w:rPr>
          <w:rFonts w:ascii="Arial" w:eastAsia="Arial" w:hAnsi="Arial" w:cs="Arial"/>
          <w:sz w:val="22"/>
          <w:szCs w:val="22"/>
        </w:rPr>
        <w:t>iff</w:t>
      </w:r>
      <w:r w:rsidRPr="00BD17CA">
        <w:rPr>
          <w:rFonts w:ascii="Arial" w:eastAsia="Arial" w:hAnsi="Arial" w:cs="Arial"/>
          <w:sz w:val="22"/>
          <w:szCs w:val="22"/>
        </w:rPr>
        <w:t>erent</w:t>
      </w:r>
      <w:r w:rsidRPr="00B13795">
        <w:rPr>
          <w:rFonts w:ascii="Arial" w:eastAsia="Arial" w:hAnsi="Arial" w:cs="Arial"/>
          <w:sz w:val="22"/>
          <w:szCs w:val="22"/>
        </w:rPr>
        <w:t xml:space="preserve"> fr</w:t>
      </w:r>
      <w:r w:rsidRPr="00BD17CA">
        <w:rPr>
          <w:rFonts w:ascii="Arial" w:eastAsia="Arial" w:hAnsi="Arial" w:cs="Arial"/>
          <w:sz w:val="22"/>
          <w:szCs w:val="22"/>
        </w:rPr>
        <w:t>om</w:t>
      </w:r>
      <w:r w:rsidRPr="00B13795">
        <w:rPr>
          <w:rFonts w:ascii="Arial" w:eastAsia="Arial" w:hAnsi="Arial" w:cs="Arial"/>
          <w:sz w:val="22"/>
          <w:szCs w:val="22"/>
        </w:rPr>
        <w:t xml:space="preserve"> </w:t>
      </w:r>
      <w:r w:rsidRPr="00BD17CA">
        <w:rPr>
          <w:rFonts w:ascii="Arial" w:eastAsia="Arial" w:hAnsi="Arial" w:cs="Arial"/>
          <w:sz w:val="22"/>
          <w:szCs w:val="22"/>
        </w:rPr>
        <w:t>the</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ss</w:t>
      </w:r>
      <w:r w:rsidRPr="00BD17CA">
        <w:rPr>
          <w:rFonts w:ascii="Arial" w:eastAsia="Arial" w:hAnsi="Arial" w:cs="Arial"/>
          <w:sz w:val="22"/>
          <w:szCs w:val="22"/>
        </w:rPr>
        <w:t>u</w:t>
      </w:r>
      <w:r w:rsidRPr="00B13795">
        <w:rPr>
          <w:rFonts w:ascii="Arial" w:eastAsia="Arial" w:hAnsi="Arial" w:cs="Arial"/>
          <w:sz w:val="22"/>
          <w:szCs w:val="22"/>
        </w:rPr>
        <w:t>m</w:t>
      </w:r>
      <w:r w:rsidRPr="00BD17CA">
        <w:rPr>
          <w:rFonts w:ascii="Arial" w:eastAsia="Arial" w:hAnsi="Arial" w:cs="Arial"/>
          <w:sz w:val="22"/>
          <w:szCs w:val="22"/>
        </w:rPr>
        <w:t>pt</w:t>
      </w:r>
      <w:r w:rsidRPr="00B13795">
        <w:rPr>
          <w:rFonts w:ascii="Arial" w:eastAsia="Arial" w:hAnsi="Arial" w:cs="Arial"/>
          <w:sz w:val="22"/>
          <w:szCs w:val="22"/>
        </w:rPr>
        <w:t>i</w:t>
      </w:r>
      <w:r w:rsidRPr="00BD17CA">
        <w:rPr>
          <w:rFonts w:ascii="Arial" w:eastAsia="Arial" w:hAnsi="Arial" w:cs="Arial"/>
          <w:sz w:val="22"/>
          <w:szCs w:val="22"/>
        </w:rPr>
        <w:t>o</w:t>
      </w:r>
      <w:r w:rsidRPr="00B13795">
        <w:rPr>
          <w:rFonts w:ascii="Arial" w:eastAsia="Arial" w:hAnsi="Arial" w:cs="Arial"/>
          <w:sz w:val="22"/>
          <w:szCs w:val="22"/>
        </w:rPr>
        <w:t>n</w:t>
      </w:r>
      <w:r w:rsidRPr="00BD17CA">
        <w:rPr>
          <w:rFonts w:ascii="Arial" w:eastAsia="Arial" w:hAnsi="Arial" w:cs="Arial"/>
          <w:sz w:val="22"/>
          <w:szCs w:val="22"/>
        </w:rPr>
        <w:t>s</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n</w:t>
      </w:r>
      <w:r w:rsidRPr="00BD17CA">
        <w:rPr>
          <w:rFonts w:ascii="Arial" w:eastAsia="Arial" w:hAnsi="Arial" w:cs="Arial"/>
          <w:sz w:val="22"/>
          <w:szCs w:val="22"/>
        </w:rPr>
        <w:t>d</w:t>
      </w:r>
      <w:r w:rsidRPr="00B13795">
        <w:rPr>
          <w:rFonts w:ascii="Arial" w:eastAsia="Arial" w:hAnsi="Arial" w:cs="Arial"/>
          <w:sz w:val="22"/>
          <w:szCs w:val="22"/>
        </w:rPr>
        <w:t xml:space="preserve"> </w:t>
      </w:r>
      <w:r w:rsidRPr="00BD17CA">
        <w:rPr>
          <w:rFonts w:ascii="Arial" w:eastAsia="Arial" w:hAnsi="Arial" w:cs="Arial"/>
          <w:sz w:val="22"/>
          <w:szCs w:val="22"/>
        </w:rPr>
        <w:t>e</w:t>
      </w:r>
      <w:r w:rsidRPr="00B13795">
        <w:rPr>
          <w:rFonts w:ascii="Arial" w:eastAsia="Arial" w:hAnsi="Arial" w:cs="Arial"/>
          <w:sz w:val="22"/>
          <w:szCs w:val="22"/>
        </w:rPr>
        <w:t>stim</w:t>
      </w:r>
      <w:r w:rsidRPr="00BD17CA">
        <w:rPr>
          <w:rFonts w:ascii="Arial" w:eastAsia="Arial" w:hAnsi="Arial" w:cs="Arial"/>
          <w:sz w:val="22"/>
          <w:szCs w:val="22"/>
        </w:rPr>
        <w:t>at</w:t>
      </w:r>
      <w:r w:rsidRPr="00B13795">
        <w:rPr>
          <w:rFonts w:ascii="Arial" w:eastAsia="Arial" w:hAnsi="Arial" w:cs="Arial"/>
          <w:sz w:val="22"/>
          <w:szCs w:val="22"/>
        </w:rPr>
        <w:t>e</w:t>
      </w:r>
      <w:r w:rsidRPr="00BD17CA">
        <w:rPr>
          <w:rFonts w:ascii="Arial" w:eastAsia="Arial" w:hAnsi="Arial" w:cs="Arial"/>
          <w:sz w:val="22"/>
          <w:szCs w:val="22"/>
        </w:rPr>
        <w:t xml:space="preserve">s </w:t>
      </w:r>
      <w:r w:rsidRPr="00B13795">
        <w:rPr>
          <w:rFonts w:ascii="Arial" w:eastAsia="Arial" w:hAnsi="Arial" w:cs="Arial"/>
          <w:sz w:val="22"/>
          <w:szCs w:val="22"/>
        </w:rPr>
        <w:t>m</w:t>
      </w:r>
      <w:r w:rsidRPr="00BD17CA">
        <w:rPr>
          <w:rFonts w:ascii="Arial" w:eastAsia="Arial" w:hAnsi="Arial" w:cs="Arial"/>
          <w:sz w:val="22"/>
          <w:szCs w:val="22"/>
        </w:rPr>
        <w:t>a</w:t>
      </w:r>
      <w:r w:rsidRPr="00B13795">
        <w:rPr>
          <w:rFonts w:ascii="Arial" w:eastAsia="Arial" w:hAnsi="Arial" w:cs="Arial"/>
          <w:sz w:val="22"/>
          <w:szCs w:val="22"/>
        </w:rPr>
        <w:t>d</w:t>
      </w:r>
      <w:r w:rsidRPr="00BD17CA">
        <w:rPr>
          <w:rFonts w:ascii="Arial" w:eastAsia="Arial" w:hAnsi="Arial" w:cs="Arial"/>
          <w:sz w:val="22"/>
          <w:szCs w:val="22"/>
        </w:rPr>
        <w:t>e.</w:t>
      </w:r>
      <w:r w:rsidRPr="00B13795">
        <w:rPr>
          <w:rFonts w:ascii="Arial" w:eastAsia="Arial" w:hAnsi="Arial" w:cs="Arial"/>
          <w:sz w:val="22"/>
          <w:szCs w:val="22"/>
        </w:rPr>
        <w:t xml:space="preserve"> T</w:t>
      </w:r>
      <w:r w:rsidRPr="00BD17CA">
        <w:rPr>
          <w:rFonts w:ascii="Arial" w:eastAsia="Arial" w:hAnsi="Arial" w:cs="Arial"/>
          <w:sz w:val="22"/>
          <w:szCs w:val="22"/>
        </w:rPr>
        <w:t>he</w:t>
      </w:r>
      <w:r w:rsidRPr="00B13795">
        <w:rPr>
          <w:rFonts w:ascii="Arial" w:eastAsia="Arial" w:hAnsi="Arial" w:cs="Arial"/>
          <w:sz w:val="22"/>
          <w:szCs w:val="22"/>
        </w:rPr>
        <w:t xml:space="preserve"> i</w:t>
      </w:r>
      <w:r w:rsidRPr="00BD17CA">
        <w:rPr>
          <w:rFonts w:ascii="Arial" w:eastAsia="Arial" w:hAnsi="Arial" w:cs="Arial"/>
          <w:sz w:val="22"/>
          <w:szCs w:val="22"/>
        </w:rPr>
        <w:t>te</w:t>
      </w:r>
      <w:r w:rsidRPr="00B13795">
        <w:rPr>
          <w:rFonts w:ascii="Arial" w:eastAsia="Arial" w:hAnsi="Arial" w:cs="Arial"/>
          <w:sz w:val="22"/>
          <w:szCs w:val="22"/>
        </w:rPr>
        <w:t>m</w:t>
      </w:r>
      <w:r w:rsidRPr="00BD17CA">
        <w:rPr>
          <w:rFonts w:ascii="Arial" w:eastAsia="Arial" w:hAnsi="Arial" w:cs="Arial"/>
          <w:sz w:val="22"/>
          <w:szCs w:val="22"/>
        </w:rPr>
        <w:t>s</w:t>
      </w:r>
      <w:r w:rsidRPr="00B13795">
        <w:rPr>
          <w:rFonts w:ascii="Arial" w:eastAsia="Arial" w:hAnsi="Arial" w:cs="Arial"/>
          <w:sz w:val="22"/>
          <w:szCs w:val="22"/>
        </w:rPr>
        <w:t xml:space="preserve"> i</w:t>
      </w:r>
      <w:r w:rsidRPr="00BD17CA">
        <w:rPr>
          <w:rFonts w:ascii="Arial" w:eastAsia="Arial" w:hAnsi="Arial" w:cs="Arial"/>
          <w:sz w:val="22"/>
          <w:szCs w:val="22"/>
        </w:rPr>
        <w:t>n</w:t>
      </w:r>
      <w:r w:rsidRPr="00B13795">
        <w:rPr>
          <w:rFonts w:ascii="Arial" w:eastAsia="Arial" w:hAnsi="Arial" w:cs="Arial"/>
          <w:sz w:val="22"/>
          <w:szCs w:val="22"/>
        </w:rPr>
        <w:t xml:space="preserve"> </w:t>
      </w:r>
      <w:r w:rsidRPr="00BD17CA">
        <w:rPr>
          <w:rFonts w:ascii="Arial" w:eastAsia="Arial" w:hAnsi="Arial" w:cs="Arial"/>
          <w:sz w:val="22"/>
          <w:szCs w:val="22"/>
        </w:rPr>
        <w:t>t</w:t>
      </w:r>
      <w:r w:rsidRPr="00B13795">
        <w:rPr>
          <w:rFonts w:ascii="Arial" w:eastAsia="Arial" w:hAnsi="Arial" w:cs="Arial"/>
          <w:sz w:val="22"/>
          <w:szCs w:val="22"/>
        </w:rPr>
        <w:t>h</w:t>
      </w:r>
      <w:r w:rsidRPr="00BD17CA">
        <w:rPr>
          <w:rFonts w:ascii="Arial" w:eastAsia="Arial" w:hAnsi="Arial" w:cs="Arial"/>
          <w:sz w:val="22"/>
          <w:szCs w:val="22"/>
        </w:rPr>
        <w:t>e</w:t>
      </w:r>
      <w:r w:rsidRPr="00B13795">
        <w:rPr>
          <w:rFonts w:ascii="Arial" w:eastAsia="Arial" w:hAnsi="Arial" w:cs="Arial"/>
          <w:sz w:val="22"/>
          <w:szCs w:val="22"/>
        </w:rPr>
        <w:t xml:space="preserve"> n</w:t>
      </w:r>
      <w:r w:rsidRPr="00BD17CA">
        <w:rPr>
          <w:rFonts w:ascii="Arial" w:eastAsia="Arial" w:hAnsi="Arial" w:cs="Arial"/>
          <w:sz w:val="22"/>
          <w:szCs w:val="22"/>
        </w:rPr>
        <w:t>et</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ss</w:t>
      </w:r>
      <w:r w:rsidRPr="00BD17CA">
        <w:rPr>
          <w:rFonts w:ascii="Arial" w:eastAsia="Arial" w:hAnsi="Arial" w:cs="Arial"/>
          <w:sz w:val="22"/>
          <w:szCs w:val="22"/>
        </w:rPr>
        <w:t>et</w:t>
      </w:r>
      <w:r w:rsidRPr="00B13795">
        <w:rPr>
          <w:rFonts w:ascii="Arial" w:eastAsia="Arial" w:hAnsi="Arial" w:cs="Arial"/>
          <w:sz w:val="22"/>
          <w:szCs w:val="22"/>
        </w:rPr>
        <w:t xml:space="preserve"> st</w:t>
      </w:r>
      <w:r w:rsidRPr="00BD17CA">
        <w:rPr>
          <w:rFonts w:ascii="Arial" w:eastAsia="Arial" w:hAnsi="Arial" w:cs="Arial"/>
          <w:sz w:val="22"/>
          <w:szCs w:val="22"/>
        </w:rPr>
        <w:t>at</w:t>
      </w:r>
      <w:r w:rsidRPr="00B13795">
        <w:rPr>
          <w:rFonts w:ascii="Arial" w:eastAsia="Arial" w:hAnsi="Arial" w:cs="Arial"/>
          <w:sz w:val="22"/>
          <w:szCs w:val="22"/>
        </w:rPr>
        <w:t>em</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f</w:t>
      </w:r>
      <w:r w:rsidRPr="00BD17CA">
        <w:rPr>
          <w:rFonts w:ascii="Arial" w:eastAsia="Arial" w:hAnsi="Arial" w:cs="Arial"/>
          <w:sz w:val="22"/>
          <w:szCs w:val="22"/>
        </w:rPr>
        <w:t>or</w:t>
      </w:r>
      <w:r w:rsidRPr="00B13795">
        <w:rPr>
          <w:rFonts w:ascii="Arial" w:eastAsia="Arial" w:hAnsi="Arial" w:cs="Arial"/>
          <w:sz w:val="22"/>
          <w:szCs w:val="22"/>
        </w:rPr>
        <w:t xml:space="preserve"> whic</w:t>
      </w:r>
      <w:r w:rsidRPr="00BD17CA">
        <w:rPr>
          <w:rFonts w:ascii="Arial" w:eastAsia="Arial" w:hAnsi="Arial" w:cs="Arial"/>
          <w:sz w:val="22"/>
          <w:szCs w:val="22"/>
        </w:rPr>
        <w:t>h</w:t>
      </w:r>
      <w:r w:rsidRPr="00B13795">
        <w:rPr>
          <w:rFonts w:ascii="Arial" w:eastAsia="Arial" w:hAnsi="Arial" w:cs="Arial"/>
          <w:sz w:val="22"/>
          <w:szCs w:val="22"/>
        </w:rPr>
        <w:t xml:space="preserve"> </w:t>
      </w:r>
      <w:r w:rsidRPr="00BD17CA">
        <w:rPr>
          <w:rFonts w:ascii="Arial" w:eastAsia="Arial" w:hAnsi="Arial" w:cs="Arial"/>
          <w:sz w:val="22"/>
          <w:szCs w:val="22"/>
        </w:rPr>
        <w:t>th</w:t>
      </w:r>
      <w:r w:rsidRPr="00B13795">
        <w:rPr>
          <w:rFonts w:ascii="Arial" w:eastAsia="Arial" w:hAnsi="Arial" w:cs="Arial"/>
          <w:sz w:val="22"/>
          <w:szCs w:val="22"/>
        </w:rPr>
        <w:t>er</w:t>
      </w:r>
      <w:r w:rsidRPr="00BD17CA">
        <w:rPr>
          <w:rFonts w:ascii="Arial" w:eastAsia="Arial" w:hAnsi="Arial" w:cs="Arial"/>
          <w:sz w:val="22"/>
          <w:szCs w:val="22"/>
        </w:rPr>
        <w:t>e</w:t>
      </w:r>
      <w:r w:rsidRPr="00B13795">
        <w:rPr>
          <w:rFonts w:ascii="Arial" w:eastAsia="Arial" w:hAnsi="Arial" w:cs="Arial"/>
          <w:sz w:val="22"/>
          <w:szCs w:val="22"/>
        </w:rPr>
        <w:t xml:space="preserve"> i</w:t>
      </w:r>
      <w:r w:rsidRPr="00BD17CA">
        <w:rPr>
          <w:rFonts w:ascii="Arial" w:eastAsia="Arial" w:hAnsi="Arial" w:cs="Arial"/>
          <w:sz w:val="22"/>
          <w:szCs w:val="22"/>
        </w:rPr>
        <w:t>s</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 xml:space="preserve"> si</w:t>
      </w:r>
      <w:r w:rsidRPr="00BD17CA">
        <w:rPr>
          <w:rFonts w:ascii="Arial" w:eastAsia="Arial" w:hAnsi="Arial" w:cs="Arial"/>
          <w:sz w:val="22"/>
          <w:szCs w:val="22"/>
        </w:rPr>
        <w:t>g</w:t>
      </w:r>
      <w:r w:rsidRPr="00B13795">
        <w:rPr>
          <w:rFonts w:ascii="Arial" w:eastAsia="Arial" w:hAnsi="Arial" w:cs="Arial"/>
          <w:sz w:val="22"/>
          <w:szCs w:val="22"/>
        </w:rPr>
        <w:t>nific</w:t>
      </w:r>
      <w:r w:rsidRPr="00BD17CA">
        <w:rPr>
          <w:rFonts w:ascii="Arial" w:eastAsia="Arial" w:hAnsi="Arial" w:cs="Arial"/>
          <w:sz w:val="22"/>
          <w:szCs w:val="22"/>
        </w:rPr>
        <w:t>a</w:t>
      </w:r>
      <w:r w:rsidRPr="00B13795">
        <w:rPr>
          <w:rFonts w:ascii="Arial" w:eastAsia="Arial" w:hAnsi="Arial" w:cs="Arial"/>
          <w:sz w:val="22"/>
          <w:szCs w:val="22"/>
        </w:rPr>
        <w:t>n</w:t>
      </w:r>
      <w:r w:rsidRPr="00BD17CA">
        <w:rPr>
          <w:rFonts w:ascii="Arial" w:eastAsia="Arial" w:hAnsi="Arial" w:cs="Arial"/>
          <w:sz w:val="22"/>
          <w:szCs w:val="22"/>
        </w:rPr>
        <w:t>t</w:t>
      </w:r>
      <w:r w:rsidRPr="00B13795">
        <w:rPr>
          <w:rFonts w:ascii="Arial" w:eastAsia="Arial" w:hAnsi="Arial" w:cs="Arial"/>
          <w:sz w:val="22"/>
          <w:szCs w:val="22"/>
        </w:rPr>
        <w:t xml:space="preserve"> ris</w:t>
      </w:r>
      <w:r w:rsidRPr="00BD17CA">
        <w:rPr>
          <w:rFonts w:ascii="Arial" w:eastAsia="Arial" w:hAnsi="Arial" w:cs="Arial"/>
          <w:sz w:val="22"/>
          <w:szCs w:val="22"/>
        </w:rPr>
        <w:t>k</w:t>
      </w:r>
      <w:r w:rsidRPr="00B13795">
        <w:rPr>
          <w:rFonts w:ascii="Arial" w:eastAsia="Arial" w:hAnsi="Arial" w:cs="Arial"/>
          <w:sz w:val="22"/>
          <w:szCs w:val="22"/>
        </w:rPr>
        <w:t xml:space="preserve"> </w:t>
      </w:r>
      <w:r w:rsidRPr="00BD17CA">
        <w:rPr>
          <w:rFonts w:ascii="Arial" w:eastAsia="Arial" w:hAnsi="Arial" w:cs="Arial"/>
          <w:sz w:val="22"/>
          <w:szCs w:val="22"/>
        </w:rPr>
        <w:t>of</w:t>
      </w:r>
      <w:r w:rsidRPr="00B13795">
        <w:rPr>
          <w:rFonts w:ascii="Arial" w:eastAsia="Arial" w:hAnsi="Arial" w:cs="Arial"/>
          <w:sz w:val="22"/>
          <w:szCs w:val="22"/>
        </w:rPr>
        <w:t xml:space="preserve"> m</w:t>
      </w:r>
      <w:r w:rsidRPr="00BD17CA">
        <w:rPr>
          <w:rFonts w:ascii="Arial" w:eastAsia="Arial" w:hAnsi="Arial" w:cs="Arial"/>
          <w:sz w:val="22"/>
          <w:szCs w:val="22"/>
        </w:rPr>
        <w:t>at</w:t>
      </w:r>
      <w:r w:rsidRPr="00B13795">
        <w:rPr>
          <w:rFonts w:ascii="Arial" w:eastAsia="Arial" w:hAnsi="Arial" w:cs="Arial"/>
          <w:sz w:val="22"/>
          <w:szCs w:val="22"/>
        </w:rPr>
        <w:t>eri</w:t>
      </w:r>
      <w:r w:rsidRPr="00BD17CA">
        <w:rPr>
          <w:rFonts w:ascii="Arial" w:eastAsia="Arial" w:hAnsi="Arial" w:cs="Arial"/>
          <w:sz w:val="22"/>
          <w:szCs w:val="22"/>
        </w:rPr>
        <w:t>al</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dj</w:t>
      </w:r>
      <w:r w:rsidRPr="00BD17CA">
        <w:rPr>
          <w:rFonts w:ascii="Arial" w:eastAsia="Arial" w:hAnsi="Arial" w:cs="Arial"/>
          <w:sz w:val="22"/>
          <w:szCs w:val="22"/>
        </w:rPr>
        <w:t>u</w:t>
      </w:r>
      <w:r w:rsidRPr="00B13795">
        <w:rPr>
          <w:rFonts w:ascii="Arial" w:eastAsia="Arial" w:hAnsi="Arial" w:cs="Arial"/>
          <w:sz w:val="22"/>
          <w:szCs w:val="22"/>
        </w:rPr>
        <w:t>s</w:t>
      </w:r>
      <w:r w:rsidRPr="00BD17CA">
        <w:rPr>
          <w:rFonts w:ascii="Arial" w:eastAsia="Arial" w:hAnsi="Arial" w:cs="Arial"/>
          <w:sz w:val="22"/>
          <w:szCs w:val="22"/>
        </w:rPr>
        <w:t>t</w:t>
      </w:r>
      <w:r w:rsidRPr="00B13795">
        <w:rPr>
          <w:rFonts w:ascii="Arial" w:eastAsia="Arial" w:hAnsi="Arial" w:cs="Arial"/>
          <w:sz w:val="22"/>
          <w:szCs w:val="22"/>
        </w:rPr>
        <w:t>m</w:t>
      </w:r>
      <w:r w:rsidRPr="00BD17CA">
        <w:rPr>
          <w:rFonts w:ascii="Arial" w:eastAsia="Arial" w:hAnsi="Arial" w:cs="Arial"/>
          <w:sz w:val="22"/>
          <w:szCs w:val="22"/>
        </w:rPr>
        <w:t>e</w:t>
      </w:r>
      <w:r w:rsidRPr="00B13795">
        <w:rPr>
          <w:rFonts w:ascii="Arial" w:eastAsia="Arial" w:hAnsi="Arial" w:cs="Arial"/>
          <w:sz w:val="22"/>
          <w:szCs w:val="22"/>
        </w:rPr>
        <w:t>n</w:t>
      </w:r>
      <w:r w:rsidRPr="00BD17CA">
        <w:rPr>
          <w:rFonts w:ascii="Arial" w:eastAsia="Arial" w:hAnsi="Arial" w:cs="Arial"/>
          <w:sz w:val="22"/>
          <w:szCs w:val="22"/>
        </w:rPr>
        <w:t xml:space="preserve">t </w:t>
      </w:r>
      <w:r w:rsidRPr="00B13795">
        <w:rPr>
          <w:rFonts w:ascii="Arial" w:eastAsia="Arial" w:hAnsi="Arial" w:cs="Arial"/>
          <w:sz w:val="22"/>
          <w:szCs w:val="22"/>
        </w:rPr>
        <w:t>t</w:t>
      </w:r>
      <w:r w:rsidRPr="00BD17CA">
        <w:rPr>
          <w:rFonts w:ascii="Arial" w:eastAsia="Arial" w:hAnsi="Arial" w:cs="Arial"/>
          <w:sz w:val="22"/>
          <w:szCs w:val="22"/>
        </w:rPr>
        <w:t xml:space="preserve">he </w:t>
      </w:r>
      <w:r w:rsidRPr="00B13795">
        <w:rPr>
          <w:rFonts w:ascii="Arial" w:eastAsia="Arial" w:hAnsi="Arial" w:cs="Arial"/>
          <w:sz w:val="22"/>
          <w:szCs w:val="22"/>
        </w:rPr>
        <w:t>f</w:t>
      </w:r>
      <w:r w:rsidRPr="00BD17CA">
        <w:rPr>
          <w:rFonts w:ascii="Arial" w:eastAsia="Arial" w:hAnsi="Arial" w:cs="Arial"/>
          <w:sz w:val="22"/>
          <w:szCs w:val="22"/>
        </w:rPr>
        <w:t>o</w:t>
      </w:r>
      <w:r w:rsidRPr="00B13795">
        <w:rPr>
          <w:rFonts w:ascii="Arial" w:eastAsia="Arial" w:hAnsi="Arial" w:cs="Arial"/>
          <w:sz w:val="22"/>
          <w:szCs w:val="22"/>
        </w:rPr>
        <w:t>llo</w:t>
      </w:r>
      <w:r w:rsidRPr="00BD17CA">
        <w:rPr>
          <w:rFonts w:ascii="Arial" w:eastAsia="Arial" w:hAnsi="Arial" w:cs="Arial"/>
          <w:sz w:val="22"/>
          <w:szCs w:val="22"/>
        </w:rPr>
        <w:t>w</w:t>
      </w:r>
      <w:r w:rsidRPr="00B13795">
        <w:rPr>
          <w:rFonts w:ascii="Arial" w:eastAsia="Arial" w:hAnsi="Arial" w:cs="Arial"/>
          <w:sz w:val="22"/>
          <w:szCs w:val="22"/>
        </w:rPr>
        <w:t>i</w:t>
      </w:r>
      <w:r w:rsidRPr="00BD17CA">
        <w:rPr>
          <w:rFonts w:ascii="Arial" w:eastAsia="Arial" w:hAnsi="Arial" w:cs="Arial"/>
          <w:sz w:val="22"/>
          <w:szCs w:val="22"/>
        </w:rPr>
        <w:t>ng</w:t>
      </w:r>
      <w:r w:rsidRPr="00B13795">
        <w:rPr>
          <w:rFonts w:ascii="Arial" w:eastAsia="Arial" w:hAnsi="Arial" w:cs="Arial"/>
          <w:sz w:val="22"/>
          <w:szCs w:val="22"/>
        </w:rPr>
        <w:t xml:space="preserve"> ye</w:t>
      </w:r>
      <w:r w:rsidRPr="00BD17CA">
        <w:rPr>
          <w:rFonts w:ascii="Arial" w:eastAsia="Arial" w:hAnsi="Arial" w:cs="Arial"/>
          <w:sz w:val="22"/>
          <w:szCs w:val="22"/>
        </w:rPr>
        <w:t>ar</w:t>
      </w:r>
      <w:r w:rsidRPr="00B13795">
        <w:rPr>
          <w:rFonts w:ascii="Arial" w:eastAsia="Arial" w:hAnsi="Arial" w:cs="Arial"/>
          <w:sz w:val="22"/>
          <w:szCs w:val="22"/>
        </w:rPr>
        <w:t xml:space="preserve"> </w:t>
      </w:r>
      <w:r w:rsidRPr="00BD17CA">
        <w:rPr>
          <w:rFonts w:ascii="Arial" w:eastAsia="Arial" w:hAnsi="Arial" w:cs="Arial"/>
          <w:sz w:val="22"/>
          <w:szCs w:val="22"/>
        </w:rPr>
        <w:t>a</w:t>
      </w:r>
      <w:r w:rsidRPr="00B13795">
        <w:rPr>
          <w:rFonts w:ascii="Arial" w:eastAsia="Arial" w:hAnsi="Arial" w:cs="Arial"/>
          <w:sz w:val="22"/>
          <w:szCs w:val="22"/>
        </w:rPr>
        <w:t>r</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as</w:t>
      </w:r>
      <w:r w:rsidRPr="00B13795">
        <w:rPr>
          <w:rFonts w:ascii="Arial" w:eastAsia="Arial" w:hAnsi="Arial" w:cs="Arial"/>
          <w:sz w:val="22"/>
          <w:szCs w:val="22"/>
        </w:rPr>
        <w:t xml:space="preserve"> f</w:t>
      </w:r>
      <w:r w:rsidRPr="00BD17CA">
        <w:rPr>
          <w:rFonts w:ascii="Arial" w:eastAsia="Arial" w:hAnsi="Arial" w:cs="Arial"/>
          <w:sz w:val="22"/>
          <w:szCs w:val="22"/>
        </w:rPr>
        <w:t>o</w:t>
      </w:r>
      <w:r w:rsidRPr="00B13795">
        <w:rPr>
          <w:rFonts w:ascii="Arial" w:eastAsia="Arial" w:hAnsi="Arial" w:cs="Arial"/>
          <w:sz w:val="22"/>
          <w:szCs w:val="22"/>
        </w:rPr>
        <w:t>llows</w:t>
      </w:r>
      <w:r w:rsidRPr="00BD17CA">
        <w:rPr>
          <w:rFonts w:ascii="Arial" w:eastAsia="Arial" w:hAnsi="Arial" w:cs="Arial"/>
          <w:sz w:val="22"/>
          <w:szCs w:val="22"/>
        </w:rPr>
        <w:t>:</w:t>
      </w:r>
    </w:p>
    <w:p w14:paraId="03F8B055" w14:textId="44D10D32" w:rsidR="009C7422" w:rsidRPr="00B13795" w:rsidRDefault="001706EB" w:rsidP="00B13795">
      <w:pPr>
        <w:spacing w:after="200" w:line="276" w:lineRule="auto"/>
        <w:ind w:right="74"/>
        <w:jc w:val="both"/>
        <w:rPr>
          <w:rFonts w:ascii="Arial" w:eastAsia="Arial" w:hAnsi="Arial" w:cs="Arial"/>
          <w:b/>
          <w:sz w:val="22"/>
          <w:szCs w:val="22"/>
        </w:rPr>
      </w:pPr>
      <w:r w:rsidRPr="00B13795">
        <w:rPr>
          <w:rFonts w:ascii="Arial" w:eastAsia="Arial" w:hAnsi="Arial" w:cs="Arial"/>
          <w:b/>
          <w:sz w:val="22"/>
          <w:szCs w:val="22"/>
        </w:rPr>
        <w:t>A</w:t>
      </w:r>
      <w:r w:rsidRPr="00BD17CA">
        <w:rPr>
          <w:rFonts w:ascii="Arial" w:eastAsia="Arial" w:hAnsi="Arial" w:cs="Arial"/>
          <w:b/>
          <w:sz w:val="22"/>
          <w:szCs w:val="22"/>
        </w:rPr>
        <w:t>ct</w:t>
      </w:r>
      <w:r w:rsidRPr="00B13795">
        <w:rPr>
          <w:rFonts w:ascii="Arial" w:eastAsia="Arial" w:hAnsi="Arial" w:cs="Arial"/>
          <w:b/>
          <w:sz w:val="22"/>
          <w:szCs w:val="22"/>
        </w:rPr>
        <w:t>u</w:t>
      </w:r>
      <w:r w:rsidRPr="00BD17CA">
        <w:rPr>
          <w:rFonts w:ascii="Arial" w:eastAsia="Arial" w:hAnsi="Arial" w:cs="Arial"/>
          <w:b/>
          <w:sz w:val="22"/>
          <w:szCs w:val="22"/>
        </w:rPr>
        <w:t>a</w:t>
      </w:r>
      <w:r w:rsidRPr="00B13795">
        <w:rPr>
          <w:rFonts w:ascii="Arial" w:eastAsia="Arial" w:hAnsi="Arial" w:cs="Arial"/>
          <w:b/>
          <w:sz w:val="22"/>
          <w:szCs w:val="22"/>
        </w:rPr>
        <w:t>r</w:t>
      </w:r>
      <w:r w:rsidRPr="00BD17CA">
        <w:rPr>
          <w:rFonts w:ascii="Arial" w:eastAsia="Arial" w:hAnsi="Arial" w:cs="Arial"/>
          <w:b/>
          <w:sz w:val="22"/>
          <w:szCs w:val="22"/>
        </w:rPr>
        <w:t>i</w:t>
      </w:r>
      <w:r w:rsidRPr="00B13795">
        <w:rPr>
          <w:rFonts w:ascii="Arial" w:eastAsia="Arial" w:hAnsi="Arial" w:cs="Arial"/>
          <w:b/>
          <w:sz w:val="22"/>
          <w:szCs w:val="22"/>
        </w:rPr>
        <w:t>a</w:t>
      </w:r>
      <w:r w:rsidRPr="00BD17CA">
        <w:rPr>
          <w:rFonts w:ascii="Arial" w:eastAsia="Arial" w:hAnsi="Arial" w:cs="Arial"/>
          <w:b/>
          <w:sz w:val="22"/>
          <w:szCs w:val="22"/>
        </w:rPr>
        <w:t>l</w:t>
      </w:r>
      <w:r w:rsidRPr="00B13795">
        <w:rPr>
          <w:rFonts w:ascii="Arial" w:eastAsia="Arial" w:hAnsi="Arial" w:cs="Arial"/>
          <w:b/>
          <w:sz w:val="22"/>
          <w:szCs w:val="22"/>
        </w:rPr>
        <w:t xml:space="preserve"> </w:t>
      </w:r>
      <w:r w:rsidRPr="00BD17CA">
        <w:rPr>
          <w:rFonts w:ascii="Arial" w:eastAsia="Arial" w:hAnsi="Arial" w:cs="Arial"/>
          <w:b/>
          <w:sz w:val="22"/>
          <w:szCs w:val="22"/>
        </w:rPr>
        <w:t>pr</w:t>
      </w:r>
      <w:r w:rsidRPr="00B13795">
        <w:rPr>
          <w:rFonts w:ascii="Arial" w:eastAsia="Arial" w:hAnsi="Arial" w:cs="Arial"/>
          <w:b/>
          <w:sz w:val="22"/>
          <w:szCs w:val="22"/>
        </w:rPr>
        <w:t>e</w:t>
      </w:r>
      <w:r w:rsidRPr="00BD17CA">
        <w:rPr>
          <w:rFonts w:ascii="Arial" w:eastAsia="Arial" w:hAnsi="Arial" w:cs="Arial"/>
          <w:b/>
          <w:sz w:val="22"/>
          <w:szCs w:val="22"/>
        </w:rPr>
        <w:t>s</w:t>
      </w:r>
      <w:r w:rsidRPr="00B13795">
        <w:rPr>
          <w:rFonts w:ascii="Arial" w:eastAsia="Arial" w:hAnsi="Arial" w:cs="Arial"/>
          <w:b/>
          <w:sz w:val="22"/>
          <w:szCs w:val="22"/>
        </w:rPr>
        <w:t>e</w:t>
      </w:r>
      <w:r w:rsidRPr="00BD17CA">
        <w:rPr>
          <w:rFonts w:ascii="Arial" w:eastAsia="Arial" w:hAnsi="Arial" w:cs="Arial"/>
          <w:b/>
          <w:sz w:val="22"/>
          <w:szCs w:val="22"/>
        </w:rPr>
        <w:t>nt</w:t>
      </w:r>
      <w:r w:rsidRPr="00B13795">
        <w:rPr>
          <w:rFonts w:ascii="Arial" w:eastAsia="Arial" w:hAnsi="Arial" w:cs="Arial"/>
          <w:b/>
          <w:sz w:val="22"/>
          <w:szCs w:val="22"/>
        </w:rPr>
        <w:t xml:space="preserve"> v</w:t>
      </w:r>
      <w:r w:rsidRPr="00BD17CA">
        <w:rPr>
          <w:rFonts w:ascii="Arial" w:eastAsia="Arial" w:hAnsi="Arial" w:cs="Arial"/>
          <w:b/>
          <w:sz w:val="22"/>
          <w:szCs w:val="22"/>
        </w:rPr>
        <w:t>alue</w:t>
      </w:r>
      <w:r w:rsidRPr="00B13795">
        <w:rPr>
          <w:rFonts w:ascii="Arial" w:eastAsia="Arial" w:hAnsi="Arial" w:cs="Arial"/>
          <w:b/>
          <w:sz w:val="22"/>
          <w:szCs w:val="22"/>
        </w:rPr>
        <w:t xml:space="preserve"> </w:t>
      </w:r>
      <w:r w:rsidRPr="00BD17CA">
        <w:rPr>
          <w:rFonts w:ascii="Arial" w:eastAsia="Arial" w:hAnsi="Arial" w:cs="Arial"/>
          <w:b/>
          <w:sz w:val="22"/>
          <w:szCs w:val="22"/>
        </w:rPr>
        <w:t>of</w:t>
      </w:r>
      <w:r w:rsidRPr="00B13795">
        <w:rPr>
          <w:rFonts w:ascii="Arial" w:eastAsia="Arial" w:hAnsi="Arial" w:cs="Arial"/>
          <w:b/>
          <w:sz w:val="22"/>
          <w:szCs w:val="22"/>
        </w:rPr>
        <w:t xml:space="preserve"> </w:t>
      </w:r>
      <w:r w:rsidRPr="00BD17CA">
        <w:rPr>
          <w:rFonts w:ascii="Arial" w:eastAsia="Arial" w:hAnsi="Arial" w:cs="Arial"/>
          <w:b/>
          <w:sz w:val="22"/>
          <w:szCs w:val="22"/>
        </w:rPr>
        <w:t>pro</w:t>
      </w:r>
      <w:r w:rsidRPr="00B13795">
        <w:rPr>
          <w:rFonts w:ascii="Arial" w:eastAsia="Arial" w:hAnsi="Arial" w:cs="Arial"/>
          <w:b/>
          <w:sz w:val="22"/>
          <w:szCs w:val="22"/>
        </w:rPr>
        <w:t>m</w:t>
      </w:r>
      <w:r w:rsidRPr="00BD17CA">
        <w:rPr>
          <w:rFonts w:ascii="Arial" w:eastAsia="Arial" w:hAnsi="Arial" w:cs="Arial"/>
          <w:b/>
          <w:sz w:val="22"/>
          <w:szCs w:val="22"/>
        </w:rPr>
        <w:t>is</w:t>
      </w:r>
      <w:r w:rsidRPr="00B13795">
        <w:rPr>
          <w:rFonts w:ascii="Arial" w:eastAsia="Arial" w:hAnsi="Arial" w:cs="Arial"/>
          <w:b/>
          <w:sz w:val="22"/>
          <w:szCs w:val="22"/>
        </w:rPr>
        <w:t>e</w:t>
      </w:r>
      <w:r w:rsidRPr="00BD17CA">
        <w:rPr>
          <w:rFonts w:ascii="Arial" w:eastAsia="Arial" w:hAnsi="Arial" w:cs="Arial"/>
          <w:b/>
          <w:sz w:val="22"/>
          <w:szCs w:val="22"/>
        </w:rPr>
        <w:t>d</w:t>
      </w:r>
      <w:r w:rsidRPr="00B13795">
        <w:rPr>
          <w:rFonts w:ascii="Arial" w:eastAsia="Arial" w:hAnsi="Arial" w:cs="Arial"/>
          <w:b/>
          <w:sz w:val="22"/>
          <w:szCs w:val="22"/>
        </w:rPr>
        <w:t xml:space="preserve"> r</w:t>
      </w:r>
      <w:r w:rsidRPr="00BD17CA">
        <w:rPr>
          <w:rFonts w:ascii="Arial" w:eastAsia="Arial" w:hAnsi="Arial" w:cs="Arial"/>
          <w:b/>
          <w:sz w:val="22"/>
          <w:szCs w:val="22"/>
        </w:rPr>
        <w:t>et</w:t>
      </w:r>
      <w:r w:rsidRPr="00B13795">
        <w:rPr>
          <w:rFonts w:ascii="Arial" w:eastAsia="Arial" w:hAnsi="Arial" w:cs="Arial"/>
          <w:b/>
          <w:sz w:val="22"/>
          <w:szCs w:val="22"/>
        </w:rPr>
        <w:t>ir</w:t>
      </w:r>
      <w:r w:rsidRPr="00BD17CA">
        <w:rPr>
          <w:rFonts w:ascii="Arial" w:eastAsia="Arial" w:hAnsi="Arial" w:cs="Arial"/>
          <w:b/>
          <w:sz w:val="22"/>
          <w:szCs w:val="22"/>
        </w:rPr>
        <w:t>ement</w:t>
      </w:r>
      <w:r w:rsidRPr="00B13795">
        <w:rPr>
          <w:rFonts w:ascii="Arial" w:eastAsia="Arial" w:hAnsi="Arial" w:cs="Arial"/>
          <w:b/>
          <w:sz w:val="22"/>
          <w:szCs w:val="22"/>
        </w:rPr>
        <w:t xml:space="preserve"> </w:t>
      </w:r>
      <w:r w:rsidRPr="00BD17CA">
        <w:rPr>
          <w:rFonts w:ascii="Arial" w:eastAsia="Arial" w:hAnsi="Arial" w:cs="Arial"/>
          <w:b/>
          <w:sz w:val="22"/>
          <w:szCs w:val="22"/>
        </w:rPr>
        <w:t>be</w:t>
      </w:r>
      <w:r w:rsidRPr="00B13795">
        <w:rPr>
          <w:rFonts w:ascii="Arial" w:eastAsia="Arial" w:hAnsi="Arial" w:cs="Arial"/>
          <w:b/>
          <w:sz w:val="22"/>
          <w:szCs w:val="22"/>
        </w:rPr>
        <w:t>n</w:t>
      </w:r>
      <w:r w:rsidRPr="00BD17CA">
        <w:rPr>
          <w:rFonts w:ascii="Arial" w:eastAsia="Arial" w:hAnsi="Arial" w:cs="Arial"/>
          <w:b/>
          <w:sz w:val="22"/>
          <w:szCs w:val="22"/>
        </w:rPr>
        <w:t>efi</w:t>
      </w:r>
      <w:r w:rsidRPr="00B13795">
        <w:rPr>
          <w:rFonts w:ascii="Arial" w:eastAsia="Arial" w:hAnsi="Arial" w:cs="Arial"/>
          <w:b/>
          <w:sz w:val="22"/>
          <w:szCs w:val="22"/>
        </w:rPr>
        <w:t>t</w:t>
      </w:r>
      <w:r w:rsidRPr="00BD17CA">
        <w:rPr>
          <w:rFonts w:ascii="Arial" w:eastAsia="Arial" w:hAnsi="Arial" w:cs="Arial"/>
          <w:b/>
          <w:sz w:val="22"/>
          <w:szCs w:val="22"/>
        </w:rPr>
        <w:t>s</w:t>
      </w:r>
    </w:p>
    <w:p w14:paraId="7691569C" w14:textId="77777777" w:rsidR="009C7422" w:rsidRPr="00BD17CA" w:rsidRDefault="001706EB" w:rsidP="00B13795">
      <w:pPr>
        <w:spacing w:after="200" w:line="276" w:lineRule="auto"/>
        <w:ind w:right="74"/>
        <w:jc w:val="both"/>
        <w:rPr>
          <w:rFonts w:ascii="Arial" w:eastAsia="Arial" w:hAnsi="Arial" w:cs="Arial"/>
          <w:sz w:val="22"/>
          <w:szCs w:val="22"/>
        </w:rPr>
      </w:pPr>
      <w:r w:rsidRPr="00B13795">
        <w:rPr>
          <w:rFonts w:ascii="Arial" w:eastAsia="Arial" w:hAnsi="Arial" w:cs="Arial"/>
          <w:sz w:val="22"/>
          <w:szCs w:val="22"/>
        </w:rPr>
        <w:t>T</w:t>
      </w:r>
      <w:r w:rsidRPr="00BD17CA">
        <w:rPr>
          <w:rFonts w:ascii="Arial" w:eastAsia="Arial" w:hAnsi="Arial" w:cs="Arial"/>
          <w:sz w:val="22"/>
          <w:szCs w:val="22"/>
        </w:rPr>
        <w:t>he</w:t>
      </w:r>
      <w:r w:rsidRPr="00B13795">
        <w:rPr>
          <w:rFonts w:ascii="Arial" w:eastAsia="Arial" w:hAnsi="Arial" w:cs="Arial"/>
          <w:sz w:val="22"/>
          <w:szCs w:val="22"/>
        </w:rPr>
        <w:t xml:space="preserve"> </w:t>
      </w:r>
      <w:r w:rsidRPr="00BD17CA">
        <w:rPr>
          <w:rFonts w:ascii="Arial" w:eastAsia="Arial" w:hAnsi="Arial" w:cs="Arial"/>
          <w:sz w:val="22"/>
          <w:szCs w:val="22"/>
        </w:rPr>
        <w:t>e</w:t>
      </w:r>
      <w:r w:rsidRPr="00B13795">
        <w:rPr>
          <w:rFonts w:ascii="Arial" w:eastAsia="Arial" w:hAnsi="Arial" w:cs="Arial"/>
          <w:sz w:val="22"/>
          <w:szCs w:val="22"/>
        </w:rPr>
        <w:t>ff</w:t>
      </w:r>
      <w:r w:rsidRPr="00BD17CA">
        <w:rPr>
          <w:rFonts w:ascii="Arial" w:eastAsia="Arial" w:hAnsi="Arial" w:cs="Arial"/>
          <w:sz w:val="22"/>
          <w:szCs w:val="22"/>
        </w:rPr>
        <w:t>e</w:t>
      </w:r>
      <w:r w:rsidRPr="00B13795">
        <w:rPr>
          <w:rFonts w:ascii="Arial" w:eastAsia="Arial" w:hAnsi="Arial" w:cs="Arial"/>
          <w:sz w:val="22"/>
          <w:szCs w:val="22"/>
        </w:rPr>
        <w:t>c</w:t>
      </w:r>
      <w:r w:rsidRPr="00BD17CA">
        <w:rPr>
          <w:rFonts w:ascii="Arial" w:eastAsia="Arial" w:hAnsi="Arial" w:cs="Arial"/>
          <w:sz w:val="22"/>
          <w:szCs w:val="22"/>
        </w:rPr>
        <w:t>ts</w:t>
      </w:r>
      <w:r w:rsidRPr="00B13795">
        <w:rPr>
          <w:rFonts w:ascii="Arial" w:eastAsia="Arial" w:hAnsi="Arial" w:cs="Arial"/>
          <w:sz w:val="22"/>
          <w:szCs w:val="22"/>
        </w:rPr>
        <w:t xml:space="preserve"> </w:t>
      </w:r>
      <w:r w:rsidRPr="00BD17CA">
        <w:rPr>
          <w:rFonts w:ascii="Arial" w:eastAsia="Arial" w:hAnsi="Arial" w:cs="Arial"/>
          <w:sz w:val="22"/>
          <w:szCs w:val="22"/>
        </w:rPr>
        <w:t>on</w:t>
      </w:r>
      <w:r w:rsidRPr="00B13795">
        <w:rPr>
          <w:rFonts w:ascii="Arial" w:eastAsia="Arial" w:hAnsi="Arial" w:cs="Arial"/>
          <w:sz w:val="22"/>
          <w:szCs w:val="22"/>
        </w:rPr>
        <w:t xml:space="preserve"> </w:t>
      </w:r>
      <w:r w:rsidRPr="00BD17CA">
        <w:rPr>
          <w:rFonts w:ascii="Arial" w:eastAsia="Arial" w:hAnsi="Arial" w:cs="Arial"/>
          <w:sz w:val="22"/>
          <w:szCs w:val="22"/>
        </w:rPr>
        <w:t>t</w:t>
      </w:r>
      <w:r w:rsidRPr="00B13795">
        <w:rPr>
          <w:rFonts w:ascii="Arial" w:eastAsia="Arial" w:hAnsi="Arial" w:cs="Arial"/>
          <w:sz w:val="22"/>
          <w:szCs w:val="22"/>
        </w:rPr>
        <w:t>h</w:t>
      </w:r>
      <w:r w:rsidRPr="00BD17CA">
        <w:rPr>
          <w:rFonts w:ascii="Arial" w:eastAsia="Arial" w:hAnsi="Arial" w:cs="Arial"/>
          <w:sz w:val="22"/>
          <w:szCs w:val="22"/>
        </w:rPr>
        <w:t>e</w:t>
      </w:r>
      <w:r w:rsidRPr="00B13795">
        <w:rPr>
          <w:rFonts w:ascii="Arial" w:eastAsia="Arial" w:hAnsi="Arial" w:cs="Arial"/>
          <w:sz w:val="22"/>
          <w:szCs w:val="22"/>
        </w:rPr>
        <w:t xml:space="preserve"> </w:t>
      </w:r>
      <w:r w:rsidRPr="00BD17CA">
        <w:rPr>
          <w:rFonts w:ascii="Arial" w:eastAsia="Arial" w:hAnsi="Arial" w:cs="Arial"/>
          <w:sz w:val="22"/>
          <w:szCs w:val="22"/>
        </w:rPr>
        <w:t>n</w:t>
      </w:r>
      <w:r w:rsidRPr="00B13795">
        <w:rPr>
          <w:rFonts w:ascii="Arial" w:eastAsia="Arial" w:hAnsi="Arial" w:cs="Arial"/>
          <w:sz w:val="22"/>
          <w:szCs w:val="22"/>
        </w:rPr>
        <w:t>e</w:t>
      </w:r>
      <w:r w:rsidRPr="00BD17CA">
        <w:rPr>
          <w:rFonts w:ascii="Arial" w:eastAsia="Arial" w:hAnsi="Arial" w:cs="Arial"/>
          <w:sz w:val="22"/>
          <w:szCs w:val="22"/>
        </w:rPr>
        <w:t>t</w:t>
      </w:r>
      <w:r w:rsidRPr="00B13795">
        <w:rPr>
          <w:rFonts w:ascii="Arial" w:eastAsia="Arial" w:hAnsi="Arial" w:cs="Arial"/>
          <w:sz w:val="22"/>
          <w:szCs w:val="22"/>
        </w:rPr>
        <w:t xml:space="preserve"> </w:t>
      </w:r>
      <w:r w:rsidRPr="00BD17CA">
        <w:rPr>
          <w:rFonts w:ascii="Arial" w:eastAsia="Arial" w:hAnsi="Arial" w:cs="Arial"/>
          <w:sz w:val="22"/>
          <w:szCs w:val="22"/>
        </w:rPr>
        <w:t>p</w:t>
      </w:r>
      <w:r w:rsidRPr="00B13795">
        <w:rPr>
          <w:rFonts w:ascii="Arial" w:eastAsia="Arial" w:hAnsi="Arial" w:cs="Arial"/>
          <w:sz w:val="22"/>
          <w:szCs w:val="22"/>
        </w:rPr>
        <w:t>e</w:t>
      </w:r>
      <w:r w:rsidRPr="00BD17CA">
        <w:rPr>
          <w:rFonts w:ascii="Arial" w:eastAsia="Arial" w:hAnsi="Arial" w:cs="Arial"/>
          <w:sz w:val="22"/>
          <w:szCs w:val="22"/>
        </w:rPr>
        <w:t>n</w:t>
      </w:r>
      <w:r w:rsidRPr="00B13795">
        <w:rPr>
          <w:rFonts w:ascii="Arial" w:eastAsia="Arial" w:hAnsi="Arial" w:cs="Arial"/>
          <w:sz w:val="22"/>
          <w:szCs w:val="22"/>
        </w:rPr>
        <w:t>si</w:t>
      </w:r>
      <w:r w:rsidRPr="00BD17CA">
        <w:rPr>
          <w:rFonts w:ascii="Arial" w:eastAsia="Arial" w:hAnsi="Arial" w:cs="Arial"/>
          <w:sz w:val="22"/>
          <w:szCs w:val="22"/>
        </w:rPr>
        <w:t>on</w:t>
      </w:r>
      <w:r w:rsidRPr="00B13795">
        <w:rPr>
          <w:rFonts w:ascii="Arial" w:eastAsia="Arial" w:hAnsi="Arial" w:cs="Arial"/>
          <w:sz w:val="22"/>
          <w:szCs w:val="22"/>
        </w:rPr>
        <w:t xml:space="preserve"> li</w:t>
      </w:r>
      <w:r w:rsidRPr="00BD17CA">
        <w:rPr>
          <w:rFonts w:ascii="Arial" w:eastAsia="Arial" w:hAnsi="Arial" w:cs="Arial"/>
          <w:sz w:val="22"/>
          <w:szCs w:val="22"/>
        </w:rPr>
        <w:t>a</w:t>
      </w:r>
      <w:r w:rsidRPr="00B13795">
        <w:rPr>
          <w:rFonts w:ascii="Arial" w:eastAsia="Arial" w:hAnsi="Arial" w:cs="Arial"/>
          <w:sz w:val="22"/>
          <w:szCs w:val="22"/>
        </w:rPr>
        <w:t>bilit</w:t>
      </w:r>
      <w:r w:rsidRPr="00BD17CA">
        <w:rPr>
          <w:rFonts w:ascii="Arial" w:eastAsia="Arial" w:hAnsi="Arial" w:cs="Arial"/>
          <w:sz w:val="22"/>
          <w:szCs w:val="22"/>
        </w:rPr>
        <w:t>y</w:t>
      </w:r>
      <w:r w:rsidRPr="00B13795">
        <w:rPr>
          <w:rFonts w:ascii="Arial" w:eastAsia="Arial" w:hAnsi="Arial" w:cs="Arial"/>
          <w:sz w:val="22"/>
          <w:szCs w:val="22"/>
        </w:rPr>
        <w:t xml:space="preserve"> </w:t>
      </w:r>
      <w:r w:rsidRPr="00BD17CA">
        <w:rPr>
          <w:rFonts w:ascii="Arial" w:eastAsia="Arial" w:hAnsi="Arial" w:cs="Arial"/>
          <w:sz w:val="22"/>
          <w:szCs w:val="22"/>
        </w:rPr>
        <w:t xml:space="preserve">of </w:t>
      </w:r>
      <w:r w:rsidRPr="00B13795">
        <w:rPr>
          <w:rFonts w:ascii="Arial" w:eastAsia="Arial" w:hAnsi="Arial" w:cs="Arial"/>
          <w:sz w:val="22"/>
          <w:szCs w:val="22"/>
        </w:rPr>
        <w:t>c</w:t>
      </w:r>
      <w:r w:rsidRPr="00BD17CA">
        <w:rPr>
          <w:rFonts w:ascii="Arial" w:eastAsia="Arial" w:hAnsi="Arial" w:cs="Arial"/>
          <w:sz w:val="22"/>
          <w:szCs w:val="22"/>
        </w:rPr>
        <w:t>h</w:t>
      </w:r>
      <w:r w:rsidRPr="00B13795">
        <w:rPr>
          <w:rFonts w:ascii="Arial" w:eastAsia="Arial" w:hAnsi="Arial" w:cs="Arial"/>
          <w:sz w:val="22"/>
          <w:szCs w:val="22"/>
        </w:rPr>
        <w:t>a</w:t>
      </w:r>
      <w:r w:rsidRPr="00BD17CA">
        <w:rPr>
          <w:rFonts w:ascii="Arial" w:eastAsia="Arial" w:hAnsi="Arial" w:cs="Arial"/>
          <w:sz w:val="22"/>
          <w:szCs w:val="22"/>
        </w:rPr>
        <w:t>n</w:t>
      </w:r>
      <w:r w:rsidRPr="00B13795">
        <w:rPr>
          <w:rFonts w:ascii="Arial" w:eastAsia="Arial" w:hAnsi="Arial" w:cs="Arial"/>
          <w:sz w:val="22"/>
          <w:szCs w:val="22"/>
        </w:rPr>
        <w:t>g</w:t>
      </w:r>
      <w:r w:rsidRPr="00BD17CA">
        <w:rPr>
          <w:rFonts w:ascii="Arial" w:eastAsia="Arial" w:hAnsi="Arial" w:cs="Arial"/>
          <w:sz w:val="22"/>
          <w:szCs w:val="22"/>
        </w:rPr>
        <w:t>es</w:t>
      </w:r>
      <w:r w:rsidRPr="00B13795">
        <w:rPr>
          <w:rFonts w:ascii="Arial" w:eastAsia="Arial" w:hAnsi="Arial" w:cs="Arial"/>
          <w:sz w:val="22"/>
          <w:szCs w:val="22"/>
        </w:rPr>
        <w:t xml:space="preserve"> i</w:t>
      </w:r>
      <w:r w:rsidRPr="00BD17CA">
        <w:rPr>
          <w:rFonts w:ascii="Arial" w:eastAsia="Arial" w:hAnsi="Arial" w:cs="Arial"/>
          <w:sz w:val="22"/>
          <w:szCs w:val="22"/>
        </w:rPr>
        <w:t xml:space="preserve">n </w:t>
      </w:r>
      <w:r w:rsidRPr="00B13795">
        <w:rPr>
          <w:rFonts w:ascii="Arial" w:eastAsia="Arial" w:hAnsi="Arial" w:cs="Arial"/>
          <w:sz w:val="22"/>
          <w:szCs w:val="22"/>
        </w:rPr>
        <w:t>in</w:t>
      </w:r>
      <w:r w:rsidRPr="00BD17CA">
        <w:rPr>
          <w:rFonts w:ascii="Arial" w:eastAsia="Arial" w:hAnsi="Arial" w:cs="Arial"/>
          <w:sz w:val="22"/>
          <w:szCs w:val="22"/>
        </w:rPr>
        <w:t>d</w:t>
      </w:r>
      <w:r w:rsidRPr="00B13795">
        <w:rPr>
          <w:rFonts w:ascii="Arial" w:eastAsia="Arial" w:hAnsi="Arial" w:cs="Arial"/>
          <w:sz w:val="22"/>
          <w:szCs w:val="22"/>
        </w:rPr>
        <w:t>ivid</w:t>
      </w:r>
      <w:r w:rsidRPr="00BD17CA">
        <w:rPr>
          <w:rFonts w:ascii="Arial" w:eastAsia="Arial" w:hAnsi="Arial" w:cs="Arial"/>
          <w:sz w:val="22"/>
          <w:szCs w:val="22"/>
        </w:rPr>
        <w:t>u</w:t>
      </w:r>
      <w:r w:rsidRPr="00B13795">
        <w:rPr>
          <w:rFonts w:ascii="Arial" w:eastAsia="Arial" w:hAnsi="Arial" w:cs="Arial"/>
          <w:sz w:val="22"/>
          <w:szCs w:val="22"/>
        </w:rPr>
        <w:t>a</w:t>
      </w:r>
      <w:r w:rsidRPr="00BD17CA">
        <w:rPr>
          <w:rFonts w:ascii="Arial" w:eastAsia="Arial" w:hAnsi="Arial" w:cs="Arial"/>
          <w:sz w:val="22"/>
          <w:szCs w:val="22"/>
        </w:rPr>
        <w:t>l</w:t>
      </w:r>
      <w:r w:rsidRPr="00B13795">
        <w:rPr>
          <w:rFonts w:ascii="Arial" w:eastAsia="Arial" w:hAnsi="Arial" w:cs="Arial"/>
          <w:sz w:val="22"/>
          <w:szCs w:val="22"/>
        </w:rPr>
        <w:t xml:space="preserve"> </w:t>
      </w:r>
      <w:r w:rsidRPr="00BD17CA">
        <w:rPr>
          <w:rFonts w:ascii="Arial" w:eastAsia="Arial" w:hAnsi="Arial" w:cs="Arial"/>
          <w:sz w:val="22"/>
          <w:szCs w:val="22"/>
        </w:rPr>
        <w:t>as</w:t>
      </w:r>
      <w:r w:rsidRPr="00B13795">
        <w:rPr>
          <w:rFonts w:ascii="Arial" w:eastAsia="Arial" w:hAnsi="Arial" w:cs="Arial"/>
          <w:sz w:val="22"/>
          <w:szCs w:val="22"/>
        </w:rPr>
        <w:t>s</w:t>
      </w:r>
      <w:r w:rsidRPr="00BD17CA">
        <w:rPr>
          <w:rFonts w:ascii="Arial" w:eastAsia="Arial" w:hAnsi="Arial" w:cs="Arial"/>
          <w:sz w:val="22"/>
          <w:szCs w:val="22"/>
        </w:rPr>
        <w:t>u</w:t>
      </w:r>
      <w:r w:rsidRPr="00B13795">
        <w:rPr>
          <w:rFonts w:ascii="Arial" w:eastAsia="Arial" w:hAnsi="Arial" w:cs="Arial"/>
          <w:sz w:val="22"/>
          <w:szCs w:val="22"/>
        </w:rPr>
        <w:t>mp</w:t>
      </w:r>
      <w:r w:rsidRPr="00BD17CA">
        <w:rPr>
          <w:rFonts w:ascii="Arial" w:eastAsia="Arial" w:hAnsi="Arial" w:cs="Arial"/>
          <w:sz w:val="22"/>
          <w:szCs w:val="22"/>
        </w:rPr>
        <w:t>t</w:t>
      </w:r>
      <w:r w:rsidRPr="00B13795">
        <w:rPr>
          <w:rFonts w:ascii="Arial" w:eastAsia="Arial" w:hAnsi="Arial" w:cs="Arial"/>
          <w:sz w:val="22"/>
          <w:szCs w:val="22"/>
        </w:rPr>
        <w:t>i</w:t>
      </w:r>
      <w:r w:rsidRPr="00BD17CA">
        <w:rPr>
          <w:rFonts w:ascii="Arial" w:eastAsia="Arial" w:hAnsi="Arial" w:cs="Arial"/>
          <w:sz w:val="22"/>
          <w:szCs w:val="22"/>
        </w:rPr>
        <w:t>o</w:t>
      </w:r>
      <w:r w:rsidRPr="00B13795">
        <w:rPr>
          <w:rFonts w:ascii="Arial" w:eastAsia="Arial" w:hAnsi="Arial" w:cs="Arial"/>
          <w:sz w:val="22"/>
          <w:szCs w:val="22"/>
        </w:rPr>
        <w:t>n</w:t>
      </w:r>
      <w:r w:rsidRPr="00BD17CA">
        <w:rPr>
          <w:rFonts w:ascii="Arial" w:eastAsia="Arial" w:hAnsi="Arial" w:cs="Arial"/>
          <w:sz w:val="22"/>
          <w:szCs w:val="22"/>
        </w:rPr>
        <w:t>s</w:t>
      </w:r>
      <w:r w:rsidRPr="00B13795">
        <w:rPr>
          <w:rFonts w:ascii="Arial" w:eastAsia="Arial" w:hAnsi="Arial" w:cs="Arial"/>
          <w:sz w:val="22"/>
          <w:szCs w:val="22"/>
        </w:rPr>
        <w:t xml:space="preserve"> c</w:t>
      </w:r>
      <w:r w:rsidRPr="00BD17CA">
        <w:rPr>
          <w:rFonts w:ascii="Arial" w:eastAsia="Arial" w:hAnsi="Arial" w:cs="Arial"/>
          <w:sz w:val="22"/>
          <w:szCs w:val="22"/>
        </w:rPr>
        <w:t>an</w:t>
      </w:r>
      <w:r w:rsidRPr="00B13795">
        <w:rPr>
          <w:rFonts w:ascii="Arial" w:eastAsia="Arial" w:hAnsi="Arial" w:cs="Arial"/>
          <w:sz w:val="22"/>
          <w:szCs w:val="22"/>
        </w:rPr>
        <w:t xml:space="preserve"> b</w:t>
      </w:r>
      <w:r w:rsidRPr="00BD17CA">
        <w:rPr>
          <w:rFonts w:ascii="Arial" w:eastAsia="Arial" w:hAnsi="Arial" w:cs="Arial"/>
          <w:sz w:val="22"/>
          <w:szCs w:val="22"/>
        </w:rPr>
        <w:t>e</w:t>
      </w:r>
      <w:r w:rsidRPr="00B13795">
        <w:rPr>
          <w:rFonts w:ascii="Arial" w:eastAsia="Arial" w:hAnsi="Arial" w:cs="Arial"/>
          <w:sz w:val="22"/>
          <w:szCs w:val="22"/>
        </w:rPr>
        <w:t xml:space="preserve"> m</w:t>
      </w:r>
      <w:r w:rsidRPr="00BD17CA">
        <w:rPr>
          <w:rFonts w:ascii="Arial" w:eastAsia="Arial" w:hAnsi="Arial" w:cs="Arial"/>
          <w:sz w:val="22"/>
          <w:szCs w:val="22"/>
        </w:rPr>
        <w:t>e</w:t>
      </w:r>
      <w:r w:rsidRPr="00B13795">
        <w:rPr>
          <w:rFonts w:ascii="Arial" w:eastAsia="Arial" w:hAnsi="Arial" w:cs="Arial"/>
          <w:sz w:val="22"/>
          <w:szCs w:val="22"/>
        </w:rPr>
        <w:t>as</w:t>
      </w:r>
      <w:r w:rsidRPr="00BD17CA">
        <w:rPr>
          <w:rFonts w:ascii="Arial" w:eastAsia="Arial" w:hAnsi="Arial" w:cs="Arial"/>
          <w:sz w:val="22"/>
          <w:szCs w:val="22"/>
        </w:rPr>
        <w:t>ured.</w:t>
      </w:r>
      <w:r w:rsidRPr="00B13795">
        <w:rPr>
          <w:rFonts w:ascii="Arial" w:eastAsia="Arial" w:hAnsi="Arial" w:cs="Arial"/>
          <w:sz w:val="22"/>
          <w:szCs w:val="22"/>
        </w:rPr>
        <w:t xml:space="preserve"> </w:t>
      </w:r>
      <w:r w:rsidRPr="00BD17CA">
        <w:rPr>
          <w:rFonts w:ascii="Arial" w:eastAsia="Arial" w:hAnsi="Arial" w:cs="Arial"/>
          <w:sz w:val="22"/>
          <w:szCs w:val="22"/>
        </w:rPr>
        <w:t>For</w:t>
      </w:r>
      <w:r w:rsidRPr="00B13795">
        <w:rPr>
          <w:rFonts w:ascii="Arial" w:eastAsia="Arial" w:hAnsi="Arial" w:cs="Arial"/>
          <w:sz w:val="22"/>
          <w:szCs w:val="22"/>
        </w:rPr>
        <w:t xml:space="preserve"> i</w:t>
      </w:r>
      <w:r w:rsidRPr="00BD17CA">
        <w:rPr>
          <w:rFonts w:ascii="Arial" w:eastAsia="Arial" w:hAnsi="Arial" w:cs="Arial"/>
          <w:sz w:val="22"/>
          <w:szCs w:val="22"/>
        </w:rPr>
        <w:t>n</w:t>
      </w:r>
      <w:r w:rsidRPr="00B13795">
        <w:rPr>
          <w:rFonts w:ascii="Arial" w:eastAsia="Arial" w:hAnsi="Arial" w:cs="Arial"/>
          <w:sz w:val="22"/>
          <w:szCs w:val="22"/>
        </w:rPr>
        <w:t>st</w:t>
      </w:r>
      <w:r w:rsidRPr="00BD17CA">
        <w:rPr>
          <w:rFonts w:ascii="Arial" w:eastAsia="Arial" w:hAnsi="Arial" w:cs="Arial"/>
          <w:sz w:val="22"/>
          <w:szCs w:val="22"/>
        </w:rPr>
        <w:t>a</w:t>
      </w:r>
      <w:r w:rsidRPr="00B13795">
        <w:rPr>
          <w:rFonts w:ascii="Arial" w:eastAsia="Arial" w:hAnsi="Arial" w:cs="Arial"/>
          <w:sz w:val="22"/>
          <w:szCs w:val="22"/>
        </w:rPr>
        <w:t>nc</w:t>
      </w:r>
      <w:r w:rsidRPr="00BD17CA">
        <w:rPr>
          <w:rFonts w:ascii="Arial" w:eastAsia="Arial" w:hAnsi="Arial" w:cs="Arial"/>
          <w:sz w:val="22"/>
          <w:szCs w:val="22"/>
        </w:rPr>
        <w:t>e:</w:t>
      </w:r>
    </w:p>
    <w:p w14:paraId="40B4A58B" w14:textId="13E41145" w:rsidR="009C7422" w:rsidRPr="00B13795" w:rsidRDefault="001706EB" w:rsidP="00B13795">
      <w:pPr>
        <w:pStyle w:val="ListParagraph"/>
        <w:numPr>
          <w:ilvl w:val="0"/>
          <w:numId w:val="7"/>
        </w:numPr>
        <w:spacing w:after="200" w:line="276" w:lineRule="auto"/>
        <w:ind w:left="567" w:right="74" w:hanging="567"/>
        <w:jc w:val="both"/>
        <w:rPr>
          <w:rFonts w:ascii="Arial" w:eastAsia="Arial" w:hAnsi="Arial" w:cs="Arial"/>
          <w:sz w:val="22"/>
          <w:szCs w:val="22"/>
        </w:rPr>
      </w:pPr>
      <w:r w:rsidRPr="00B13795">
        <w:rPr>
          <w:rFonts w:ascii="Arial" w:eastAsia="Arial" w:hAnsi="Arial" w:cs="Arial"/>
          <w:sz w:val="22"/>
          <w:szCs w:val="22"/>
        </w:rPr>
        <w:t>a 0.5% increase in the discount rate assumption results in a decrease in the value of the pension liabilities of £110 million</w:t>
      </w:r>
    </w:p>
    <w:p w14:paraId="6D3F9D89" w14:textId="059AB3CB" w:rsidR="009C7422" w:rsidRPr="00B13795" w:rsidRDefault="001706EB" w:rsidP="00B13795">
      <w:pPr>
        <w:pStyle w:val="ListParagraph"/>
        <w:numPr>
          <w:ilvl w:val="0"/>
          <w:numId w:val="7"/>
        </w:numPr>
        <w:spacing w:after="200" w:line="276" w:lineRule="auto"/>
        <w:ind w:left="567" w:right="74" w:hanging="567"/>
        <w:jc w:val="both"/>
        <w:rPr>
          <w:rFonts w:ascii="Arial" w:eastAsia="Arial" w:hAnsi="Arial" w:cs="Arial"/>
          <w:sz w:val="22"/>
          <w:szCs w:val="22"/>
        </w:rPr>
      </w:pPr>
      <w:r w:rsidRPr="00B13795">
        <w:rPr>
          <w:rFonts w:ascii="Arial" w:eastAsia="Arial" w:hAnsi="Arial" w:cs="Arial"/>
          <w:sz w:val="22"/>
          <w:szCs w:val="22"/>
        </w:rPr>
        <w:t>a 0.25% increase in assumed earnings inflation increases the value of liabilities by approximately £7 million</w:t>
      </w:r>
    </w:p>
    <w:p w14:paraId="4DFB382C" w14:textId="48324C16" w:rsidR="009C7422" w:rsidRPr="00B13795" w:rsidRDefault="001706EB" w:rsidP="00B13795">
      <w:pPr>
        <w:pStyle w:val="ListParagraph"/>
        <w:numPr>
          <w:ilvl w:val="0"/>
          <w:numId w:val="7"/>
        </w:numPr>
        <w:spacing w:after="200" w:line="276" w:lineRule="auto"/>
        <w:ind w:left="567" w:right="74" w:hanging="567"/>
        <w:jc w:val="both"/>
        <w:rPr>
          <w:rFonts w:ascii="Arial" w:eastAsia="Arial" w:hAnsi="Arial" w:cs="Arial"/>
          <w:sz w:val="22"/>
          <w:szCs w:val="22"/>
        </w:rPr>
      </w:pPr>
      <w:r w:rsidRPr="00B13795">
        <w:rPr>
          <w:rFonts w:ascii="Arial" w:eastAsia="Arial" w:hAnsi="Arial" w:cs="Arial"/>
          <w:sz w:val="22"/>
          <w:szCs w:val="22"/>
        </w:rPr>
        <w:t>a one-year increase in assumed life expectancy increases the value of the liability by approximately</w:t>
      </w:r>
      <w:r w:rsidR="00B13795" w:rsidRPr="00B13795">
        <w:rPr>
          <w:rFonts w:ascii="Arial" w:eastAsia="Arial" w:hAnsi="Arial" w:cs="Arial"/>
          <w:sz w:val="22"/>
          <w:szCs w:val="22"/>
        </w:rPr>
        <w:t xml:space="preserve"> </w:t>
      </w:r>
      <w:r w:rsidRPr="00B13795">
        <w:rPr>
          <w:rFonts w:ascii="Arial" w:eastAsia="Arial" w:hAnsi="Arial" w:cs="Arial"/>
          <w:sz w:val="22"/>
          <w:szCs w:val="22"/>
        </w:rPr>
        <w:t>£36 million.</w:t>
      </w:r>
    </w:p>
    <w:p w14:paraId="268C0C40" w14:textId="35042DA9" w:rsidR="00716307" w:rsidRDefault="00716307" w:rsidP="00B13795">
      <w:pPr>
        <w:spacing w:after="200" w:line="276" w:lineRule="auto"/>
        <w:ind w:right="74"/>
        <w:jc w:val="both"/>
        <w:rPr>
          <w:rFonts w:ascii="Arial" w:eastAsia="Arial" w:hAnsi="Arial" w:cs="Arial"/>
          <w:b/>
          <w:sz w:val="22"/>
          <w:szCs w:val="22"/>
        </w:rPr>
      </w:pPr>
      <w:r>
        <w:rPr>
          <w:rFonts w:ascii="Arial" w:eastAsia="Arial" w:hAnsi="Arial" w:cs="Arial"/>
          <w:b/>
          <w:sz w:val="22"/>
          <w:szCs w:val="22"/>
        </w:rPr>
        <w:t>COVID-19 IMPACT</w:t>
      </w:r>
    </w:p>
    <w:p w14:paraId="126D16ED" w14:textId="6AF68F18" w:rsidR="00716307" w:rsidRPr="00DF31BA" w:rsidRDefault="00716307" w:rsidP="00B13795">
      <w:pPr>
        <w:spacing w:after="200" w:line="276" w:lineRule="auto"/>
        <w:ind w:right="74"/>
        <w:jc w:val="both"/>
        <w:rPr>
          <w:rFonts w:ascii="Arial" w:eastAsia="Arial" w:hAnsi="Arial" w:cs="Arial"/>
          <w:bCs/>
          <w:sz w:val="22"/>
          <w:szCs w:val="22"/>
        </w:rPr>
      </w:pPr>
      <w:commentRangeStart w:id="4"/>
      <w:r w:rsidRPr="00DF31BA">
        <w:rPr>
          <w:rFonts w:ascii="Arial" w:eastAsia="Arial" w:hAnsi="Arial" w:cs="Arial"/>
          <w:bCs/>
          <w:sz w:val="22"/>
          <w:szCs w:val="22"/>
        </w:rPr>
        <w:t>The ongoing impact of the Covid-19 pandemic has created uncertainty surrounding the valuation of illiquid assets. As such</w:t>
      </w:r>
      <w:r w:rsidR="00AD0F2A" w:rsidRPr="00DF31BA">
        <w:rPr>
          <w:rFonts w:ascii="Arial" w:eastAsia="Arial" w:hAnsi="Arial" w:cs="Arial"/>
          <w:bCs/>
          <w:sz w:val="22"/>
          <w:szCs w:val="22"/>
        </w:rPr>
        <w:t xml:space="preserve">, the fund’s infrastructure and pooled property fund allocations as at 31 March 2020 are difficult to value. Values for these allocations have been based on the latest available pricing data (adjusted for </w:t>
      </w:r>
      <w:r w:rsidR="00AD0F2A">
        <w:rPr>
          <w:rFonts w:ascii="Arial" w:eastAsia="Arial" w:hAnsi="Arial" w:cs="Arial"/>
          <w:bCs/>
          <w:sz w:val="22"/>
          <w:szCs w:val="22"/>
        </w:rPr>
        <w:t xml:space="preserve">any </w:t>
      </w:r>
      <w:r w:rsidR="00AD0F2A" w:rsidRPr="00DF31BA">
        <w:rPr>
          <w:rFonts w:ascii="Arial" w:eastAsia="Arial" w:hAnsi="Arial" w:cs="Arial"/>
          <w:bCs/>
          <w:sz w:val="22"/>
          <w:szCs w:val="22"/>
        </w:rPr>
        <w:t>known</w:t>
      </w:r>
      <w:r w:rsidR="00AD0F2A">
        <w:rPr>
          <w:rFonts w:ascii="Arial" w:eastAsia="Arial" w:hAnsi="Arial" w:cs="Arial"/>
          <w:bCs/>
          <w:sz w:val="22"/>
          <w:szCs w:val="22"/>
        </w:rPr>
        <w:t xml:space="preserve"> cash</w:t>
      </w:r>
      <w:r w:rsidR="00AD0F2A" w:rsidRPr="00DF31BA">
        <w:rPr>
          <w:rFonts w:ascii="Arial" w:eastAsia="Arial" w:hAnsi="Arial" w:cs="Arial"/>
          <w:bCs/>
          <w:sz w:val="22"/>
          <w:szCs w:val="22"/>
        </w:rPr>
        <w:t xml:space="preserve"> movements</w:t>
      </w:r>
      <w:r w:rsidR="00AD0F2A">
        <w:rPr>
          <w:rFonts w:ascii="Arial" w:eastAsia="Arial" w:hAnsi="Arial" w:cs="Arial"/>
          <w:bCs/>
          <w:sz w:val="22"/>
          <w:szCs w:val="22"/>
        </w:rPr>
        <w:t xml:space="preserve"> and an allowance for impairment losses)</w:t>
      </w:r>
      <w:commentRangeEnd w:id="4"/>
      <w:r w:rsidR="003D447D">
        <w:rPr>
          <w:rStyle w:val="CommentReference"/>
        </w:rPr>
        <w:commentReference w:id="4"/>
      </w:r>
    </w:p>
    <w:p w14:paraId="4D99A0D5" w14:textId="6A29CCA6" w:rsidR="009C7422" w:rsidRPr="00B13795" w:rsidRDefault="001706EB" w:rsidP="00B13795">
      <w:pPr>
        <w:spacing w:after="200" w:line="276" w:lineRule="auto"/>
        <w:ind w:right="74"/>
        <w:jc w:val="both"/>
        <w:rPr>
          <w:rFonts w:ascii="Arial" w:eastAsia="Arial" w:hAnsi="Arial" w:cs="Arial"/>
          <w:b/>
          <w:sz w:val="22"/>
          <w:szCs w:val="22"/>
        </w:rPr>
      </w:pPr>
      <w:r w:rsidRPr="00BD17CA">
        <w:rPr>
          <w:rFonts w:ascii="Arial" w:eastAsia="Arial" w:hAnsi="Arial" w:cs="Arial"/>
          <w:b/>
          <w:sz w:val="22"/>
          <w:szCs w:val="22"/>
        </w:rPr>
        <w:t>N</w:t>
      </w:r>
      <w:r w:rsidRPr="00B13795">
        <w:rPr>
          <w:rFonts w:ascii="Arial" w:eastAsia="Arial" w:hAnsi="Arial" w:cs="Arial"/>
          <w:b/>
          <w:sz w:val="22"/>
          <w:szCs w:val="22"/>
        </w:rPr>
        <w:t>OT</w:t>
      </w:r>
      <w:r w:rsidRPr="00BD17CA">
        <w:rPr>
          <w:rFonts w:ascii="Arial" w:eastAsia="Arial" w:hAnsi="Arial" w:cs="Arial"/>
          <w:b/>
          <w:sz w:val="22"/>
          <w:szCs w:val="22"/>
        </w:rPr>
        <w:t>E</w:t>
      </w:r>
      <w:r w:rsidRPr="00B13795">
        <w:rPr>
          <w:rFonts w:ascii="Arial" w:eastAsia="Arial" w:hAnsi="Arial" w:cs="Arial"/>
          <w:b/>
          <w:sz w:val="22"/>
          <w:szCs w:val="22"/>
        </w:rPr>
        <w:t xml:space="preserve"> </w:t>
      </w:r>
      <w:r w:rsidRPr="00BD17CA">
        <w:rPr>
          <w:rFonts w:ascii="Arial" w:eastAsia="Arial" w:hAnsi="Arial" w:cs="Arial"/>
          <w:b/>
          <w:sz w:val="22"/>
          <w:szCs w:val="22"/>
        </w:rPr>
        <w:t>6:</w:t>
      </w:r>
      <w:r w:rsidRPr="00B13795">
        <w:rPr>
          <w:rFonts w:ascii="Arial" w:eastAsia="Arial" w:hAnsi="Arial" w:cs="Arial"/>
          <w:b/>
          <w:sz w:val="22"/>
          <w:szCs w:val="22"/>
        </w:rPr>
        <w:t xml:space="preserve"> EVE</w:t>
      </w:r>
      <w:r w:rsidRPr="00BD17CA">
        <w:rPr>
          <w:rFonts w:ascii="Arial" w:eastAsia="Arial" w:hAnsi="Arial" w:cs="Arial"/>
          <w:b/>
          <w:sz w:val="22"/>
          <w:szCs w:val="22"/>
        </w:rPr>
        <w:t>N</w:t>
      </w:r>
      <w:r w:rsidRPr="00B13795">
        <w:rPr>
          <w:rFonts w:ascii="Arial" w:eastAsia="Arial" w:hAnsi="Arial" w:cs="Arial"/>
          <w:b/>
          <w:sz w:val="22"/>
          <w:szCs w:val="22"/>
        </w:rPr>
        <w:t>T</w:t>
      </w:r>
      <w:r w:rsidRPr="00BD17CA">
        <w:rPr>
          <w:rFonts w:ascii="Arial" w:eastAsia="Arial" w:hAnsi="Arial" w:cs="Arial"/>
          <w:b/>
          <w:sz w:val="22"/>
          <w:szCs w:val="22"/>
        </w:rPr>
        <w:t>S</w:t>
      </w:r>
      <w:r w:rsidRPr="00B13795">
        <w:rPr>
          <w:rFonts w:ascii="Arial" w:eastAsia="Arial" w:hAnsi="Arial" w:cs="Arial"/>
          <w:b/>
          <w:sz w:val="22"/>
          <w:szCs w:val="22"/>
        </w:rPr>
        <w:t xml:space="preserve"> A</w:t>
      </w:r>
      <w:r w:rsidRPr="00BD17CA">
        <w:rPr>
          <w:rFonts w:ascii="Arial" w:eastAsia="Arial" w:hAnsi="Arial" w:cs="Arial"/>
          <w:b/>
          <w:sz w:val="22"/>
          <w:szCs w:val="22"/>
        </w:rPr>
        <w:t>F</w:t>
      </w:r>
      <w:r w:rsidRPr="00B13795">
        <w:rPr>
          <w:rFonts w:ascii="Arial" w:eastAsia="Arial" w:hAnsi="Arial" w:cs="Arial"/>
          <w:b/>
          <w:sz w:val="22"/>
          <w:szCs w:val="22"/>
        </w:rPr>
        <w:t>TE</w:t>
      </w:r>
      <w:r w:rsidRPr="00BD17CA">
        <w:rPr>
          <w:rFonts w:ascii="Arial" w:eastAsia="Arial" w:hAnsi="Arial" w:cs="Arial"/>
          <w:b/>
          <w:sz w:val="22"/>
          <w:szCs w:val="22"/>
        </w:rPr>
        <w:t>R</w:t>
      </w:r>
      <w:r w:rsidRPr="00B13795">
        <w:rPr>
          <w:rFonts w:ascii="Arial" w:eastAsia="Arial" w:hAnsi="Arial" w:cs="Arial"/>
          <w:b/>
          <w:sz w:val="22"/>
          <w:szCs w:val="22"/>
        </w:rPr>
        <w:t xml:space="preserve"> T</w:t>
      </w:r>
      <w:r w:rsidRPr="00BD17CA">
        <w:rPr>
          <w:rFonts w:ascii="Arial" w:eastAsia="Arial" w:hAnsi="Arial" w:cs="Arial"/>
          <w:b/>
          <w:sz w:val="22"/>
          <w:szCs w:val="22"/>
        </w:rPr>
        <w:t>HE</w:t>
      </w:r>
      <w:r w:rsidRPr="00B13795">
        <w:rPr>
          <w:rFonts w:ascii="Arial" w:eastAsia="Arial" w:hAnsi="Arial" w:cs="Arial"/>
          <w:b/>
          <w:sz w:val="22"/>
          <w:szCs w:val="22"/>
        </w:rPr>
        <w:t xml:space="preserve"> BALAN</w:t>
      </w:r>
      <w:r w:rsidRPr="00BD17CA">
        <w:rPr>
          <w:rFonts w:ascii="Arial" w:eastAsia="Arial" w:hAnsi="Arial" w:cs="Arial"/>
          <w:b/>
          <w:sz w:val="22"/>
          <w:szCs w:val="22"/>
        </w:rPr>
        <w:t>CE</w:t>
      </w:r>
      <w:r w:rsidRPr="00B13795">
        <w:rPr>
          <w:rFonts w:ascii="Arial" w:eastAsia="Arial" w:hAnsi="Arial" w:cs="Arial"/>
          <w:b/>
          <w:sz w:val="22"/>
          <w:szCs w:val="22"/>
        </w:rPr>
        <w:t xml:space="preserve"> SHEE</w:t>
      </w:r>
      <w:r w:rsidRPr="00BD17CA">
        <w:rPr>
          <w:rFonts w:ascii="Arial" w:eastAsia="Arial" w:hAnsi="Arial" w:cs="Arial"/>
          <w:b/>
          <w:sz w:val="22"/>
          <w:szCs w:val="22"/>
        </w:rPr>
        <w:t>T</w:t>
      </w:r>
      <w:r w:rsidRPr="00B13795">
        <w:rPr>
          <w:rFonts w:ascii="Arial" w:eastAsia="Arial" w:hAnsi="Arial" w:cs="Arial"/>
          <w:b/>
          <w:sz w:val="22"/>
          <w:szCs w:val="22"/>
        </w:rPr>
        <w:t xml:space="preserve"> DAT</w:t>
      </w:r>
      <w:r w:rsidRPr="00BD17CA">
        <w:rPr>
          <w:rFonts w:ascii="Arial" w:eastAsia="Arial" w:hAnsi="Arial" w:cs="Arial"/>
          <w:b/>
          <w:sz w:val="22"/>
          <w:szCs w:val="22"/>
        </w:rPr>
        <w:t>E</w:t>
      </w:r>
    </w:p>
    <w:p w14:paraId="19BBFA47" w14:textId="7E525192" w:rsidR="009C7422" w:rsidRPr="00B13795" w:rsidRDefault="00B13795" w:rsidP="00B13795">
      <w:pPr>
        <w:spacing w:after="200" w:line="276" w:lineRule="auto"/>
        <w:ind w:right="74"/>
        <w:jc w:val="both"/>
        <w:rPr>
          <w:rFonts w:ascii="Arial" w:eastAsia="Arial" w:hAnsi="Arial" w:cs="Arial"/>
          <w:b/>
          <w:sz w:val="22"/>
          <w:szCs w:val="22"/>
        </w:rPr>
      </w:pPr>
      <w:r w:rsidRPr="00B13795">
        <w:rPr>
          <w:rFonts w:ascii="Arial" w:eastAsia="Arial" w:hAnsi="Arial" w:cs="Arial"/>
          <w:b/>
          <w:sz w:val="22"/>
          <w:szCs w:val="22"/>
        </w:rPr>
        <w:t>McCloud case</w:t>
      </w:r>
    </w:p>
    <w:p w14:paraId="6AA8191E" w14:textId="704AA6EF" w:rsidR="009C7422" w:rsidRDefault="00B13795" w:rsidP="00B13795">
      <w:pPr>
        <w:spacing w:after="200" w:line="276" w:lineRule="auto"/>
        <w:ind w:right="74"/>
        <w:jc w:val="both"/>
        <w:rPr>
          <w:rFonts w:ascii="Arial" w:eastAsia="Arial" w:hAnsi="Arial" w:cs="Arial"/>
          <w:sz w:val="22"/>
          <w:szCs w:val="22"/>
        </w:rPr>
      </w:pPr>
      <w:r w:rsidRPr="00B13795">
        <w:rPr>
          <w:rFonts w:ascii="Arial" w:eastAsia="Arial" w:hAnsi="Arial" w:cs="Arial"/>
          <w:sz w:val="22"/>
          <w:szCs w:val="22"/>
        </w:rPr>
        <w:t xml:space="preserve">The McCloud and </w:t>
      </w:r>
      <w:proofErr w:type="spellStart"/>
      <w:r w:rsidRPr="00B13795">
        <w:rPr>
          <w:rFonts w:ascii="Arial" w:eastAsia="Arial" w:hAnsi="Arial" w:cs="Arial"/>
          <w:sz w:val="22"/>
          <w:szCs w:val="22"/>
        </w:rPr>
        <w:t>Sargeant</w:t>
      </w:r>
      <w:proofErr w:type="spellEnd"/>
      <w:r w:rsidRPr="00B13795">
        <w:rPr>
          <w:rFonts w:ascii="Arial" w:eastAsia="Arial" w:hAnsi="Arial" w:cs="Arial"/>
          <w:sz w:val="22"/>
          <w:szCs w:val="22"/>
        </w:rPr>
        <w:t xml:space="preserve"> cases are two national legal cases which impact on the transitional provisions of the 2014 Local Government Pension Scheme on age discrim</w:t>
      </w:r>
      <w:r w:rsidR="006F3D5E">
        <w:rPr>
          <w:rFonts w:ascii="Arial" w:eastAsia="Arial" w:hAnsi="Arial" w:cs="Arial"/>
          <w:sz w:val="22"/>
          <w:szCs w:val="22"/>
        </w:rPr>
        <w:t>i</w:t>
      </w:r>
      <w:r w:rsidRPr="00B13795">
        <w:rPr>
          <w:rFonts w:ascii="Arial" w:eastAsia="Arial" w:hAnsi="Arial" w:cs="Arial"/>
          <w:sz w:val="22"/>
          <w:szCs w:val="22"/>
        </w:rPr>
        <w:t>nation grounds. In December 2018 the Court of Appeal ruled against the Government on the two cases. The Government attempted to appeal the two cases on 27 June 2019, but the appeal was refused by the Supreme Court requiring remedy to the two underlying public service pension schemes - the judicial and firefighters pension schemes respectively. Subsequently, on 13 July the Chief Secretary to The Treasury announced that the remedies would apply to all public service pension schemes, which will result in an increase in benefits.</w:t>
      </w:r>
    </w:p>
    <w:p w14:paraId="50601B04" w14:textId="468549DC" w:rsidR="00B13795" w:rsidRDefault="00B13795" w:rsidP="00B13795">
      <w:pPr>
        <w:spacing w:after="200" w:line="276" w:lineRule="auto"/>
        <w:ind w:right="74"/>
        <w:jc w:val="both"/>
        <w:rPr>
          <w:rFonts w:ascii="Arial" w:eastAsia="Arial" w:hAnsi="Arial" w:cs="Arial"/>
          <w:sz w:val="22"/>
          <w:szCs w:val="22"/>
        </w:rPr>
      </w:pPr>
      <w:commentRangeStart w:id="5"/>
      <w:proofErr w:type="gramStart"/>
      <w:r w:rsidRPr="00B13795">
        <w:rPr>
          <w:rFonts w:ascii="Arial" w:eastAsia="Arial" w:hAnsi="Arial" w:cs="Arial"/>
          <w:sz w:val="22"/>
          <w:szCs w:val="22"/>
        </w:rPr>
        <w:t>In light of</w:t>
      </w:r>
      <w:proofErr w:type="gramEnd"/>
      <w:r w:rsidRPr="00B13795">
        <w:rPr>
          <w:rFonts w:ascii="Arial" w:eastAsia="Arial" w:hAnsi="Arial" w:cs="Arial"/>
          <w:sz w:val="22"/>
          <w:szCs w:val="22"/>
        </w:rPr>
        <w:t xml:space="preserve"> the above the IAS26 valuation of the fund's liabilities disclosed at Note 18 has been updated to reflect the estimated impact of the possible remedy. This increases the net overall liabilities of the fund by £10m from £300m to £310m. This has no impact on the net assets available to pay benefits, because the pension fund accounts do not </w:t>
      </w:r>
      <w:proofErr w:type="gramStart"/>
      <w:r w:rsidRPr="00B13795">
        <w:rPr>
          <w:rFonts w:ascii="Arial" w:eastAsia="Arial" w:hAnsi="Arial" w:cs="Arial"/>
          <w:sz w:val="22"/>
          <w:szCs w:val="22"/>
        </w:rPr>
        <w:t>take into account</w:t>
      </w:r>
      <w:proofErr w:type="gramEnd"/>
      <w:r w:rsidRPr="00B13795">
        <w:rPr>
          <w:rFonts w:ascii="Arial" w:eastAsia="Arial" w:hAnsi="Arial" w:cs="Arial"/>
          <w:sz w:val="22"/>
          <w:szCs w:val="22"/>
        </w:rPr>
        <w:t xml:space="preserve"> the actuarial present value of future retirement benefits (Accounting Policy Note 2(</w:t>
      </w:r>
      <w:r w:rsidR="00716307">
        <w:rPr>
          <w:rFonts w:ascii="Arial" w:eastAsia="Arial" w:hAnsi="Arial" w:cs="Arial"/>
          <w:sz w:val="22"/>
          <w:szCs w:val="22"/>
        </w:rPr>
        <w:t>l</w:t>
      </w:r>
      <w:r w:rsidRPr="00B13795">
        <w:rPr>
          <w:rFonts w:ascii="Arial" w:eastAsia="Arial" w:hAnsi="Arial" w:cs="Arial"/>
          <w:sz w:val="22"/>
          <w:szCs w:val="22"/>
        </w:rPr>
        <w:t>) refers).</w:t>
      </w:r>
      <w:commentRangeEnd w:id="5"/>
      <w:r w:rsidR="00716307">
        <w:rPr>
          <w:rStyle w:val="CommentReference"/>
        </w:rPr>
        <w:commentReference w:id="5"/>
      </w:r>
    </w:p>
    <w:p w14:paraId="6BE8FF1C" w14:textId="0926D0A2" w:rsidR="00B13795" w:rsidRPr="00B13795" w:rsidRDefault="00B13795" w:rsidP="00B13795">
      <w:pPr>
        <w:spacing w:after="200" w:line="276" w:lineRule="auto"/>
        <w:ind w:right="74"/>
        <w:jc w:val="both"/>
        <w:rPr>
          <w:rFonts w:ascii="Arial" w:eastAsia="Arial" w:hAnsi="Arial" w:cs="Arial"/>
          <w:b/>
          <w:bCs/>
          <w:sz w:val="22"/>
          <w:szCs w:val="22"/>
        </w:rPr>
      </w:pPr>
      <w:commentRangeStart w:id="6"/>
      <w:r w:rsidRPr="00B13795">
        <w:rPr>
          <w:rFonts w:ascii="Arial" w:eastAsia="Arial" w:hAnsi="Arial" w:cs="Arial"/>
          <w:b/>
          <w:bCs/>
          <w:sz w:val="22"/>
          <w:szCs w:val="22"/>
        </w:rPr>
        <w:t>COVID-19 impact</w:t>
      </w:r>
    </w:p>
    <w:p w14:paraId="51762BAE" w14:textId="12AF588B" w:rsidR="00B13795" w:rsidRPr="00B13795" w:rsidRDefault="00B13795" w:rsidP="00B13795">
      <w:pPr>
        <w:spacing w:after="200" w:line="276" w:lineRule="auto"/>
        <w:ind w:right="74"/>
        <w:jc w:val="both"/>
        <w:rPr>
          <w:rFonts w:ascii="Arial" w:eastAsia="Arial" w:hAnsi="Arial" w:cs="Arial"/>
          <w:sz w:val="22"/>
          <w:szCs w:val="22"/>
        </w:rPr>
      </w:pPr>
      <w:r>
        <w:rPr>
          <w:rFonts w:ascii="Arial" w:eastAsia="Arial" w:hAnsi="Arial" w:cs="Arial"/>
          <w:sz w:val="22"/>
          <w:szCs w:val="22"/>
        </w:rPr>
        <w:t>In March 2020 the Prime Minister announced a national lockdown</w:t>
      </w:r>
      <w:r w:rsidR="003D447D">
        <w:rPr>
          <w:rFonts w:ascii="Arial" w:eastAsia="Arial" w:hAnsi="Arial" w:cs="Arial"/>
          <w:sz w:val="22"/>
          <w:szCs w:val="22"/>
        </w:rPr>
        <w:t xml:space="preserve"> for three months</w:t>
      </w:r>
      <w:r>
        <w:rPr>
          <w:rFonts w:ascii="Arial" w:eastAsia="Arial" w:hAnsi="Arial" w:cs="Arial"/>
          <w:sz w:val="22"/>
          <w:szCs w:val="22"/>
        </w:rPr>
        <w:t xml:space="preserve"> to prevent the spread of the COVID-19 virus as the UK Government’s response to the international pandemic. </w:t>
      </w:r>
      <w:r w:rsidR="003D447D">
        <w:rPr>
          <w:rFonts w:ascii="Arial" w:eastAsia="Arial" w:hAnsi="Arial" w:cs="Arial"/>
          <w:sz w:val="22"/>
          <w:szCs w:val="22"/>
        </w:rPr>
        <w:t xml:space="preserve"> This was followed by a further national lockdown in November. </w:t>
      </w:r>
      <w:commentRangeEnd w:id="6"/>
      <w:r w:rsidR="003D447D">
        <w:rPr>
          <w:rStyle w:val="CommentReference"/>
        </w:rPr>
        <w:commentReference w:id="6"/>
      </w:r>
    </w:p>
    <w:p w14:paraId="2691830B" w14:textId="77777777" w:rsidR="00933FA8" w:rsidRDefault="00933FA8" w:rsidP="00990685">
      <w:pPr>
        <w:spacing w:after="200" w:line="276" w:lineRule="auto"/>
        <w:ind w:right="74"/>
        <w:jc w:val="both"/>
        <w:rPr>
          <w:rFonts w:ascii="Arial" w:eastAsia="Arial" w:hAnsi="Arial" w:cs="Arial"/>
          <w:b/>
          <w:bCs/>
          <w:sz w:val="22"/>
          <w:szCs w:val="22"/>
        </w:rPr>
      </w:pPr>
    </w:p>
    <w:p w14:paraId="048D779B" w14:textId="77777777" w:rsidR="00933FA8" w:rsidRDefault="00933FA8" w:rsidP="00990685">
      <w:pPr>
        <w:spacing w:after="200" w:line="276" w:lineRule="auto"/>
        <w:ind w:right="74"/>
        <w:jc w:val="both"/>
        <w:rPr>
          <w:rFonts w:ascii="Arial" w:eastAsia="Arial" w:hAnsi="Arial" w:cs="Arial"/>
          <w:b/>
          <w:bCs/>
          <w:sz w:val="22"/>
          <w:szCs w:val="22"/>
        </w:rPr>
      </w:pPr>
    </w:p>
    <w:p w14:paraId="2B44D500" w14:textId="4E841D09" w:rsidR="00990685" w:rsidRDefault="001706EB" w:rsidP="00990685">
      <w:pPr>
        <w:spacing w:after="200" w:line="276" w:lineRule="auto"/>
        <w:ind w:right="74"/>
        <w:jc w:val="both"/>
        <w:rPr>
          <w:rFonts w:ascii="Arial" w:eastAsia="Arial" w:hAnsi="Arial" w:cs="Arial"/>
          <w:b/>
          <w:bCs/>
          <w:sz w:val="22"/>
          <w:szCs w:val="22"/>
        </w:rPr>
      </w:pPr>
      <w:commentRangeStart w:id="7"/>
      <w:r w:rsidRPr="00990685">
        <w:rPr>
          <w:rFonts w:ascii="Arial" w:eastAsia="Arial" w:hAnsi="Arial" w:cs="Arial"/>
          <w:b/>
          <w:bCs/>
          <w:sz w:val="22"/>
          <w:szCs w:val="22"/>
        </w:rPr>
        <w:lastRenderedPageBreak/>
        <w:t xml:space="preserve">NOTE 7: CONTRIBUTIONS RECEIVABLE </w:t>
      </w:r>
      <w:commentRangeEnd w:id="7"/>
      <w:r w:rsidR="003D447D">
        <w:rPr>
          <w:rStyle w:val="CommentReference"/>
        </w:rPr>
        <w:commentReference w:id="7"/>
      </w:r>
    </w:p>
    <w:p w14:paraId="1BD423AA" w14:textId="0B491103" w:rsidR="00991D54" w:rsidRDefault="00991D54" w:rsidP="00990685">
      <w:pPr>
        <w:spacing w:after="200" w:line="276" w:lineRule="auto"/>
        <w:ind w:right="74"/>
        <w:jc w:val="both"/>
        <w:rPr>
          <w:rFonts w:ascii="Arial" w:eastAsia="Arial" w:hAnsi="Arial" w:cs="Arial"/>
          <w:b/>
          <w:bCs/>
          <w:sz w:val="22"/>
          <w:szCs w:val="22"/>
        </w:rPr>
      </w:pPr>
    </w:p>
    <w:p w14:paraId="3AA359F5" w14:textId="22C1EAC1" w:rsidR="00991D54" w:rsidRPr="00990685" w:rsidRDefault="00991D54" w:rsidP="00990685">
      <w:pPr>
        <w:spacing w:after="200" w:line="276" w:lineRule="auto"/>
        <w:ind w:right="74"/>
        <w:jc w:val="both"/>
        <w:rPr>
          <w:rFonts w:ascii="Arial" w:eastAsia="Arial" w:hAnsi="Arial" w:cs="Arial"/>
          <w:b/>
          <w:bCs/>
          <w:sz w:val="22"/>
          <w:szCs w:val="22"/>
        </w:rPr>
      </w:pPr>
      <w:r w:rsidRPr="00991D54">
        <w:rPr>
          <w:rFonts w:eastAsia="Arial"/>
          <w:noProof/>
        </w:rPr>
        <w:drawing>
          <wp:inline distT="0" distB="0" distL="0" distR="0" wp14:anchorId="33EB19B0" wp14:editId="29D1C214">
            <wp:extent cx="6438900" cy="195199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00" cy="1951990"/>
                    </a:xfrm>
                    <a:prstGeom prst="rect">
                      <a:avLst/>
                    </a:prstGeom>
                    <a:noFill/>
                    <a:ln>
                      <a:noFill/>
                    </a:ln>
                  </pic:spPr>
                </pic:pic>
              </a:graphicData>
            </a:graphic>
          </wp:inline>
        </w:drawing>
      </w:r>
    </w:p>
    <w:p w14:paraId="62D3AFD9" w14:textId="77777777" w:rsidR="008463BF" w:rsidRDefault="008463BF" w:rsidP="00990685">
      <w:pPr>
        <w:spacing w:after="200" w:line="276" w:lineRule="auto"/>
        <w:ind w:right="74"/>
        <w:jc w:val="both"/>
        <w:rPr>
          <w:rFonts w:ascii="Arial" w:eastAsia="Arial" w:hAnsi="Arial" w:cs="Arial"/>
          <w:sz w:val="22"/>
          <w:szCs w:val="22"/>
        </w:rPr>
      </w:pPr>
    </w:p>
    <w:p w14:paraId="40075477" w14:textId="77777777" w:rsidR="00E22A3B" w:rsidRDefault="008463BF" w:rsidP="00990685">
      <w:pPr>
        <w:spacing w:after="200" w:line="276" w:lineRule="auto"/>
        <w:ind w:right="74"/>
        <w:jc w:val="both"/>
        <w:rPr>
          <w:rFonts w:ascii="Arial" w:eastAsia="Arial" w:hAnsi="Arial" w:cs="Arial"/>
          <w:b/>
          <w:bCs/>
          <w:sz w:val="22"/>
          <w:szCs w:val="22"/>
        </w:rPr>
      </w:pPr>
      <w:r w:rsidRPr="008463BF">
        <w:rPr>
          <w:rFonts w:eastAsia="Arial"/>
          <w:noProof/>
        </w:rPr>
        <w:drawing>
          <wp:inline distT="0" distB="0" distL="0" distR="0" wp14:anchorId="1D32AD16" wp14:editId="304EEFF1">
            <wp:extent cx="5600700" cy="14097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1409700"/>
                    </a:xfrm>
                    <a:prstGeom prst="rect">
                      <a:avLst/>
                    </a:prstGeom>
                    <a:noFill/>
                    <a:ln>
                      <a:noFill/>
                    </a:ln>
                  </pic:spPr>
                </pic:pic>
              </a:graphicData>
            </a:graphic>
          </wp:inline>
        </w:drawing>
      </w:r>
    </w:p>
    <w:p w14:paraId="5F736EC8" w14:textId="780799DB" w:rsidR="009C7422" w:rsidRPr="00990685" w:rsidRDefault="001706EB" w:rsidP="00990685">
      <w:pPr>
        <w:spacing w:after="200" w:line="276" w:lineRule="auto"/>
        <w:ind w:right="74"/>
        <w:jc w:val="both"/>
        <w:rPr>
          <w:rFonts w:ascii="Arial" w:eastAsia="Arial" w:hAnsi="Arial" w:cs="Arial"/>
          <w:b/>
          <w:bCs/>
          <w:sz w:val="22"/>
          <w:szCs w:val="22"/>
        </w:rPr>
      </w:pPr>
      <w:r w:rsidRPr="00990685">
        <w:rPr>
          <w:rFonts w:ascii="Arial" w:eastAsia="Arial" w:hAnsi="Arial" w:cs="Arial"/>
          <w:b/>
          <w:bCs/>
          <w:sz w:val="22"/>
          <w:szCs w:val="22"/>
        </w:rPr>
        <w:t>NOTE 8: TRANSFERS IN FROM OTHER PENSION FUNDS</w:t>
      </w:r>
    </w:p>
    <w:tbl>
      <w:tblPr>
        <w:tblW w:w="8124" w:type="dxa"/>
        <w:tblLook w:val="04A0" w:firstRow="1" w:lastRow="0" w:firstColumn="1" w:lastColumn="0" w:noHBand="0" w:noVBand="1"/>
      </w:tblPr>
      <w:tblGrid>
        <w:gridCol w:w="1012"/>
        <w:gridCol w:w="960"/>
        <w:gridCol w:w="5140"/>
        <w:gridCol w:w="1012"/>
      </w:tblGrid>
      <w:tr w:rsidR="00EE32C9" w:rsidRPr="00EE32C9" w14:paraId="512E5770" w14:textId="77777777" w:rsidTr="00EE32C9">
        <w:trPr>
          <w:trHeight w:val="300"/>
        </w:trPr>
        <w:tc>
          <w:tcPr>
            <w:tcW w:w="1012" w:type="dxa"/>
            <w:tcBorders>
              <w:top w:val="single" w:sz="4" w:space="0" w:color="auto"/>
              <w:left w:val="single" w:sz="4" w:space="0" w:color="auto"/>
              <w:bottom w:val="nil"/>
              <w:right w:val="nil"/>
            </w:tcBorders>
            <w:shd w:val="clear" w:color="000000" w:fill="00CC99"/>
            <w:vAlign w:val="center"/>
            <w:hideMark/>
          </w:tcPr>
          <w:p w14:paraId="142246F6"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2018/19</w:t>
            </w:r>
          </w:p>
        </w:tc>
        <w:tc>
          <w:tcPr>
            <w:tcW w:w="960" w:type="dxa"/>
            <w:tcBorders>
              <w:top w:val="single" w:sz="4" w:space="0" w:color="auto"/>
              <w:left w:val="nil"/>
              <w:bottom w:val="nil"/>
              <w:right w:val="nil"/>
            </w:tcBorders>
            <w:shd w:val="clear" w:color="000000" w:fill="00CC99"/>
            <w:vAlign w:val="center"/>
            <w:hideMark/>
          </w:tcPr>
          <w:p w14:paraId="02091A6C"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5140" w:type="dxa"/>
            <w:tcBorders>
              <w:top w:val="single" w:sz="4" w:space="0" w:color="auto"/>
              <w:left w:val="nil"/>
              <w:bottom w:val="nil"/>
              <w:right w:val="nil"/>
            </w:tcBorders>
            <w:shd w:val="clear" w:color="000000" w:fill="00CC99"/>
            <w:vAlign w:val="center"/>
            <w:hideMark/>
          </w:tcPr>
          <w:p w14:paraId="3247468D"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1012" w:type="dxa"/>
            <w:tcBorders>
              <w:top w:val="single" w:sz="4" w:space="0" w:color="auto"/>
              <w:left w:val="nil"/>
              <w:bottom w:val="nil"/>
              <w:right w:val="single" w:sz="4" w:space="0" w:color="auto"/>
            </w:tcBorders>
            <w:shd w:val="clear" w:color="000000" w:fill="00CC99"/>
            <w:vAlign w:val="center"/>
            <w:hideMark/>
          </w:tcPr>
          <w:p w14:paraId="736A543B"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2019/20</w:t>
            </w:r>
          </w:p>
        </w:tc>
      </w:tr>
      <w:tr w:rsidR="00EE32C9" w:rsidRPr="00EE32C9" w14:paraId="492B874C" w14:textId="77777777" w:rsidTr="00EE32C9">
        <w:trPr>
          <w:trHeight w:val="300"/>
        </w:trPr>
        <w:tc>
          <w:tcPr>
            <w:tcW w:w="1012" w:type="dxa"/>
            <w:tcBorders>
              <w:top w:val="nil"/>
              <w:left w:val="single" w:sz="4" w:space="0" w:color="auto"/>
              <w:bottom w:val="single" w:sz="4" w:space="0" w:color="auto"/>
              <w:right w:val="nil"/>
            </w:tcBorders>
            <w:shd w:val="clear" w:color="000000" w:fill="00CC99"/>
            <w:noWrap/>
            <w:vAlign w:val="center"/>
            <w:hideMark/>
          </w:tcPr>
          <w:p w14:paraId="79DD5533"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£'000</w:t>
            </w:r>
          </w:p>
        </w:tc>
        <w:tc>
          <w:tcPr>
            <w:tcW w:w="960" w:type="dxa"/>
            <w:tcBorders>
              <w:top w:val="nil"/>
              <w:left w:val="nil"/>
              <w:bottom w:val="single" w:sz="4" w:space="0" w:color="auto"/>
              <w:right w:val="nil"/>
            </w:tcBorders>
            <w:shd w:val="clear" w:color="000000" w:fill="00CC99"/>
            <w:noWrap/>
            <w:vAlign w:val="center"/>
            <w:hideMark/>
          </w:tcPr>
          <w:p w14:paraId="3B1A8CD9"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5140" w:type="dxa"/>
            <w:tcBorders>
              <w:top w:val="nil"/>
              <w:left w:val="nil"/>
              <w:bottom w:val="single" w:sz="4" w:space="0" w:color="auto"/>
              <w:right w:val="nil"/>
            </w:tcBorders>
            <w:shd w:val="clear" w:color="000000" w:fill="00CC99"/>
            <w:noWrap/>
            <w:vAlign w:val="center"/>
            <w:hideMark/>
          </w:tcPr>
          <w:p w14:paraId="049A3C79"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1012" w:type="dxa"/>
            <w:tcBorders>
              <w:top w:val="nil"/>
              <w:left w:val="nil"/>
              <w:bottom w:val="single" w:sz="4" w:space="0" w:color="auto"/>
              <w:right w:val="single" w:sz="4" w:space="0" w:color="auto"/>
            </w:tcBorders>
            <w:shd w:val="clear" w:color="000000" w:fill="00CC99"/>
            <w:noWrap/>
            <w:vAlign w:val="center"/>
            <w:hideMark/>
          </w:tcPr>
          <w:p w14:paraId="2C0EA70E"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£'000</w:t>
            </w:r>
          </w:p>
        </w:tc>
      </w:tr>
      <w:tr w:rsidR="00EE32C9" w:rsidRPr="00EE32C9" w14:paraId="3E2A47AC" w14:textId="77777777" w:rsidTr="00EE32C9">
        <w:trPr>
          <w:trHeight w:val="315"/>
        </w:trPr>
        <w:tc>
          <w:tcPr>
            <w:tcW w:w="1012" w:type="dxa"/>
            <w:tcBorders>
              <w:top w:val="nil"/>
              <w:left w:val="single" w:sz="4" w:space="0" w:color="auto"/>
              <w:bottom w:val="nil"/>
              <w:right w:val="nil"/>
            </w:tcBorders>
            <w:shd w:val="clear" w:color="auto" w:fill="auto"/>
            <w:noWrap/>
            <w:vAlign w:val="center"/>
            <w:hideMark/>
          </w:tcPr>
          <w:p w14:paraId="25F245D4"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960" w:type="dxa"/>
            <w:tcBorders>
              <w:top w:val="nil"/>
              <w:left w:val="nil"/>
              <w:bottom w:val="nil"/>
              <w:right w:val="nil"/>
            </w:tcBorders>
            <w:shd w:val="clear" w:color="auto" w:fill="auto"/>
            <w:noWrap/>
            <w:vAlign w:val="center"/>
            <w:hideMark/>
          </w:tcPr>
          <w:p w14:paraId="5A6D99F9" w14:textId="77777777" w:rsidR="00EE32C9" w:rsidRPr="00EE32C9" w:rsidRDefault="00EE32C9" w:rsidP="00EE32C9">
            <w:pPr>
              <w:jc w:val="center"/>
              <w:rPr>
                <w:rFonts w:ascii="Arial" w:hAnsi="Arial" w:cs="Arial"/>
                <w:b/>
                <w:bCs/>
                <w:color w:val="000000"/>
                <w:sz w:val="22"/>
                <w:szCs w:val="22"/>
                <w:lang w:val="en-GB" w:eastAsia="en-GB"/>
              </w:rPr>
            </w:pPr>
          </w:p>
        </w:tc>
        <w:tc>
          <w:tcPr>
            <w:tcW w:w="5140" w:type="dxa"/>
            <w:tcBorders>
              <w:top w:val="nil"/>
              <w:left w:val="nil"/>
              <w:bottom w:val="nil"/>
              <w:right w:val="nil"/>
            </w:tcBorders>
            <w:shd w:val="clear" w:color="auto" w:fill="auto"/>
            <w:noWrap/>
            <w:vAlign w:val="center"/>
            <w:hideMark/>
          </w:tcPr>
          <w:p w14:paraId="39B8DBFF" w14:textId="77777777" w:rsidR="00EE32C9" w:rsidRPr="00EE32C9" w:rsidRDefault="00EE32C9" w:rsidP="00EE32C9">
            <w:pPr>
              <w:jc w:val="center"/>
              <w:rPr>
                <w:lang w:val="en-GB" w:eastAsia="en-GB"/>
              </w:rPr>
            </w:pPr>
          </w:p>
        </w:tc>
        <w:tc>
          <w:tcPr>
            <w:tcW w:w="1012" w:type="dxa"/>
            <w:tcBorders>
              <w:top w:val="nil"/>
              <w:left w:val="nil"/>
              <w:bottom w:val="nil"/>
              <w:right w:val="single" w:sz="4" w:space="0" w:color="auto"/>
            </w:tcBorders>
            <w:shd w:val="clear" w:color="auto" w:fill="auto"/>
            <w:noWrap/>
            <w:vAlign w:val="center"/>
            <w:hideMark/>
          </w:tcPr>
          <w:p w14:paraId="03DC86C1"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r>
      <w:tr w:rsidR="00EE32C9" w:rsidRPr="00EE32C9" w14:paraId="1420DBF9" w14:textId="77777777" w:rsidTr="00EE32C9">
        <w:trPr>
          <w:trHeight w:val="330"/>
        </w:trPr>
        <w:tc>
          <w:tcPr>
            <w:tcW w:w="1012" w:type="dxa"/>
            <w:tcBorders>
              <w:top w:val="nil"/>
              <w:left w:val="single" w:sz="4" w:space="0" w:color="auto"/>
              <w:bottom w:val="nil"/>
              <w:right w:val="nil"/>
            </w:tcBorders>
            <w:shd w:val="clear" w:color="auto" w:fill="auto"/>
            <w:noWrap/>
            <w:vAlign w:val="bottom"/>
            <w:hideMark/>
          </w:tcPr>
          <w:p w14:paraId="770C55BE"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 xml:space="preserve">3,745 </w:t>
            </w:r>
          </w:p>
        </w:tc>
        <w:tc>
          <w:tcPr>
            <w:tcW w:w="960" w:type="dxa"/>
            <w:tcBorders>
              <w:top w:val="nil"/>
              <w:left w:val="nil"/>
              <w:bottom w:val="nil"/>
              <w:right w:val="nil"/>
            </w:tcBorders>
            <w:shd w:val="clear" w:color="auto" w:fill="auto"/>
            <w:noWrap/>
            <w:vAlign w:val="bottom"/>
            <w:hideMark/>
          </w:tcPr>
          <w:p w14:paraId="2F424612"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LBWF</w:t>
            </w:r>
          </w:p>
        </w:tc>
        <w:tc>
          <w:tcPr>
            <w:tcW w:w="5140" w:type="dxa"/>
            <w:tcBorders>
              <w:top w:val="nil"/>
              <w:left w:val="nil"/>
              <w:bottom w:val="nil"/>
              <w:right w:val="nil"/>
            </w:tcBorders>
            <w:shd w:val="clear" w:color="auto" w:fill="auto"/>
            <w:noWrap/>
            <w:vAlign w:val="bottom"/>
            <w:hideMark/>
          </w:tcPr>
          <w:p w14:paraId="1C86F7AF" w14:textId="77777777" w:rsidR="00EE32C9" w:rsidRPr="00EE32C9" w:rsidRDefault="00EE32C9" w:rsidP="00EE32C9">
            <w:pPr>
              <w:rPr>
                <w:rFonts w:ascii="Arial" w:hAnsi="Arial" w:cs="Arial"/>
                <w:color w:val="000000"/>
                <w:sz w:val="22"/>
                <w:szCs w:val="22"/>
                <w:lang w:val="en-GB" w:eastAsia="en-GB"/>
              </w:rPr>
            </w:pPr>
          </w:p>
        </w:tc>
        <w:tc>
          <w:tcPr>
            <w:tcW w:w="1012" w:type="dxa"/>
            <w:tcBorders>
              <w:top w:val="single" w:sz="12" w:space="0" w:color="FFFFFF"/>
              <w:left w:val="nil"/>
              <w:bottom w:val="single" w:sz="12" w:space="0" w:color="FFFFFF"/>
              <w:right w:val="single" w:sz="4" w:space="0" w:color="auto"/>
            </w:tcBorders>
            <w:shd w:val="clear" w:color="auto" w:fill="auto"/>
            <w:noWrap/>
            <w:vAlign w:val="bottom"/>
            <w:hideMark/>
          </w:tcPr>
          <w:p w14:paraId="00D8B192"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5,834</w:t>
            </w:r>
          </w:p>
        </w:tc>
      </w:tr>
      <w:tr w:rsidR="00EE32C9" w:rsidRPr="00EE32C9" w14:paraId="5124344F" w14:textId="77777777" w:rsidTr="00EE32C9">
        <w:trPr>
          <w:trHeight w:val="330"/>
        </w:trPr>
        <w:tc>
          <w:tcPr>
            <w:tcW w:w="1012" w:type="dxa"/>
            <w:tcBorders>
              <w:top w:val="nil"/>
              <w:left w:val="single" w:sz="4" w:space="0" w:color="auto"/>
              <w:bottom w:val="nil"/>
              <w:right w:val="nil"/>
            </w:tcBorders>
            <w:shd w:val="clear" w:color="auto" w:fill="auto"/>
            <w:noWrap/>
            <w:vAlign w:val="bottom"/>
            <w:hideMark/>
          </w:tcPr>
          <w:p w14:paraId="4BA3A032"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 xml:space="preserve">770 </w:t>
            </w:r>
          </w:p>
        </w:tc>
        <w:tc>
          <w:tcPr>
            <w:tcW w:w="6100" w:type="dxa"/>
            <w:gridSpan w:val="2"/>
            <w:tcBorders>
              <w:top w:val="nil"/>
              <w:left w:val="nil"/>
              <w:bottom w:val="nil"/>
              <w:right w:val="nil"/>
            </w:tcBorders>
            <w:shd w:val="clear" w:color="auto" w:fill="auto"/>
            <w:noWrap/>
            <w:vAlign w:val="bottom"/>
            <w:hideMark/>
          </w:tcPr>
          <w:p w14:paraId="5F45811B"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Scheduled bodies</w:t>
            </w:r>
          </w:p>
        </w:tc>
        <w:tc>
          <w:tcPr>
            <w:tcW w:w="1012" w:type="dxa"/>
            <w:tcBorders>
              <w:top w:val="nil"/>
              <w:left w:val="nil"/>
              <w:bottom w:val="single" w:sz="12" w:space="0" w:color="FFFFFF"/>
              <w:right w:val="single" w:sz="4" w:space="0" w:color="auto"/>
            </w:tcBorders>
            <w:shd w:val="clear" w:color="auto" w:fill="auto"/>
            <w:noWrap/>
            <w:vAlign w:val="bottom"/>
            <w:hideMark/>
          </w:tcPr>
          <w:p w14:paraId="0876D05D"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898</w:t>
            </w:r>
          </w:p>
        </w:tc>
      </w:tr>
      <w:tr w:rsidR="00EE32C9" w:rsidRPr="00EE32C9" w14:paraId="1E30C470" w14:textId="77777777" w:rsidTr="00EE32C9">
        <w:trPr>
          <w:trHeight w:val="315"/>
        </w:trPr>
        <w:tc>
          <w:tcPr>
            <w:tcW w:w="1012" w:type="dxa"/>
            <w:tcBorders>
              <w:top w:val="nil"/>
              <w:left w:val="single" w:sz="4" w:space="0" w:color="auto"/>
              <w:bottom w:val="single" w:sz="4" w:space="0" w:color="auto"/>
              <w:right w:val="nil"/>
            </w:tcBorders>
            <w:shd w:val="clear" w:color="auto" w:fill="auto"/>
            <w:noWrap/>
            <w:vAlign w:val="bottom"/>
            <w:hideMark/>
          </w:tcPr>
          <w:p w14:paraId="74F7A133" w14:textId="77777777" w:rsidR="00EE32C9" w:rsidRPr="00EE32C9" w:rsidRDefault="00EE32C9" w:rsidP="00EE32C9">
            <w:pPr>
              <w:rPr>
                <w:rFonts w:ascii="Arial" w:hAnsi="Arial" w:cs="Arial"/>
                <w:sz w:val="22"/>
                <w:szCs w:val="22"/>
                <w:lang w:val="en-GB" w:eastAsia="en-GB"/>
              </w:rPr>
            </w:pPr>
            <w:r w:rsidRPr="00EE32C9">
              <w:rPr>
                <w:rFonts w:ascii="Arial" w:hAnsi="Arial" w:cs="Arial"/>
                <w:sz w:val="22"/>
                <w:szCs w:val="22"/>
                <w:lang w:val="en-GB" w:eastAsia="en-GB"/>
              </w:rPr>
              <w:t> </w:t>
            </w:r>
          </w:p>
        </w:tc>
        <w:tc>
          <w:tcPr>
            <w:tcW w:w="6100" w:type="dxa"/>
            <w:gridSpan w:val="2"/>
            <w:tcBorders>
              <w:top w:val="nil"/>
              <w:left w:val="nil"/>
              <w:bottom w:val="nil"/>
              <w:right w:val="nil"/>
            </w:tcBorders>
            <w:shd w:val="clear" w:color="auto" w:fill="auto"/>
            <w:noWrap/>
            <w:vAlign w:val="bottom"/>
            <w:hideMark/>
          </w:tcPr>
          <w:p w14:paraId="5AF00DF3"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Admitted Bodies</w:t>
            </w:r>
          </w:p>
        </w:tc>
        <w:tc>
          <w:tcPr>
            <w:tcW w:w="1012" w:type="dxa"/>
            <w:tcBorders>
              <w:top w:val="nil"/>
              <w:left w:val="nil"/>
              <w:bottom w:val="single" w:sz="4" w:space="0" w:color="auto"/>
              <w:right w:val="single" w:sz="4" w:space="0" w:color="auto"/>
            </w:tcBorders>
            <w:shd w:val="clear" w:color="auto" w:fill="auto"/>
            <w:noWrap/>
            <w:vAlign w:val="bottom"/>
            <w:hideMark/>
          </w:tcPr>
          <w:p w14:paraId="4653F6D3"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 xml:space="preserve">3 </w:t>
            </w:r>
          </w:p>
        </w:tc>
      </w:tr>
      <w:tr w:rsidR="00EE32C9" w:rsidRPr="00EE32C9" w14:paraId="4D761333" w14:textId="77777777" w:rsidTr="00EE32C9">
        <w:trPr>
          <w:trHeight w:val="300"/>
        </w:trPr>
        <w:tc>
          <w:tcPr>
            <w:tcW w:w="1012" w:type="dxa"/>
            <w:tcBorders>
              <w:top w:val="single" w:sz="4" w:space="0" w:color="auto"/>
              <w:left w:val="single" w:sz="4" w:space="0" w:color="auto"/>
              <w:bottom w:val="single" w:sz="4" w:space="0" w:color="auto"/>
              <w:right w:val="nil"/>
            </w:tcBorders>
            <w:shd w:val="clear" w:color="auto" w:fill="auto"/>
            <w:noWrap/>
            <w:vAlign w:val="bottom"/>
            <w:hideMark/>
          </w:tcPr>
          <w:p w14:paraId="4FECB09D" w14:textId="77777777" w:rsidR="00EE32C9" w:rsidRPr="00EE32C9" w:rsidRDefault="00EE32C9" w:rsidP="00EE32C9">
            <w:pPr>
              <w:jc w:val="right"/>
              <w:rPr>
                <w:rFonts w:ascii="Arial" w:hAnsi="Arial" w:cs="Arial"/>
                <w:b/>
                <w:bCs/>
                <w:sz w:val="22"/>
                <w:szCs w:val="22"/>
                <w:lang w:val="en-GB" w:eastAsia="en-GB"/>
              </w:rPr>
            </w:pPr>
            <w:r w:rsidRPr="00EE32C9">
              <w:rPr>
                <w:rFonts w:ascii="Arial" w:hAnsi="Arial" w:cs="Arial"/>
                <w:b/>
                <w:bCs/>
                <w:sz w:val="22"/>
                <w:szCs w:val="22"/>
                <w:lang w:val="en-GB" w:eastAsia="en-GB"/>
              </w:rPr>
              <w:t xml:space="preserve">    4,515 </w:t>
            </w:r>
          </w:p>
        </w:tc>
        <w:tc>
          <w:tcPr>
            <w:tcW w:w="960" w:type="dxa"/>
            <w:tcBorders>
              <w:top w:val="nil"/>
              <w:left w:val="nil"/>
              <w:bottom w:val="single" w:sz="4" w:space="0" w:color="auto"/>
              <w:right w:val="nil"/>
            </w:tcBorders>
            <w:shd w:val="clear" w:color="auto" w:fill="auto"/>
            <w:noWrap/>
            <w:vAlign w:val="bottom"/>
            <w:hideMark/>
          </w:tcPr>
          <w:p w14:paraId="46404C27"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Total</w:t>
            </w:r>
          </w:p>
        </w:tc>
        <w:tc>
          <w:tcPr>
            <w:tcW w:w="5140" w:type="dxa"/>
            <w:tcBorders>
              <w:top w:val="nil"/>
              <w:left w:val="nil"/>
              <w:bottom w:val="single" w:sz="4" w:space="0" w:color="auto"/>
              <w:right w:val="nil"/>
            </w:tcBorders>
            <w:shd w:val="clear" w:color="auto" w:fill="auto"/>
            <w:noWrap/>
            <w:vAlign w:val="bottom"/>
            <w:hideMark/>
          </w:tcPr>
          <w:p w14:paraId="2BB65B32"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0DD55DA4" w14:textId="77777777" w:rsidR="00EE32C9" w:rsidRPr="00EE32C9" w:rsidRDefault="00EE32C9" w:rsidP="00EE32C9">
            <w:pPr>
              <w:jc w:val="right"/>
              <w:rPr>
                <w:rFonts w:ascii="Arial" w:hAnsi="Arial" w:cs="Arial"/>
                <w:b/>
                <w:bCs/>
                <w:sz w:val="22"/>
                <w:szCs w:val="22"/>
                <w:lang w:val="en-GB" w:eastAsia="en-GB"/>
              </w:rPr>
            </w:pPr>
            <w:r w:rsidRPr="00EE32C9">
              <w:rPr>
                <w:rFonts w:ascii="Arial" w:hAnsi="Arial" w:cs="Arial"/>
                <w:b/>
                <w:bCs/>
                <w:sz w:val="22"/>
                <w:szCs w:val="22"/>
                <w:lang w:val="en-GB" w:eastAsia="en-GB"/>
              </w:rPr>
              <w:t xml:space="preserve">    6,735 </w:t>
            </w:r>
          </w:p>
        </w:tc>
      </w:tr>
    </w:tbl>
    <w:p w14:paraId="3C198216" w14:textId="77777777" w:rsidR="00933FA8" w:rsidRDefault="00933FA8" w:rsidP="00990685">
      <w:pPr>
        <w:spacing w:after="200" w:line="276" w:lineRule="auto"/>
        <w:ind w:right="74"/>
        <w:jc w:val="both"/>
        <w:rPr>
          <w:rFonts w:ascii="Arial" w:eastAsia="Arial" w:hAnsi="Arial" w:cs="Arial"/>
          <w:b/>
          <w:bCs/>
          <w:sz w:val="22"/>
          <w:szCs w:val="22"/>
        </w:rPr>
      </w:pPr>
    </w:p>
    <w:p w14:paraId="64D2B4B6" w14:textId="5F117745" w:rsidR="009C7422" w:rsidRPr="00990685" w:rsidRDefault="001706EB" w:rsidP="00990685">
      <w:pPr>
        <w:spacing w:after="200" w:line="276" w:lineRule="auto"/>
        <w:ind w:right="74"/>
        <w:jc w:val="both"/>
        <w:rPr>
          <w:rFonts w:ascii="Arial" w:eastAsia="Arial" w:hAnsi="Arial" w:cs="Arial"/>
          <w:b/>
          <w:bCs/>
          <w:sz w:val="22"/>
          <w:szCs w:val="22"/>
        </w:rPr>
      </w:pPr>
      <w:r w:rsidRPr="00990685">
        <w:rPr>
          <w:rFonts w:ascii="Arial" w:eastAsia="Arial" w:hAnsi="Arial" w:cs="Arial"/>
          <w:b/>
          <w:bCs/>
          <w:sz w:val="22"/>
          <w:szCs w:val="22"/>
        </w:rPr>
        <w:t>NOTE 9: BENEFITS PAYABLE</w:t>
      </w:r>
    </w:p>
    <w:p w14:paraId="026BA60D" w14:textId="08F260BE" w:rsidR="009C7422" w:rsidRDefault="00990685" w:rsidP="00990685">
      <w:pPr>
        <w:spacing w:after="200" w:line="276" w:lineRule="auto"/>
        <w:ind w:right="74"/>
        <w:jc w:val="both"/>
        <w:rPr>
          <w:rFonts w:ascii="Arial" w:eastAsia="Arial" w:hAnsi="Arial" w:cs="Arial"/>
          <w:sz w:val="22"/>
          <w:szCs w:val="22"/>
        </w:rPr>
      </w:pPr>
      <w:r>
        <w:rPr>
          <w:rFonts w:ascii="Arial" w:eastAsia="Arial" w:hAnsi="Arial" w:cs="Arial"/>
          <w:sz w:val="22"/>
          <w:szCs w:val="22"/>
        </w:rPr>
        <w:t>By category</w:t>
      </w:r>
    </w:p>
    <w:tbl>
      <w:tblPr>
        <w:tblW w:w="8020" w:type="dxa"/>
        <w:tblLook w:val="04A0" w:firstRow="1" w:lastRow="0" w:firstColumn="1" w:lastColumn="0" w:noHBand="0" w:noVBand="1"/>
      </w:tblPr>
      <w:tblGrid>
        <w:gridCol w:w="1012"/>
        <w:gridCol w:w="960"/>
        <w:gridCol w:w="5140"/>
        <w:gridCol w:w="1012"/>
      </w:tblGrid>
      <w:tr w:rsidR="00EE32C9" w:rsidRPr="00EE32C9" w14:paraId="53417157" w14:textId="77777777" w:rsidTr="00EE32C9">
        <w:trPr>
          <w:trHeight w:val="300"/>
        </w:trPr>
        <w:tc>
          <w:tcPr>
            <w:tcW w:w="960" w:type="dxa"/>
            <w:tcBorders>
              <w:top w:val="single" w:sz="4" w:space="0" w:color="auto"/>
              <w:left w:val="single" w:sz="4" w:space="0" w:color="auto"/>
              <w:bottom w:val="nil"/>
              <w:right w:val="nil"/>
            </w:tcBorders>
            <w:shd w:val="clear" w:color="000000" w:fill="00CC99"/>
            <w:vAlign w:val="center"/>
            <w:hideMark/>
          </w:tcPr>
          <w:p w14:paraId="355197D8"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2018/19</w:t>
            </w:r>
          </w:p>
        </w:tc>
        <w:tc>
          <w:tcPr>
            <w:tcW w:w="960" w:type="dxa"/>
            <w:tcBorders>
              <w:top w:val="single" w:sz="4" w:space="0" w:color="auto"/>
              <w:left w:val="nil"/>
              <w:bottom w:val="nil"/>
              <w:right w:val="nil"/>
            </w:tcBorders>
            <w:shd w:val="clear" w:color="000000" w:fill="00CC99"/>
            <w:vAlign w:val="center"/>
            <w:hideMark/>
          </w:tcPr>
          <w:p w14:paraId="163B066C"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5140" w:type="dxa"/>
            <w:tcBorders>
              <w:top w:val="single" w:sz="4" w:space="0" w:color="auto"/>
              <w:left w:val="nil"/>
              <w:bottom w:val="nil"/>
              <w:right w:val="nil"/>
            </w:tcBorders>
            <w:shd w:val="clear" w:color="000000" w:fill="00CC99"/>
            <w:vAlign w:val="center"/>
            <w:hideMark/>
          </w:tcPr>
          <w:p w14:paraId="7172259D"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960" w:type="dxa"/>
            <w:tcBorders>
              <w:top w:val="single" w:sz="4" w:space="0" w:color="auto"/>
              <w:left w:val="nil"/>
              <w:bottom w:val="nil"/>
              <w:right w:val="single" w:sz="4" w:space="0" w:color="auto"/>
            </w:tcBorders>
            <w:shd w:val="clear" w:color="000000" w:fill="00CC99"/>
            <w:vAlign w:val="center"/>
            <w:hideMark/>
          </w:tcPr>
          <w:p w14:paraId="4319E3B5"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2019/20</w:t>
            </w:r>
          </w:p>
        </w:tc>
      </w:tr>
      <w:tr w:rsidR="00EE32C9" w:rsidRPr="00EE32C9" w14:paraId="72EF6EC9" w14:textId="77777777" w:rsidTr="00EE32C9">
        <w:trPr>
          <w:trHeight w:val="300"/>
        </w:trPr>
        <w:tc>
          <w:tcPr>
            <w:tcW w:w="960" w:type="dxa"/>
            <w:tcBorders>
              <w:top w:val="nil"/>
              <w:left w:val="single" w:sz="4" w:space="0" w:color="auto"/>
              <w:bottom w:val="single" w:sz="4" w:space="0" w:color="auto"/>
              <w:right w:val="nil"/>
            </w:tcBorders>
            <w:shd w:val="clear" w:color="000000" w:fill="00CC99"/>
            <w:noWrap/>
            <w:vAlign w:val="center"/>
            <w:hideMark/>
          </w:tcPr>
          <w:p w14:paraId="10A6079A"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£'000</w:t>
            </w:r>
          </w:p>
        </w:tc>
        <w:tc>
          <w:tcPr>
            <w:tcW w:w="960" w:type="dxa"/>
            <w:tcBorders>
              <w:top w:val="nil"/>
              <w:left w:val="nil"/>
              <w:bottom w:val="single" w:sz="4" w:space="0" w:color="auto"/>
              <w:right w:val="nil"/>
            </w:tcBorders>
            <w:shd w:val="clear" w:color="000000" w:fill="00CC99"/>
            <w:noWrap/>
            <w:vAlign w:val="center"/>
            <w:hideMark/>
          </w:tcPr>
          <w:p w14:paraId="4C7E4F20"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5140" w:type="dxa"/>
            <w:tcBorders>
              <w:top w:val="nil"/>
              <w:left w:val="nil"/>
              <w:bottom w:val="single" w:sz="4" w:space="0" w:color="auto"/>
              <w:right w:val="nil"/>
            </w:tcBorders>
            <w:shd w:val="clear" w:color="000000" w:fill="00CC99"/>
            <w:noWrap/>
            <w:vAlign w:val="center"/>
            <w:hideMark/>
          </w:tcPr>
          <w:p w14:paraId="24AE5099"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000000" w:fill="00CC99"/>
            <w:noWrap/>
            <w:vAlign w:val="center"/>
            <w:hideMark/>
          </w:tcPr>
          <w:p w14:paraId="4E56CC7B"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£'000</w:t>
            </w:r>
          </w:p>
        </w:tc>
      </w:tr>
      <w:tr w:rsidR="00EE32C9" w:rsidRPr="00EE32C9" w14:paraId="2DEE4B31" w14:textId="77777777" w:rsidTr="00EE32C9">
        <w:trPr>
          <w:trHeight w:val="315"/>
        </w:trPr>
        <w:tc>
          <w:tcPr>
            <w:tcW w:w="960" w:type="dxa"/>
            <w:tcBorders>
              <w:top w:val="nil"/>
              <w:left w:val="single" w:sz="4" w:space="0" w:color="auto"/>
              <w:bottom w:val="nil"/>
              <w:right w:val="nil"/>
            </w:tcBorders>
            <w:shd w:val="clear" w:color="auto" w:fill="auto"/>
            <w:noWrap/>
            <w:vAlign w:val="center"/>
            <w:hideMark/>
          </w:tcPr>
          <w:p w14:paraId="667A08A2"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960" w:type="dxa"/>
            <w:tcBorders>
              <w:top w:val="nil"/>
              <w:left w:val="nil"/>
              <w:bottom w:val="nil"/>
              <w:right w:val="nil"/>
            </w:tcBorders>
            <w:shd w:val="clear" w:color="auto" w:fill="auto"/>
            <w:noWrap/>
            <w:vAlign w:val="center"/>
            <w:hideMark/>
          </w:tcPr>
          <w:p w14:paraId="72AA132E" w14:textId="77777777" w:rsidR="00EE32C9" w:rsidRPr="00EE32C9" w:rsidRDefault="00EE32C9" w:rsidP="00EE32C9">
            <w:pPr>
              <w:jc w:val="center"/>
              <w:rPr>
                <w:rFonts w:ascii="Arial" w:hAnsi="Arial" w:cs="Arial"/>
                <w:b/>
                <w:bCs/>
                <w:color w:val="000000"/>
                <w:sz w:val="22"/>
                <w:szCs w:val="22"/>
                <w:lang w:val="en-GB" w:eastAsia="en-GB"/>
              </w:rPr>
            </w:pPr>
          </w:p>
        </w:tc>
        <w:tc>
          <w:tcPr>
            <w:tcW w:w="5140" w:type="dxa"/>
            <w:tcBorders>
              <w:top w:val="nil"/>
              <w:left w:val="nil"/>
              <w:bottom w:val="nil"/>
              <w:right w:val="nil"/>
            </w:tcBorders>
            <w:shd w:val="clear" w:color="auto" w:fill="auto"/>
            <w:noWrap/>
            <w:vAlign w:val="center"/>
            <w:hideMark/>
          </w:tcPr>
          <w:p w14:paraId="01AEADDF" w14:textId="77777777" w:rsidR="00EE32C9" w:rsidRPr="00EE32C9" w:rsidRDefault="00EE32C9" w:rsidP="00EE32C9">
            <w:pPr>
              <w:jc w:val="center"/>
              <w:rPr>
                <w:lang w:val="en-GB" w:eastAsia="en-GB"/>
              </w:rPr>
            </w:pPr>
          </w:p>
        </w:tc>
        <w:tc>
          <w:tcPr>
            <w:tcW w:w="960" w:type="dxa"/>
            <w:tcBorders>
              <w:top w:val="nil"/>
              <w:left w:val="nil"/>
              <w:bottom w:val="nil"/>
              <w:right w:val="single" w:sz="4" w:space="0" w:color="auto"/>
            </w:tcBorders>
            <w:shd w:val="clear" w:color="auto" w:fill="auto"/>
            <w:noWrap/>
            <w:vAlign w:val="center"/>
            <w:hideMark/>
          </w:tcPr>
          <w:p w14:paraId="2550F5B1"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r>
      <w:tr w:rsidR="00EE32C9" w:rsidRPr="00EE32C9" w14:paraId="7DF4C838" w14:textId="77777777" w:rsidTr="00EE32C9">
        <w:trPr>
          <w:trHeight w:val="330"/>
        </w:trPr>
        <w:tc>
          <w:tcPr>
            <w:tcW w:w="960" w:type="dxa"/>
            <w:tcBorders>
              <w:top w:val="nil"/>
              <w:left w:val="single" w:sz="4" w:space="0" w:color="auto"/>
              <w:bottom w:val="nil"/>
              <w:right w:val="nil"/>
            </w:tcBorders>
            <w:shd w:val="clear" w:color="auto" w:fill="auto"/>
            <w:noWrap/>
            <w:vAlign w:val="bottom"/>
            <w:hideMark/>
          </w:tcPr>
          <w:p w14:paraId="29C750A6"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 xml:space="preserve">35,735 </w:t>
            </w:r>
          </w:p>
        </w:tc>
        <w:tc>
          <w:tcPr>
            <w:tcW w:w="6100" w:type="dxa"/>
            <w:gridSpan w:val="2"/>
            <w:tcBorders>
              <w:top w:val="nil"/>
              <w:left w:val="nil"/>
              <w:bottom w:val="nil"/>
              <w:right w:val="nil"/>
            </w:tcBorders>
            <w:shd w:val="clear" w:color="auto" w:fill="auto"/>
            <w:noWrap/>
            <w:vAlign w:val="bottom"/>
            <w:hideMark/>
          </w:tcPr>
          <w:p w14:paraId="5E6DAC78"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Pensions</w:t>
            </w:r>
          </w:p>
        </w:tc>
        <w:tc>
          <w:tcPr>
            <w:tcW w:w="960" w:type="dxa"/>
            <w:tcBorders>
              <w:top w:val="single" w:sz="12" w:space="0" w:color="FFFFFF"/>
              <w:left w:val="nil"/>
              <w:bottom w:val="single" w:sz="12" w:space="0" w:color="FFFFFF"/>
              <w:right w:val="single" w:sz="4" w:space="0" w:color="auto"/>
            </w:tcBorders>
            <w:shd w:val="clear" w:color="auto" w:fill="auto"/>
            <w:noWrap/>
            <w:vAlign w:val="bottom"/>
            <w:hideMark/>
          </w:tcPr>
          <w:p w14:paraId="307E7254"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37,775</w:t>
            </w:r>
          </w:p>
        </w:tc>
      </w:tr>
      <w:tr w:rsidR="00EE32C9" w:rsidRPr="00EE32C9" w14:paraId="35E998D8" w14:textId="77777777" w:rsidTr="00EE32C9">
        <w:trPr>
          <w:trHeight w:val="330"/>
        </w:trPr>
        <w:tc>
          <w:tcPr>
            <w:tcW w:w="960" w:type="dxa"/>
            <w:tcBorders>
              <w:top w:val="nil"/>
              <w:left w:val="single" w:sz="4" w:space="0" w:color="auto"/>
              <w:bottom w:val="nil"/>
              <w:right w:val="nil"/>
            </w:tcBorders>
            <w:shd w:val="clear" w:color="auto" w:fill="auto"/>
            <w:noWrap/>
            <w:vAlign w:val="bottom"/>
            <w:hideMark/>
          </w:tcPr>
          <w:p w14:paraId="32B20607"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 xml:space="preserve">7,406 </w:t>
            </w:r>
          </w:p>
        </w:tc>
        <w:tc>
          <w:tcPr>
            <w:tcW w:w="6100" w:type="dxa"/>
            <w:gridSpan w:val="2"/>
            <w:tcBorders>
              <w:top w:val="nil"/>
              <w:left w:val="nil"/>
              <w:bottom w:val="nil"/>
              <w:right w:val="nil"/>
            </w:tcBorders>
            <w:shd w:val="clear" w:color="auto" w:fill="auto"/>
            <w:noWrap/>
            <w:vAlign w:val="bottom"/>
            <w:hideMark/>
          </w:tcPr>
          <w:p w14:paraId="729E13C8"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Commutation and lump sum retirement benefits</w:t>
            </w:r>
          </w:p>
        </w:tc>
        <w:tc>
          <w:tcPr>
            <w:tcW w:w="960" w:type="dxa"/>
            <w:tcBorders>
              <w:top w:val="nil"/>
              <w:left w:val="nil"/>
              <w:bottom w:val="single" w:sz="12" w:space="0" w:color="FFFFFF"/>
              <w:right w:val="single" w:sz="4" w:space="0" w:color="auto"/>
            </w:tcBorders>
            <w:shd w:val="clear" w:color="auto" w:fill="auto"/>
            <w:noWrap/>
            <w:vAlign w:val="bottom"/>
            <w:hideMark/>
          </w:tcPr>
          <w:p w14:paraId="3569C64F"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8,027</w:t>
            </w:r>
          </w:p>
        </w:tc>
      </w:tr>
      <w:tr w:rsidR="00EE32C9" w:rsidRPr="00EE32C9" w14:paraId="31585352" w14:textId="77777777" w:rsidTr="00EE32C9">
        <w:trPr>
          <w:trHeight w:val="330"/>
        </w:trPr>
        <w:tc>
          <w:tcPr>
            <w:tcW w:w="960" w:type="dxa"/>
            <w:tcBorders>
              <w:top w:val="nil"/>
              <w:left w:val="single" w:sz="4" w:space="0" w:color="auto"/>
              <w:bottom w:val="nil"/>
              <w:right w:val="nil"/>
            </w:tcBorders>
            <w:shd w:val="clear" w:color="auto" w:fill="auto"/>
            <w:noWrap/>
            <w:vAlign w:val="bottom"/>
            <w:hideMark/>
          </w:tcPr>
          <w:p w14:paraId="5D996FA2"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 xml:space="preserve">869 </w:t>
            </w:r>
          </w:p>
        </w:tc>
        <w:tc>
          <w:tcPr>
            <w:tcW w:w="6100" w:type="dxa"/>
            <w:gridSpan w:val="2"/>
            <w:tcBorders>
              <w:top w:val="nil"/>
              <w:left w:val="nil"/>
              <w:bottom w:val="nil"/>
              <w:right w:val="nil"/>
            </w:tcBorders>
            <w:shd w:val="clear" w:color="auto" w:fill="auto"/>
            <w:noWrap/>
            <w:vAlign w:val="bottom"/>
            <w:hideMark/>
          </w:tcPr>
          <w:p w14:paraId="625C7989"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Lump sum death benefits</w:t>
            </w:r>
          </w:p>
        </w:tc>
        <w:tc>
          <w:tcPr>
            <w:tcW w:w="960" w:type="dxa"/>
            <w:tcBorders>
              <w:top w:val="nil"/>
              <w:left w:val="nil"/>
              <w:bottom w:val="single" w:sz="12" w:space="0" w:color="FFFFFF"/>
              <w:right w:val="single" w:sz="4" w:space="0" w:color="auto"/>
            </w:tcBorders>
            <w:shd w:val="clear" w:color="auto" w:fill="auto"/>
            <w:noWrap/>
            <w:vAlign w:val="bottom"/>
            <w:hideMark/>
          </w:tcPr>
          <w:p w14:paraId="10AF54E3"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736</w:t>
            </w:r>
          </w:p>
        </w:tc>
      </w:tr>
      <w:tr w:rsidR="00EE32C9" w:rsidRPr="00EE32C9" w14:paraId="037FFA02" w14:textId="77777777" w:rsidTr="00EE32C9">
        <w:trPr>
          <w:trHeight w:val="315"/>
        </w:trPr>
        <w:tc>
          <w:tcPr>
            <w:tcW w:w="960" w:type="dxa"/>
            <w:tcBorders>
              <w:top w:val="nil"/>
              <w:left w:val="single" w:sz="4" w:space="0" w:color="auto"/>
              <w:bottom w:val="single" w:sz="4" w:space="0" w:color="auto"/>
              <w:right w:val="nil"/>
            </w:tcBorders>
            <w:shd w:val="clear" w:color="auto" w:fill="auto"/>
            <w:noWrap/>
            <w:vAlign w:val="bottom"/>
            <w:hideMark/>
          </w:tcPr>
          <w:p w14:paraId="248135E0" w14:textId="77777777" w:rsidR="00EE32C9" w:rsidRPr="00EE32C9" w:rsidRDefault="00EE32C9" w:rsidP="00EE32C9">
            <w:pPr>
              <w:rPr>
                <w:rFonts w:ascii="Arial" w:hAnsi="Arial" w:cs="Arial"/>
                <w:sz w:val="22"/>
                <w:szCs w:val="22"/>
                <w:lang w:val="en-GB" w:eastAsia="en-GB"/>
              </w:rPr>
            </w:pPr>
            <w:r w:rsidRPr="00EE32C9">
              <w:rPr>
                <w:rFonts w:ascii="Arial" w:hAnsi="Arial" w:cs="Arial"/>
                <w:sz w:val="22"/>
                <w:szCs w:val="22"/>
                <w:lang w:val="en-GB" w:eastAsia="en-GB"/>
              </w:rPr>
              <w:t> </w:t>
            </w:r>
          </w:p>
        </w:tc>
        <w:tc>
          <w:tcPr>
            <w:tcW w:w="960" w:type="dxa"/>
            <w:tcBorders>
              <w:top w:val="nil"/>
              <w:left w:val="nil"/>
              <w:bottom w:val="nil"/>
              <w:right w:val="nil"/>
            </w:tcBorders>
            <w:shd w:val="clear" w:color="auto" w:fill="auto"/>
            <w:noWrap/>
            <w:vAlign w:val="bottom"/>
            <w:hideMark/>
          </w:tcPr>
          <w:p w14:paraId="0BFC97FD" w14:textId="77777777" w:rsidR="00EE32C9" w:rsidRPr="00EE32C9" w:rsidRDefault="00EE32C9" w:rsidP="00EE32C9">
            <w:pPr>
              <w:rPr>
                <w:rFonts w:ascii="Arial" w:hAnsi="Arial" w:cs="Arial"/>
                <w:sz w:val="22"/>
                <w:szCs w:val="22"/>
                <w:lang w:val="en-GB" w:eastAsia="en-GB"/>
              </w:rPr>
            </w:pPr>
          </w:p>
        </w:tc>
        <w:tc>
          <w:tcPr>
            <w:tcW w:w="5140" w:type="dxa"/>
            <w:tcBorders>
              <w:top w:val="nil"/>
              <w:left w:val="nil"/>
              <w:bottom w:val="nil"/>
              <w:right w:val="nil"/>
            </w:tcBorders>
            <w:shd w:val="clear" w:color="auto" w:fill="auto"/>
            <w:noWrap/>
            <w:vAlign w:val="bottom"/>
            <w:hideMark/>
          </w:tcPr>
          <w:p w14:paraId="745F6E91" w14:textId="77777777" w:rsidR="00EE32C9" w:rsidRPr="00EE32C9" w:rsidRDefault="00EE32C9" w:rsidP="00EE32C9">
            <w:pPr>
              <w:rPr>
                <w:lang w:val="en-GB"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0C21B095" w14:textId="77777777" w:rsidR="00EE32C9" w:rsidRPr="00EE32C9" w:rsidRDefault="00EE32C9" w:rsidP="00EE32C9">
            <w:pPr>
              <w:rPr>
                <w:rFonts w:ascii="Arial" w:hAnsi="Arial" w:cs="Arial"/>
                <w:sz w:val="22"/>
                <w:szCs w:val="22"/>
                <w:lang w:val="en-GB" w:eastAsia="en-GB"/>
              </w:rPr>
            </w:pPr>
            <w:r w:rsidRPr="00EE32C9">
              <w:rPr>
                <w:rFonts w:ascii="Arial" w:hAnsi="Arial" w:cs="Arial"/>
                <w:sz w:val="22"/>
                <w:szCs w:val="22"/>
                <w:lang w:val="en-GB" w:eastAsia="en-GB"/>
              </w:rPr>
              <w:t> </w:t>
            </w:r>
          </w:p>
        </w:tc>
      </w:tr>
      <w:tr w:rsidR="00EE32C9" w:rsidRPr="00EE32C9" w14:paraId="47CC6082" w14:textId="77777777" w:rsidTr="00EE32C9">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5FA6C2D7" w14:textId="77777777" w:rsidR="00EE32C9" w:rsidRPr="00EE32C9" w:rsidRDefault="00EE32C9" w:rsidP="00EE32C9">
            <w:pPr>
              <w:jc w:val="right"/>
              <w:rPr>
                <w:rFonts w:ascii="Arial" w:hAnsi="Arial" w:cs="Arial"/>
                <w:b/>
                <w:bCs/>
                <w:sz w:val="22"/>
                <w:szCs w:val="22"/>
                <w:lang w:val="en-GB" w:eastAsia="en-GB"/>
              </w:rPr>
            </w:pPr>
            <w:r w:rsidRPr="00EE32C9">
              <w:rPr>
                <w:rFonts w:ascii="Arial" w:hAnsi="Arial" w:cs="Arial"/>
                <w:b/>
                <w:bCs/>
                <w:sz w:val="22"/>
                <w:szCs w:val="22"/>
                <w:lang w:val="en-GB" w:eastAsia="en-GB"/>
              </w:rPr>
              <w:t xml:space="preserve">  44,010 </w:t>
            </w:r>
          </w:p>
        </w:tc>
        <w:tc>
          <w:tcPr>
            <w:tcW w:w="960" w:type="dxa"/>
            <w:tcBorders>
              <w:top w:val="nil"/>
              <w:left w:val="nil"/>
              <w:bottom w:val="single" w:sz="4" w:space="0" w:color="auto"/>
              <w:right w:val="nil"/>
            </w:tcBorders>
            <w:shd w:val="clear" w:color="auto" w:fill="auto"/>
            <w:noWrap/>
            <w:vAlign w:val="bottom"/>
            <w:hideMark/>
          </w:tcPr>
          <w:p w14:paraId="1B8DA114"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Total</w:t>
            </w:r>
          </w:p>
        </w:tc>
        <w:tc>
          <w:tcPr>
            <w:tcW w:w="5140" w:type="dxa"/>
            <w:tcBorders>
              <w:top w:val="nil"/>
              <w:left w:val="nil"/>
              <w:bottom w:val="single" w:sz="4" w:space="0" w:color="auto"/>
              <w:right w:val="nil"/>
            </w:tcBorders>
            <w:shd w:val="clear" w:color="auto" w:fill="auto"/>
            <w:noWrap/>
            <w:vAlign w:val="bottom"/>
            <w:hideMark/>
          </w:tcPr>
          <w:p w14:paraId="2369301E"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567BD0D" w14:textId="77777777" w:rsidR="00EE32C9" w:rsidRPr="00EE32C9" w:rsidRDefault="00EE32C9" w:rsidP="00EE32C9">
            <w:pPr>
              <w:jc w:val="right"/>
              <w:rPr>
                <w:rFonts w:ascii="Arial" w:hAnsi="Arial" w:cs="Arial"/>
                <w:b/>
                <w:bCs/>
                <w:sz w:val="22"/>
                <w:szCs w:val="22"/>
                <w:lang w:val="en-GB" w:eastAsia="en-GB"/>
              </w:rPr>
            </w:pPr>
            <w:r w:rsidRPr="00EE32C9">
              <w:rPr>
                <w:rFonts w:ascii="Arial" w:hAnsi="Arial" w:cs="Arial"/>
                <w:b/>
                <w:bCs/>
                <w:sz w:val="22"/>
                <w:szCs w:val="22"/>
                <w:lang w:val="en-GB" w:eastAsia="en-GB"/>
              </w:rPr>
              <w:t xml:space="preserve">  46,538 </w:t>
            </w:r>
          </w:p>
        </w:tc>
      </w:tr>
    </w:tbl>
    <w:p w14:paraId="0C2F0866" w14:textId="533433A4" w:rsidR="00EE32C9" w:rsidRDefault="00EE32C9" w:rsidP="00990685">
      <w:pPr>
        <w:spacing w:after="200" w:line="276" w:lineRule="auto"/>
        <w:ind w:right="74"/>
        <w:jc w:val="both"/>
        <w:rPr>
          <w:rFonts w:ascii="Arial" w:eastAsia="Arial" w:hAnsi="Arial" w:cs="Arial"/>
          <w:sz w:val="22"/>
          <w:szCs w:val="22"/>
        </w:rPr>
      </w:pPr>
    </w:p>
    <w:p w14:paraId="14AE056E" w14:textId="77777777" w:rsidR="00524ED8" w:rsidRDefault="00524ED8" w:rsidP="00990685">
      <w:pPr>
        <w:spacing w:after="200" w:line="276" w:lineRule="auto"/>
        <w:ind w:right="74"/>
        <w:jc w:val="both"/>
        <w:rPr>
          <w:rFonts w:ascii="Arial" w:eastAsia="Arial" w:hAnsi="Arial" w:cs="Arial"/>
          <w:sz w:val="22"/>
          <w:szCs w:val="22"/>
        </w:rPr>
      </w:pPr>
    </w:p>
    <w:p w14:paraId="5371836F" w14:textId="5BD41ABC" w:rsidR="00990685" w:rsidRDefault="00990685" w:rsidP="00990685">
      <w:pPr>
        <w:spacing w:after="200" w:line="276" w:lineRule="auto"/>
        <w:ind w:right="74"/>
        <w:jc w:val="both"/>
        <w:rPr>
          <w:rFonts w:ascii="Arial" w:eastAsia="Arial" w:hAnsi="Arial" w:cs="Arial"/>
          <w:sz w:val="22"/>
          <w:szCs w:val="22"/>
        </w:rPr>
      </w:pPr>
      <w:r>
        <w:rPr>
          <w:rFonts w:ascii="Arial" w:eastAsia="Arial" w:hAnsi="Arial" w:cs="Arial"/>
          <w:sz w:val="22"/>
          <w:szCs w:val="22"/>
        </w:rPr>
        <w:lastRenderedPageBreak/>
        <w:t>By type of employer</w:t>
      </w:r>
    </w:p>
    <w:tbl>
      <w:tblPr>
        <w:tblW w:w="8020" w:type="dxa"/>
        <w:tblLook w:val="04A0" w:firstRow="1" w:lastRow="0" w:firstColumn="1" w:lastColumn="0" w:noHBand="0" w:noVBand="1"/>
      </w:tblPr>
      <w:tblGrid>
        <w:gridCol w:w="1012"/>
        <w:gridCol w:w="960"/>
        <w:gridCol w:w="5140"/>
        <w:gridCol w:w="1012"/>
      </w:tblGrid>
      <w:tr w:rsidR="00EE32C9" w:rsidRPr="00EE32C9" w14:paraId="7CE8DCB6" w14:textId="77777777" w:rsidTr="00EE32C9">
        <w:trPr>
          <w:trHeight w:val="300"/>
        </w:trPr>
        <w:tc>
          <w:tcPr>
            <w:tcW w:w="960" w:type="dxa"/>
            <w:tcBorders>
              <w:top w:val="single" w:sz="4" w:space="0" w:color="auto"/>
              <w:left w:val="single" w:sz="4" w:space="0" w:color="auto"/>
              <w:bottom w:val="nil"/>
              <w:right w:val="nil"/>
            </w:tcBorders>
            <w:shd w:val="clear" w:color="000000" w:fill="00CC99"/>
            <w:vAlign w:val="center"/>
            <w:hideMark/>
          </w:tcPr>
          <w:p w14:paraId="31C59D4F"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2018/19</w:t>
            </w:r>
          </w:p>
        </w:tc>
        <w:tc>
          <w:tcPr>
            <w:tcW w:w="960" w:type="dxa"/>
            <w:tcBorders>
              <w:top w:val="single" w:sz="4" w:space="0" w:color="auto"/>
              <w:left w:val="nil"/>
              <w:bottom w:val="nil"/>
              <w:right w:val="nil"/>
            </w:tcBorders>
            <w:shd w:val="clear" w:color="000000" w:fill="00CC99"/>
            <w:vAlign w:val="center"/>
            <w:hideMark/>
          </w:tcPr>
          <w:p w14:paraId="0530BA11"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5140" w:type="dxa"/>
            <w:tcBorders>
              <w:top w:val="single" w:sz="4" w:space="0" w:color="auto"/>
              <w:left w:val="nil"/>
              <w:bottom w:val="nil"/>
              <w:right w:val="nil"/>
            </w:tcBorders>
            <w:shd w:val="clear" w:color="000000" w:fill="00CC99"/>
            <w:vAlign w:val="center"/>
            <w:hideMark/>
          </w:tcPr>
          <w:p w14:paraId="395ED3E6"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960" w:type="dxa"/>
            <w:tcBorders>
              <w:top w:val="single" w:sz="4" w:space="0" w:color="auto"/>
              <w:left w:val="nil"/>
              <w:bottom w:val="nil"/>
              <w:right w:val="single" w:sz="4" w:space="0" w:color="auto"/>
            </w:tcBorders>
            <w:shd w:val="clear" w:color="000000" w:fill="00CC99"/>
            <w:vAlign w:val="center"/>
            <w:hideMark/>
          </w:tcPr>
          <w:p w14:paraId="05F40177"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2019/20</w:t>
            </w:r>
          </w:p>
        </w:tc>
      </w:tr>
      <w:tr w:rsidR="00EE32C9" w:rsidRPr="00EE32C9" w14:paraId="3658CD48" w14:textId="77777777" w:rsidTr="00EE32C9">
        <w:trPr>
          <w:trHeight w:val="300"/>
        </w:trPr>
        <w:tc>
          <w:tcPr>
            <w:tcW w:w="960" w:type="dxa"/>
            <w:tcBorders>
              <w:top w:val="nil"/>
              <w:left w:val="single" w:sz="4" w:space="0" w:color="auto"/>
              <w:bottom w:val="single" w:sz="4" w:space="0" w:color="auto"/>
              <w:right w:val="nil"/>
            </w:tcBorders>
            <w:shd w:val="clear" w:color="000000" w:fill="00CC99"/>
            <w:noWrap/>
            <w:vAlign w:val="center"/>
            <w:hideMark/>
          </w:tcPr>
          <w:p w14:paraId="0C6831F3"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£'000</w:t>
            </w:r>
          </w:p>
        </w:tc>
        <w:tc>
          <w:tcPr>
            <w:tcW w:w="960" w:type="dxa"/>
            <w:tcBorders>
              <w:top w:val="nil"/>
              <w:left w:val="nil"/>
              <w:bottom w:val="single" w:sz="4" w:space="0" w:color="auto"/>
              <w:right w:val="nil"/>
            </w:tcBorders>
            <w:shd w:val="clear" w:color="000000" w:fill="00CC99"/>
            <w:noWrap/>
            <w:vAlign w:val="center"/>
            <w:hideMark/>
          </w:tcPr>
          <w:p w14:paraId="1450E643"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5140" w:type="dxa"/>
            <w:tcBorders>
              <w:top w:val="nil"/>
              <w:left w:val="nil"/>
              <w:bottom w:val="single" w:sz="4" w:space="0" w:color="auto"/>
              <w:right w:val="nil"/>
            </w:tcBorders>
            <w:shd w:val="clear" w:color="000000" w:fill="00CC99"/>
            <w:noWrap/>
            <w:vAlign w:val="center"/>
            <w:hideMark/>
          </w:tcPr>
          <w:p w14:paraId="7E9E478B"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000000" w:fill="00CC99"/>
            <w:noWrap/>
            <w:vAlign w:val="center"/>
            <w:hideMark/>
          </w:tcPr>
          <w:p w14:paraId="192B89F9"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£'000</w:t>
            </w:r>
          </w:p>
        </w:tc>
      </w:tr>
      <w:tr w:rsidR="00EE32C9" w:rsidRPr="00EE32C9" w14:paraId="09BAA6D8" w14:textId="77777777" w:rsidTr="00EE32C9">
        <w:trPr>
          <w:trHeight w:val="315"/>
        </w:trPr>
        <w:tc>
          <w:tcPr>
            <w:tcW w:w="960" w:type="dxa"/>
            <w:tcBorders>
              <w:top w:val="nil"/>
              <w:left w:val="single" w:sz="4" w:space="0" w:color="auto"/>
              <w:bottom w:val="nil"/>
              <w:right w:val="nil"/>
            </w:tcBorders>
            <w:shd w:val="clear" w:color="auto" w:fill="auto"/>
            <w:noWrap/>
            <w:vAlign w:val="bottom"/>
            <w:hideMark/>
          </w:tcPr>
          <w:p w14:paraId="07C80300"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c>
          <w:tcPr>
            <w:tcW w:w="960" w:type="dxa"/>
            <w:tcBorders>
              <w:top w:val="nil"/>
              <w:left w:val="nil"/>
              <w:bottom w:val="nil"/>
              <w:right w:val="nil"/>
            </w:tcBorders>
            <w:shd w:val="clear" w:color="auto" w:fill="auto"/>
            <w:noWrap/>
            <w:vAlign w:val="bottom"/>
            <w:hideMark/>
          </w:tcPr>
          <w:p w14:paraId="1F27C130" w14:textId="77777777" w:rsidR="00EE32C9" w:rsidRPr="00EE32C9" w:rsidRDefault="00EE32C9" w:rsidP="00EE32C9">
            <w:pPr>
              <w:jc w:val="center"/>
              <w:rPr>
                <w:rFonts w:ascii="Arial" w:hAnsi="Arial" w:cs="Arial"/>
                <w:b/>
                <w:bCs/>
                <w:color w:val="000000"/>
                <w:sz w:val="22"/>
                <w:szCs w:val="22"/>
                <w:lang w:val="en-GB" w:eastAsia="en-GB"/>
              </w:rPr>
            </w:pPr>
          </w:p>
        </w:tc>
        <w:tc>
          <w:tcPr>
            <w:tcW w:w="5140" w:type="dxa"/>
            <w:tcBorders>
              <w:top w:val="nil"/>
              <w:left w:val="nil"/>
              <w:bottom w:val="nil"/>
              <w:right w:val="nil"/>
            </w:tcBorders>
            <w:shd w:val="clear" w:color="auto" w:fill="auto"/>
            <w:noWrap/>
            <w:vAlign w:val="bottom"/>
            <w:hideMark/>
          </w:tcPr>
          <w:p w14:paraId="532B0C07" w14:textId="77777777" w:rsidR="00EE32C9" w:rsidRPr="00EE32C9" w:rsidRDefault="00EE32C9" w:rsidP="00EE32C9">
            <w:pPr>
              <w:rPr>
                <w:lang w:val="en-GB" w:eastAsia="en-GB"/>
              </w:rPr>
            </w:pPr>
          </w:p>
        </w:tc>
        <w:tc>
          <w:tcPr>
            <w:tcW w:w="960" w:type="dxa"/>
            <w:tcBorders>
              <w:top w:val="nil"/>
              <w:left w:val="nil"/>
              <w:bottom w:val="nil"/>
              <w:right w:val="single" w:sz="4" w:space="0" w:color="auto"/>
            </w:tcBorders>
            <w:shd w:val="clear" w:color="auto" w:fill="auto"/>
            <w:noWrap/>
            <w:vAlign w:val="bottom"/>
            <w:hideMark/>
          </w:tcPr>
          <w:p w14:paraId="35794E39" w14:textId="77777777" w:rsidR="00EE32C9" w:rsidRPr="00EE32C9" w:rsidRDefault="00EE32C9" w:rsidP="00EE32C9">
            <w:pPr>
              <w:jc w:val="center"/>
              <w:rPr>
                <w:rFonts w:ascii="Arial" w:hAnsi="Arial" w:cs="Arial"/>
                <w:b/>
                <w:bCs/>
                <w:color w:val="000000"/>
                <w:sz w:val="22"/>
                <w:szCs w:val="22"/>
                <w:lang w:val="en-GB" w:eastAsia="en-GB"/>
              </w:rPr>
            </w:pPr>
            <w:r w:rsidRPr="00EE32C9">
              <w:rPr>
                <w:rFonts w:ascii="Arial" w:hAnsi="Arial" w:cs="Arial"/>
                <w:b/>
                <w:bCs/>
                <w:color w:val="000000"/>
                <w:sz w:val="22"/>
                <w:szCs w:val="22"/>
                <w:lang w:val="en-GB" w:eastAsia="en-GB"/>
              </w:rPr>
              <w:t> </w:t>
            </w:r>
          </w:p>
        </w:tc>
      </w:tr>
      <w:tr w:rsidR="00EE32C9" w:rsidRPr="00EE32C9" w14:paraId="76559C16" w14:textId="77777777" w:rsidTr="00EE32C9">
        <w:trPr>
          <w:trHeight w:val="330"/>
        </w:trPr>
        <w:tc>
          <w:tcPr>
            <w:tcW w:w="960" w:type="dxa"/>
            <w:tcBorders>
              <w:top w:val="nil"/>
              <w:left w:val="single" w:sz="4" w:space="0" w:color="auto"/>
              <w:bottom w:val="nil"/>
              <w:right w:val="nil"/>
            </w:tcBorders>
            <w:shd w:val="clear" w:color="auto" w:fill="auto"/>
            <w:noWrap/>
            <w:vAlign w:val="bottom"/>
            <w:hideMark/>
          </w:tcPr>
          <w:p w14:paraId="589F608B" w14:textId="77777777" w:rsidR="00EE32C9" w:rsidRPr="00EE32C9" w:rsidRDefault="00EE32C9" w:rsidP="00EE32C9">
            <w:pPr>
              <w:jc w:val="right"/>
              <w:rPr>
                <w:rFonts w:ascii="Arial" w:hAnsi="Arial" w:cs="Arial"/>
                <w:color w:val="000000"/>
                <w:sz w:val="22"/>
                <w:szCs w:val="22"/>
                <w:lang w:val="en-GB" w:eastAsia="en-GB"/>
              </w:rPr>
            </w:pPr>
            <w:r w:rsidRPr="00EE32C9">
              <w:rPr>
                <w:rFonts w:ascii="Arial" w:hAnsi="Arial" w:cs="Arial"/>
                <w:color w:val="000000"/>
                <w:sz w:val="22"/>
                <w:szCs w:val="22"/>
                <w:lang w:val="en-GB" w:eastAsia="en-GB"/>
              </w:rPr>
              <w:t>39,890</w:t>
            </w:r>
          </w:p>
        </w:tc>
        <w:tc>
          <w:tcPr>
            <w:tcW w:w="960" w:type="dxa"/>
            <w:tcBorders>
              <w:top w:val="nil"/>
              <w:left w:val="nil"/>
              <w:bottom w:val="nil"/>
              <w:right w:val="nil"/>
            </w:tcBorders>
            <w:shd w:val="clear" w:color="auto" w:fill="auto"/>
            <w:noWrap/>
            <w:vAlign w:val="bottom"/>
            <w:hideMark/>
          </w:tcPr>
          <w:p w14:paraId="7547978C"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LBWF</w:t>
            </w:r>
          </w:p>
        </w:tc>
        <w:tc>
          <w:tcPr>
            <w:tcW w:w="5140" w:type="dxa"/>
            <w:tcBorders>
              <w:top w:val="nil"/>
              <w:left w:val="nil"/>
              <w:bottom w:val="nil"/>
              <w:right w:val="nil"/>
            </w:tcBorders>
            <w:shd w:val="clear" w:color="auto" w:fill="auto"/>
            <w:noWrap/>
            <w:vAlign w:val="bottom"/>
            <w:hideMark/>
          </w:tcPr>
          <w:p w14:paraId="568DDB02" w14:textId="77777777" w:rsidR="00EE32C9" w:rsidRPr="00EE32C9" w:rsidRDefault="00EE32C9" w:rsidP="00EE32C9">
            <w:pPr>
              <w:rPr>
                <w:rFonts w:ascii="Arial" w:hAnsi="Arial" w:cs="Arial"/>
                <w:color w:val="000000"/>
                <w:sz w:val="22"/>
                <w:szCs w:val="22"/>
                <w:lang w:val="en-GB" w:eastAsia="en-GB"/>
              </w:rPr>
            </w:pPr>
          </w:p>
        </w:tc>
        <w:tc>
          <w:tcPr>
            <w:tcW w:w="960" w:type="dxa"/>
            <w:tcBorders>
              <w:top w:val="single" w:sz="12" w:space="0" w:color="FFFFFF"/>
              <w:left w:val="nil"/>
              <w:bottom w:val="single" w:sz="12" w:space="0" w:color="FFFFFF"/>
              <w:right w:val="single" w:sz="4" w:space="0" w:color="auto"/>
            </w:tcBorders>
            <w:shd w:val="clear" w:color="auto" w:fill="auto"/>
            <w:noWrap/>
            <w:vAlign w:val="bottom"/>
            <w:hideMark/>
          </w:tcPr>
          <w:p w14:paraId="1B17AD07"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41,331</w:t>
            </w:r>
          </w:p>
        </w:tc>
      </w:tr>
      <w:tr w:rsidR="00EE32C9" w:rsidRPr="00EE32C9" w14:paraId="45F026CD" w14:textId="77777777" w:rsidTr="00EE32C9">
        <w:trPr>
          <w:trHeight w:val="330"/>
        </w:trPr>
        <w:tc>
          <w:tcPr>
            <w:tcW w:w="960" w:type="dxa"/>
            <w:tcBorders>
              <w:top w:val="nil"/>
              <w:left w:val="single" w:sz="4" w:space="0" w:color="auto"/>
              <w:bottom w:val="nil"/>
              <w:right w:val="nil"/>
            </w:tcBorders>
            <w:shd w:val="clear" w:color="auto" w:fill="auto"/>
            <w:noWrap/>
            <w:vAlign w:val="bottom"/>
            <w:hideMark/>
          </w:tcPr>
          <w:p w14:paraId="4D52012F" w14:textId="77777777" w:rsidR="00EE32C9" w:rsidRPr="00EE32C9" w:rsidRDefault="00EE32C9" w:rsidP="00EE32C9">
            <w:pPr>
              <w:jc w:val="right"/>
              <w:rPr>
                <w:rFonts w:ascii="Arial" w:hAnsi="Arial" w:cs="Arial"/>
                <w:color w:val="000000"/>
                <w:sz w:val="22"/>
                <w:szCs w:val="22"/>
                <w:lang w:val="en-GB" w:eastAsia="en-GB"/>
              </w:rPr>
            </w:pPr>
            <w:r w:rsidRPr="00EE32C9">
              <w:rPr>
                <w:rFonts w:ascii="Arial" w:hAnsi="Arial" w:cs="Arial"/>
                <w:color w:val="000000"/>
                <w:sz w:val="22"/>
                <w:szCs w:val="22"/>
                <w:lang w:val="en-GB" w:eastAsia="en-GB"/>
              </w:rPr>
              <w:t>2,749</w:t>
            </w:r>
          </w:p>
        </w:tc>
        <w:tc>
          <w:tcPr>
            <w:tcW w:w="6100" w:type="dxa"/>
            <w:gridSpan w:val="2"/>
            <w:tcBorders>
              <w:top w:val="nil"/>
              <w:left w:val="nil"/>
              <w:bottom w:val="nil"/>
              <w:right w:val="nil"/>
            </w:tcBorders>
            <w:shd w:val="clear" w:color="auto" w:fill="auto"/>
            <w:noWrap/>
            <w:vAlign w:val="bottom"/>
            <w:hideMark/>
          </w:tcPr>
          <w:p w14:paraId="5E045864"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Scheduled bodies</w:t>
            </w:r>
          </w:p>
        </w:tc>
        <w:tc>
          <w:tcPr>
            <w:tcW w:w="960" w:type="dxa"/>
            <w:tcBorders>
              <w:top w:val="nil"/>
              <w:left w:val="nil"/>
              <w:bottom w:val="single" w:sz="12" w:space="0" w:color="FFFFFF"/>
              <w:right w:val="single" w:sz="4" w:space="0" w:color="auto"/>
            </w:tcBorders>
            <w:shd w:val="clear" w:color="auto" w:fill="auto"/>
            <w:noWrap/>
            <w:vAlign w:val="bottom"/>
            <w:hideMark/>
          </w:tcPr>
          <w:p w14:paraId="67BFD8E1"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3,712</w:t>
            </w:r>
          </w:p>
        </w:tc>
      </w:tr>
      <w:tr w:rsidR="00EE32C9" w:rsidRPr="00EE32C9" w14:paraId="42AEC696" w14:textId="77777777" w:rsidTr="00EE32C9">
        <w:trPr>
          <w:trHeight w:val="330"/>
        </w:trPr>
        <w:tc>
          <w:tcPr>
            <w:tcW w:w="960" w:type="dxa"/>
            <w:tcBorders>
              <w:top w:val="nil"/>
              <w:left w:val="single" w:sz="4" w:space="0" w:color="auto"/>
              <w:bottom w:val="nil"/>
              <w:right w:val="nil"/>
            </w:tcBorders>
            <w:shd w:val="clear" w:color="auto" w:fill="auto"/>
            <w:noWrap/>
            <w:vAlign w:val="bottom"/>
            <w:hideMark/>
          </w:tcPr>
          <w:p w14:paraId="290D5201" w14:textId="77777777" w:rsidR="00EE32C9" w:rsidRPr="00EE32C9" w:rsidRDefault="00EE32C9" w:rsidP="00EE32C9">
            <w:pPr>
              <w:jc w:val="right"/>
              <w:rPr>
                <w:rFonts w:ascii="Arial" w:hAnsi="Arial" w:cs="Arial"/>
                <w:color w:val="000000"/>
                <w:sz w:val="22"/>
                <w:szCs w:val="22"/>
                <w:lang w:val="en-GB" w:eastAsia="en-GB"/>
              </w:rPr>
            </w:pPr>
            <w:r w:rsidRPr="00EE32C9">
              <w:rPr>
                <w:rFonts w:ascii="Arial" w:hAnsi="Arial" w:cs="Arial"/>
                <w:color w:val="000000"/>
                <w:sz w:val="22"/>
                <w:szCs w:val="22"/>
                <w:lang w:val="en-GB" w:eastAsia="en-GB"/>
              </w:rPr>
              <w:t>1,371</w:t>
            </w:r>
          </w:p>
        </w:tc>
        <w:tc>
          <w:tcPr>
            <w:tcW w:w="6100" w:type="dxa"/>
            <w:gridSpan w:val="2"/>
            <w:tcBorders>
              <w:top w:val="nil"/>
              <w:left w:val="nil"/>
              <w:bottom w:val="nil"/>
              <w:right w:val="nil"/>
            </w:tcBorders>
            <w:shd w:val="clear" w:color="auto" w:fill="auto"/>
            <w:noWrap/>
            <w:vAlign w:val="bottom"/>
            <w:hideMark/>
          </w:tcPr>
          <w:p w14:paraId="7F0FA76F"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Admitted bodies</w:t>
            </w:r>
          </w:p>
        </w:tc>
        <w:tc>
          <w:tcPr>
            <w:tcW w:w="960" w:type="dxa"/>
            <w:tcBorders>
              <w:top w:val="nil"/>
              <w:left w:val="nil"/>
              <w:bottom w:val="single" w:sz="12" w:space="0" w:color="FFFFFF"/>
              <w:right w:val="single" w:sz="4" w:space="0" w:color="auto"/>
            </w:tcBorders>
            <w:shd w:val="clear" w:color="auto" w:fill="auto"/>
            <w:noWrap/>
            <w:vAlign w:val="bottom"/>
            <w:hideMark/>
          </w:tcPr>
          <w:p w14:paraId="16973A93" w14:textId="77777777" w:rsidR="00EE32C9" w:rsidRPr="00EE32C9" w:rsidRDefault="00EE32C9" w:rsidP="00EE32C9">
            <w:pPr>
              <w:jc w:val="right"/>
              <w:rPr>
                <w:rFonts w:ascii="Arial" w:hAnsi="Arial" w:cs="Arial"/>
                <w:sz w:val="22"/>
                <w:szCs w:val="22"/>
                <w:lang w:val="en-GB" w:eastAsia="en-GB"/>
              </w:rPr>
            </w:pPr>
            <w:r w:rsidRPr="00EE32C9">
              <w:rPr>
                <w:rFonts w:ascii="Arial" w:hAnsi="Arial" w:cs="Arial"/>
                <w:sz w:val="22"/>
                <w:szCs w:val="22"/>
                <w:lang w:val="en-GB" w:eastAsia="en-GB"/>
              </w:rPr>
              <w:t>1,495</w:t>
            </w:r>
          </w:p>
        </w:tc>
      </w:tr>
      <w:tr w:rsidR="00EE32C9" w:rsidRPr="00EE32C9" w14:paraId="1804E92B" w14:textId="77777777" w:rsidTr="00EE32C9">
        <w:trPr>
          <w:trHeight w:val="315"/>
        </w:trPr>
        <w:tc>
          <w:tcPr>
            <w:tcW w:w="960" w:type="dxa"/>
            <w:tcBorders>
              <w:top w:val="nil"/>
              <w:left w:val="single" w:sz="4" w:space="0" w:color="auto"/>
              <w:bottom w:val="nil"/>
              <w:right w:val="nil"/>
            </w:tcBorders>
            <w:shd w:val="clear" w:color="auto" w:fill="auto"/>
            <w:noWrap/>
            <w:vAlign w:val="bottom"/>
            <w:hideMark/>
          </w:tcPr>
          <w:p w14:paraId="46053046"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 </w:t>
            </w:r>
          </w:p>
        </w:tc>
        <w:tc>
          <w:tcPr>
            <w:tcW w:w="960" w:type="dxa"/>
            <w:tcBorders>
              <w:top w:val="nil"/>
              <w:left w:val="nil"/>
              <w:bottom w:val="nil"/>
              <w:right w:val="nil"/>
            </w:tcBorders>
            <w:shd w:val="clear" w:color="auto" w:fill="auto"/>
            <w:noWrap/>
            <w:vAlign w:val="bottom"/>
            <w:hideMark/>
          </w:tcPr>
          <w:p w14:paraId="5019C7B8" w14:textId="77777777" w:rsidR="00EE32C9" w:rsidRPr="00EE32C9" w:rsidRDefault="00EE32C9" w:rsidP="00EE32C9">
            <w:pPr>
              <w:rPr>
                <w:rFonts w:ascii="Arial" w:hAnsi="Arial" w:cs="Arial"/>
                <w:color w:val="000000"/>
                <w:sz w:val="22"/>
                <w:szCs w:val="22"/>
                <w:lang w:val="en-GB" w:eastAsia="en-GB"/>
              </w:rPr>
            </w:pPr>
          </w:p>
        </w:tc>
        <w:tc>
          <w:tcPr>
            <w:tcW w:w="5140" w:type="dxa"/>
            <w:tcBorders>
              <w:top w:val="nil"/>
              <w:left w:val="nil"/>
              <w:bottom w:val="nil"/>
              <w:right w:val="nil"/>
            </w:tcBorders>
            <w:shd w:val="clear" w:color="auto" w:fill="auto"/>
            <w:noWrap/>
            <w:vAlign w:val="bottom"/>
            <w:hideMark/>
          </w:tcPr>
          <w:p w14:paraId="080FB2F7" w14:textId="77777777" w:rsidR="00EE32C9" w:rsidRPr="00EE32C9" w:rsidRDefault="00EE32C9" w:rsidP="00EE32C9">
            <w:pPr>
              <w:rPr>
                <w:lang w:val="en-GB" w:eastAsia="en-GB"/>
              </w:rPr>
            </w:pPr>
          </w:p>
        </w:tc>
        <w:tc>
          <w:tcPr>
            <w:tcW w:w="960" w:type="dxa"/>
            <w:tcBorders>
              <w:top w:val="nil"/>
              <w:left w:val="nil"/>
              <w:bottom w:val="nil"/>
              <w:right w:val="single" w:sz="4" w:space="0" w:color="auto"/>
            </w:tcBorders>
            <w:shd w:val="clear" w:color="auto" w:fill="auto"/>
            <w:noWrap/>
            <w:vAlign w:val="bottom"/>
            <w:hideMark/>
          </w:tcPr>
          <w:p w14:paraId="5D516E64"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 </w:t>
            </w:r>
          </w:p>
        </w:tc>
      </w:tr>
      <w:tr w:rsidR="00EE32C9" w:rsidRPr="00EE32C9" w14:paraId="428DB19B" w14:textId="77777777" w:rsidTr="00EE32C9">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0F71CD3F" w14:textId="77777777" w:rsidR="00EE32C9" w:rsidRPr="00EE32C9" w:rsidRDefault="00EE32C9" w:rsidP="00EE32C9">
            <w:pPr>
              <w:jc w:val="right"/>
              <w:rPr>
                <w:rFonts w:ascii="Arial" w:hAnsi="Arial" w:cs="Arial"/>
                <w:b/>
                <w:bCs/>
                <w:sz w:val="22"/>
                <w:szCs w:val="22"/>
                <w:lang w:val="en-GB" w:eastAsia="en-GB"/>
              </w:rPr>
            </w:pPr>
            <w:r w:rsidRPr="00EE32C9">
              <w:rPr>
                <w:rFonts w:ascii="Arial" w:hAnsi="Arial" w:cs="Arial"/>
                <w:b/>
                <w:bCs/>
                <w:sz w:val="22"/>
                <w:szCs w:val="22"/>
                <w:lang w:val="en-GB" w:eastAsia="en-GB"/>
              </w:rPr>
              <w:t xml:space="preserve">  44,010 </w:t>
            </w:r>
          </w:p>
        </w:tc>
        <w:tc>
          <w:tcPr>
            <w:tcW w:w="960" w:type="dxa"/>
            <w:tcBorders>
              <w:top w:val="nil"/>
              <w:left w:val="nil"/>
              <w:bottom w:val="single" w:sz="4" w:space="0" w:color="auto"/>
              <w:right w:val="nil"/>
            </w:tcBorders>
            <w:shd w:val="clear" w:color="auto" w:fill="auto"/>
            <w:noWrap/>
            <w:vAlign w:val="bottom"/>
            <w:hideMark/>
          </w:tcPr>
          <w:p w14:paraId="1BDBAD53"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Total</w:t>
            </w:r>
          </w:p>
        </w:tc>
        <w:tc>
          <w:tcPr>
            <w:tcW w:w="5140" w:type="dxa"/>
            <w:tcBorders>
              <w:top w:val="nil"/>
              <w:left w:val="nil"/>
              <w:bottom w:val="single" w:sz="4" w:space="0" w:color="auto"/>
              <w:right w:val="nil"/>
            </w:tcBorders>
            <w:shd w:val="clear" w:color="auto" w:fill="auto"/>
            <w:noWrap/>
            <w:vAlign w:val="bottom"/>
            <w:hideMark/>
          </w:tcPr>
          <w:p w14:paraId="55950EE9" w14:textId="77777777" w:rsidR="00EE32C9" w:rsidRPr="00EE32C9" w:rsidRDefault="00EE32C9" w:rsidP="00EE32C9">
            <w:pPr>
              <w:rPr>
                <w:rFonts w:ascii="Arial" w:hAnsi="Arial" w:cs="Arial"/>
                <w:color w:val="000000"/>
                <w:sz w:val="22"/>
                <w:szCs w:val="22"/>
                <w:lang w:val="en-GB" w:eastAsia="en-GB"/>
              </w:rPr>
            </w:pPr>
            <w:r w:rsidRPr="00EE32C9">
              <w:rPr>
                <w:rFonts w:ascii="Arial" w:hAnsi="Arial" w:cs="Arial"/>
                <w:color w:val="000000"/>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69DE9B" w14:textId="77777777" w:rsidR="00EE32C9" w:rsidRPr="00EE32C9" w:rsidRDefault="00EE32C9" w:rsidP="00EE32C9">
            <w:pPr>
              <w:jc w:val="right"/>
              <w:rPr>
                <w:rFonts w:ascii="Arial" w:hAnsi="Arial" w:cs="Arial"/>
                <w:b/>
                <w:bCs/>
                <w:sz w:val="22"/>
                <w:szCs w:val="22"/>
                <w:lang w:val="en-GB" w:eastAsia="en-GB"/>
              </w:rPr>
            </w:pPr>
            <w:r w:rsidRPr="00EE32C9">
              <w:rPr>
                <w:rFonts w:ascii="Arial" w:hAnsi="Arial" w:cs="Arial"/>
                <w:b/>
                <w:bCs/>
                <w:sz w:val="22"/>
                <w:szCs w:val="22"/>
                <w:lang w:val="en-GB" w:eastAsia="en-GB"/>
              </w:rPr>
              <w:t xml:space="preserve">  46,538 </w:t>
            </w:r>
          </w:p>
        </w:tc>
      </w:tr>
    </w:tbl>
    <w:p w14:paraId="4533BF76" w14:textId="0169845A" w:rsidR="00990685" w:rsidRPr="00990685" w:rsidRDefault="00990685" w:rsidP="00990685">
      <w:pPr>
        <w:spacing w:after="200" w:line="276" w:lineRule="auto"/>
        <w:ind w:right="74"/>
        <w:jc w:val="both"/>
        <w:rPr>
          <w:rFonts w:ascii="Arial" w:eastAsia="Arial" w:hAnsi="Arial" w:cs="Arial"/>
          <w:sz w:val="22"/>
          <w:szCs w:val="22"/>
        </w:rPr>
      </w:pPr>
    </w:p>
    <w:p w14:paraId="7917081B" w14:textId="77777777" w:rsidR="009C7422" w:rsidRPr="00990685" w:rsidRDefault="001706EB" w:rsidP="00990685">
      <w:pPr>
        <w:spacing w:after="200" w:line="276" w:lineRule="auto"/>
        <w:ind w:right="74"/>
        <w:jc w:val="both"/>
        <w:rPr>
          <w:rFonts w:ascii="Arial" w:eastAsia="Arial" w:hAnsi="Arial" w:cs="Arial"/>
          <w:b/>
          <w:bCs/>
          <w:sz w:val="22"/>
          <w:szCs w:val="22"/>
        </w:rPr>
      </w:pPr>
      <w:r w:rsidRPr="00990685">
        <w:rPr>
          <w:rFonts w:ascii="Arial" w:eastAsia="Arial" w:hAnsi="Arial" w:cs="Arial"/>
          <w:b/>
          <w:bCs/>
          <w:sz w:val="22"/>
          <w:szCs w:val="22"/>
        </w:rPr>
        <w:t>NOTE 10: PAYMENTS TO AND ON ACCOUNT OF LEAVERS</w:t>
      </w:r>
    </w:p>
    <w:tbl>
      <w:tblPr>
        <w:tblW w:w="8844" w:type="dxa"/>
        <w:tblLook w:val="04A0" w:firstRow="1" w:lastRow="0" w:firstColumn="1" w:lastColumn="0" w:noHBand="0" w:noVBand="1"/>
      </w:tblPr>
      <w:tblGrid>
        <w:gridCol w:w="1012"/>
        <w:gridCol w:w="960"/>
        <w:gridCol w:w="5860"/>
        <w:gridCol w:w="1012"/>
      </w:tblGrid>
      <w:tr w:rsidR="00251DA8" w:rsidRPr="00251DA8" w14:paraId="20C0A5BC" w14:textId="77777777" w:rsidTr="00251DA8">
        <w:trPr>
          <w:trHeight w:val="300"/>
        </w:trPr>
        <w:tc>
          <w:tcPr>
            <w:tcW w:w="1012" w:type="dxa"/>
            <w:tcBorders>
              <w:top w:val="single" w:sz="4" w:space="0" w:color="auto"/>
              <w:left w:val="single" w:sz="4" w:space="0" w:color="auto"/>
              <w:bottom w:val="nil"/>
              <w:right w:val="nil"/>
            </w:tcBorders>
            <w:shd w:val="clear" w:color="000000" w:fill="00CC99"/>
            <w:vAlign w:val="center"/>
            <w:hideMark/>
          </w:tcPr>
          <w:p w14:paraId="5A84D233"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2018/19</w:t>
            </w:r>
          </w:p>
        </w:tc>
        <w:tc>
          <w:tcPr>
            <w:tcW w:w="960" w:type="dxa"/>
            <w:tcBorders>
              <w:top w:val="single" w:sz="4" w:space="0" w:color="auto"/>
              <w:left w:val="nil"/>
              <w:bottom w:val="nil"/>
              <w:right w:val="nil"/>
            </w:tcBorders>
            <w:shd w:val="clear" w:color="000000" w:fill="00CC99"/>
            <w:vAlign w:val="center"/>
            <w:hideMark/>
          </w:tcPr>
          <w:p w14:paraId="3480E60A"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 </w:t>
            </w:r>
          </w:p>
        </w:tc>
        <w:tc>
          <w:tcPr>
            <w:tcW w:w="5860" w:type="dxa"/>
            <w:tcBorders>
              <w:top w:val="single" w:sz="4" w:space="0" w:color="auto"/>
              <w:left w:val="nil"/>
              <w:bottom w:val="nil"/>
              <w:right w:val="nil"/>
            </w:tcBorders>
            <w:shd w:val="clear" w:color="000000" w:fill="00CC99"/>
            <w:vAlign w:val="center"/>
            <w:hideMark/>
          </w:tcPr>
          <w:p w14:paraId="5005DC9B"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 </w:t>
            </w:r>
          </w:p>
        </w:tc>
        <w:tc>
          <w:tcPr>
            <w:tcW w:w="1012" w:type="dxa"/>
            <w:tcBorders>
              <w:top w:val="single" w:sz="4" w:space="0" w:color="auto"/>
              <w:left w:val="nil"/>
              <w:bottom w:val="nil"/>
              <w:right w:val="single" w:sz="4" w:space="0" w:color="auto"/>
            </w:tcBorders>
            <w:shd w:val="clear" w:color="000000" w:fill="00CC99"/>
            <w:vAlign w:val="center"/>
            <w:hideMark/>
          </w:tcPr>
          <w:p w14:paraId="0BED1162"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2019/20</w:t>
            </w:r>
          </w:p>
        </w:tc>
      </w:tr>
      <w:tr w:rsidR="00251DA8" w:rsidRPr="00251DA8" w14:paraId="56798F7B" w14:textId="77777777" w:rsidTr="00251DA8">
        <w:trPr>
          <w:trHeight w:val="300"/>
        </w:trPr>
        <w:tc>
          <w:tcPr>
            <w:tcW w:w="1012" w:type="dxa"/>
            <w:tcBorders>
              <w:top w:val="nil"/>
              <w:left w:val="single" w:sz="4" w:space="0" w:color="auto"/>
              <w:bottom w:val="single" w:sz="4" w:space="0" w:color="auto"/>
              <w:right w:val="nil"/>
            </w:tcBorders>
            <w:shd w:val="clear" w:color="000000" w:fill="00CC99"/>
            <w:noWrap/>
            <w:vAlign w:val="center"/>
            <w:hideMark/>
          </w:tcPr>
          <w:p w14:paraId="19A2DB91"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£'000</w:t>
            </w:r>
          </w:p>
        </w:tc>
        <w:tc>
          <w:tcPr>
            <w:tcW w:w="960" w:type="dxa"/>
            <w:tcBorders>
              <w:top w:val="nil"/>
              <w:left w:val="nil"/>
              <w:bottom w:val="single" w:sz="4" w:space="0" w:color="auto"/>
              <w:right w:val="nil"/>
            </w:tcBorders>
            <w:shd w:val="clear" w:color="000000" w:fill="00CC99"/>
            <w:noWrap/>
            <w:vAlign w:val="center"/>
            <w:hideMark/>
          </w:tcPr>
          <w:p w14:paraId="17CDFAFB"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 </w:t>
            </w:r>
          </w:p>
        </w:tc>
        <w:tc>
          <w:tcPr>
            <w:tcW w:w="5860" w:type="dxa"/>
            <w:tcBorders>
              <w:top w:val="nil"/>
              <w:left w:val="nil"/>
              <w:bottom w:val="single" w:sz="4" w:space="0" w:color="auto"/>
              <w:right w:val="nil"/>
            </w:tcBorders>
            <w:shd w:val="clear" w:color="000000" w:fill="00CC99"/>
            <w:noWrap/>
            <w:vAlign w:val="center"/>
            <w:hideMark/>
          </w:tcPr>
          <w:p w14:paraId="54223697"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 </w:t>
            </w:r>
          </w:p>
        </w:tc>
        <w:tc>
          <w:tcPr>
            <w:tcW w:w="1012" w:type="dxa"/>
            <w:tcBorders>
              <w:top w:val="nil"/>
              <w:left w:val="nil"/>
              <w:bottom w:val="single" w:sz="4" w:space="0" w:color="auto"/>
              <w:right w:val="single" w:sz="4" w:space="0" w:color="auto"/>
            </w:tcBorders>
            <w:shd w:val="clear" w:color="000000" w:fill="00CC99"/>
            <w:noWrap/>
            <w:vAlign w:val="center"/>
            <w:hideMark/>
          </w:tcPr>
          <w:p w14:paraId="3F951CAB"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£'000</w:t>
            </w:r>
          </w:p>
        </w:tc>
      </w:tr>
      <w:tr w:rsidR="00251DA8" w:rsidRPr="00251DA8" w14:paraId="2D38D9D1" w14:textId="77777777" w:rsidTr="00251DA8">
        <w:trPr>
          <w:trHeight w:val="315"/>
        </w:trPr>
        <w:tc>
          <w:tcPr>
            <w:tcW w:w="1012" w:type="dxa"/>
            <w:tcBorders>
              <w:top w:val="nil"/>
              <w:left w:val="single" w:sz="4" w:space="0" w:color="auto"/>
              <w:bottom w:val="nil"/>
              <w:right w:val="nil"/>
            </w:tcBorders>
            <w:shd w:val="clear" w:color="auto" w:fill="auto"/>
            <w:noWrap/>
            <w:vAlign w:val="bottom"/>
            <w:hideMark/>
          </w:tcPr>
          <w:p w14:paraId="108246D7" w14:textId="77777777" w:rsidR="00251DA8" w:rsidRPr="00251DA8" w:rsidRDefault="00251DA8" w:rsidP="00251DA8">
            <w:pPr>
              <w:jc w:val="center"/>
              <w:rPr>
                <w:rFonts w:ascii="Arial" w:hAnsi="Arial" w:cs="Arial"/>
                <w:b/>
                <w:bCs/>
                <w:sz w:val="22"/>
                <w:szCs w:val="22"/>
                <w:lang w:val="en-GB" w:eastAsia="en-GB"/>
              </w:rPr>
            </w:pPr>
            <w:r w:rsidRPr="00251DA8">
              <w:rPr>
                <w:rFonts w:ascii="Arial" w:hAnsi="Arial" w:cs="Arial"/>
                <w:b/>
                <w:bCs/>
                <w:sz w:val="22"/>
                <w:szCs w:val="22"/>
                <w:lang w:val="en-GB" w:eastAsia="en-GB"/>
              </w:rPr>
              <w:t> </w:t>
            </w:r>
          </w:p>
        </w:tc>
        <w:tc>
          <w:tcPr>
            <w:tcW w:w="960" w:type="dxa"/>
            <w:tcBorders>
              <w:top w:val="nil"/>
              <w:left w:val="nil"/>
              <w:bottom w:val="nil"/>
              <w:right w:val="nil"/>
            </w:tcBorders>
            <w:shd w:val="clear" w:color="auto" w:fill="auto"/>
            <w:noWrap/>
            <w:vAlign w:val="bottom"/>
            <w:hideMark/>
          </w:tcPr>
          <w:p w14:paraId="70E461D2" w14:textId="77777777" w:rsidR="00251DA8" w:rsidRPr="00251DA8" w:rsidRDefault="00251DA8" w:rsidP="00251DA8">
            <w:pPr>
              <w:jc w:val="center"/>
              <w:rPr>
                <w:rFonts w:ascii="Arial" w:hAnsi="Arial" w:cs="Arial"/>
                <w:b/>
                <w:bCs/>
                <w:sz w:val="22"/>
                <w:szCs w:val="22"/>
                <w:lang w:val="en-GB" w:eastAsia="en-GB"/>
              </w:rPr>
            </w:pPr>
          </w:p>
        </w:tc>
        <w:tc>
          <w:tcPr>
            <w:tcW w:w="5860" w:type="dxa"/>
            <w:tcBorders>
              <w:top w:val="nil"/>
              <w:left w:val="nil"/>
              <w:bottom w:val="nil"/>
              <w:right w:val="nil"/>
            </w:tcBorders>
            <w:shd w:val="clear" w:color="auto" w:fill="auto"/>
            <w:noWrap/>
            <w:vAlign w:val="bottom"/>
            <w:hideMark/>
          </w:tcPr>
          <w:p w14:paraId="0489AC94" w14:textId="77777777" w:rsidR="00251DA8" w:rsidRPr="00251DA8" w:rsidRDefault="00251DA8" w:rsidP="00251DA8">
            <w:pPr>
              <w:rPr>
                <w:lang w:val="en-GB" w:eastAsia="en-GB"/>
              </w:rPr>
            </w:pPr>
          </w:p>
        </w:tc>
        <w:tc>
          <w:tcPr>
            <w:tcW w:w="1012" w:type="dxa"/>
            <w:tcBorders>
              <w:top w:val="nil"/>
              <w:left w:val="nil"/>
              <w:bottom w:val="nil"/>
              <w:right w:val="single" w:sz="4" w:space="0" w:color="auto"/>
            </w:tcBorders>
            <w:shd w:val="clear" w:color="auto" w:fill="auto"/>
            <w:noWrap/>
            <w:vAlign w:val="bottom"/>
            <w:hideMark/>
          </w:tcPr>
          <w:p w14:paraId="30AE63D6" w14:textId="77777777" w:rsidR="00251DA8" w:rsidRPr="00251DA8" w:rsidRDefault="00251DA8" w:rsidP="00251DA8">
            <w:pPr>
              <w:jc w:val="center"/>
              <w:rPr>
                <w:rFonts w:ascii="Arial" w:hAnsi="Arial" w:cs="Arial"/>
                <w:b/>
                <w:bCs/>
                <w:sz w:val="22"/>
                <w:szCs w:val="22"/>
                <w:lang w:val="en-GB" w:eastAsia="en-GB"/>
              </w:rPr>
            </w:pPr>
            <w:r w:rsidRPr="00251DA8">
              <w:rPr>
                <w:rFonts w:ascii="Arial" w:hAnsi="Arial" w:cs="Arial"/>
                <w:b/>
                <w:bCs/>
                <w:sz w:val="22"/>
                <w:szCs w:val="22"/>
                <w:lang w:val="en-GB" w:eastAsia="en-GB"/>
              </w:rPr>
              <w:t> </w:t>
            </w:r>
          </w:p>
        </w:tc>
      </w:tr>
      <w:tr w:rsidR="00251DA8" w:rsidRPr="00251DA8" w14:paraId="7C8CCF2B" w14:textId="77777777" w:rsidTr="00251DA8">
        <w:trPr>
          <w:trHeight w:val="330"/>
        </w:trPr>
        <w:tc>
          <w:tcPr>
            <w:tcW w:w="1012" w:type="dxa"/>
            <w:tcBorders>
              <w:top w:val="nil"/>
              <w:left w:val="single" w:sz="4" w:space="0" w:color="auto"/>
              <w:bottom w:val="nil"/>
              <w:right w:val="nil"/>
            </w:tcBorders>
            <w:shd w:val="clear" w:color="auto" w:fill="auto"/>
            <w:noWrap/>
            <w:vAlign w:val="bottom"/>
            <w:hideMark/>
          </w:tcPr>
          <w:p w14:paraId="7908EEEE"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206</w:t>
            </w:r>
          </w:p>
        </w:tc>
        <w:tc>
          <w:tcPr>
            <w:tcW w:w="6820" w:type="dxa"/>
            <w:gridSpan w:val="2"/>
            <w:tcBorders>
              <w:top w:val="nil"/>
              <w:left w:val="nil"/>
              <w:bottom w:val="nil"/>
              <w:right w:val="nil"/>
            </w:tcBorders>
            <w:shd w:val="clear" w:color="auto" w:fill="auto"/>
            <w:noWrap/>
            <w:vAlign w:val="bottom"/>
            <w:hideMark/>
          </w:tcPr>
          <w:p w14:paraId="66C30FA7"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Refunds to members leaving service</w:t>
            </w:r>
          </w:p>
        </w:tc>
        <w:tc>
          <w:tcPr>
            <w:tcW w:w="1012" w:type="dxa"/>
            <w:tcBorders>
              <w:top w:val="single" w:sz="12" w:space="0" w:color="FFFFFF"/>
              <w:left w:val="nil"/>
              <w:bottom w:val="single" w:sz="12" w:space="0" w:color="FFFFFF"/>
              <w:right w:val="single" w:sz="4" w:space="0" w:color="auto"/>
            </w:tcBorders>
            <w:shd w:val="clear" w:color="auto" w:fill="auto"/>
            <w:noWrap/>
            <w:vAlign w:val="bottom"/>
            <w:hideMark/>
          </w:tcPr>
          <w:p w14:paraId="643C68C9"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236</w:t>
            </w:r>
          </w:p>
        </w:tc>
      </w:tr>
      <w:tr w:rsidR="00251DA8" w:rsidRPr="00251DA8" w14:paraId="026C57A1" w14:textId="77777777" w:rsidTr="00251DA8">
        <w:trPr>
          <w:trHeight w:val="330"/>
        </w:trPr>
        <w:tc>
          <w:tcPr>
            <w:tcW w:w="1012" w:type="dxa"/>
            <w:tcBorders>
              <w:top w:val="nil"/>
              <w:left w:val="single" w:sz="4" w:space="0" w:color="auto"/>
              <w:bottom w:val="nil"/>
              <w:right w:val="nil"/>
            </w:tcBorders>
            <w:shd w:val="clear" w:color="auto" w:fill="auto"/>
            <w:noWrap/>
            <w:vAlign w:val="bottom"/>
            <w:hideMark/>
          </w:tcPr>
          <w:p w14:paraId="40F490E5"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3,496</w:t>
            </w:r>
          </w:p>
        </w:tc>
        <w:tc>
          <w:tcPr>
            <w:tcW w:w="960" w:type="dxa"/>
            <w:tcBorders>
              <w:top w:val="nil"/>
              <w:left w:val="nil"/>
              <w:bottom w:val="nil"/>
              <w:right w:val="nil"/>
            </w:tcBorders>
            <w:shd w:val="clear" w:color="auto" w:fill="auto"/>
            <w:noWrap/>
            <w:vAlign w:val="bottom"/>
            <w:hideMark/>
          </w:tcPr>
          <w:p w14:paraId="016766CE"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LBWF</w:t>
            </w:r>
          </w:p>
        </w:tc>
        <w:tc>
          <w:tcPr>
            <w:tcW w:w="5860" w:type="dxa"/>
            <w:tcBorders>
              <w:top w:val="nil"/>
              <w:left w:val="nil"/>
              <w:bottom w:val="nil"/>
              <w:right w:val="nil"/>
            </w:tcBorders>
            <w:shd w:val="clear" w:color="auto" w:fill="auto"/>
            <w:noWrap/>
            <w:vAlign w:val="bottom"/>
            <w:hideMark/>
          </w:tcPr>
          <w:p w14:paraId="76DF967E" w14:textId="77777777" w:rsidR="00251DA8" w:rsidRPr="00251DA8" w:rsidRDefault="00251DA8" w:rsidP="00251DA8">
            <w:pPr>
              <w:rPr>
                <w:rFonts w:ascii="Arial" w:hAnsi="Arial" w:cs="Arial"/>
                <w:sz w:val="22"/>
                <w:szCs w:val="22"/>
                <w:lang w:val="en-GB" w:eastAsia="en-GB"/>
              </w:rPr>
            </w:pPr>
          </w:p>
        </w:tc>
        <w:tc>
          <w:tcPr>
            <w:tcW w:w="1012" w:type="dxa"/>
            <w:tcBorders>
              <w:top w:val="nil"/>
              <w:left w:val="nil"/>
              <w:bottom w:val="single" w:sz="12" w:space="0" w:color="FFFFFF"/>
              <w:right w:val="single" w:sz="4" w:space="0" w:color="auto"/>
            </w:tcBorders>
            <w:shd w:val="clear" w:color="auto" w:fill="auto"/>
            <w:noWrap/>
            <w:vAlign w:val="bottom"/>
            <w:hideMark/>
          </w:tcPr>
          <w:p w14:paraId="7A9D5FAD"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5,047</w:t>
            </w:r>
          </w:p>
        </w:tc>
      </w:tr>
      <w:tr w:rsidR="00251DA8" w:rsidRPr="00251DA8" w14:paraId="11FD8A85" w14:textId="77777777" w:rsidTr="00251DA8">
        <w:trPr>
          <w:trHeight w:val="330"/>
        </w:trPr>
        <w:tc>
          <w:tcPr>
            <w:tcW w:w="1012" w:type="dxa"/>
            <w:tcBorders>
              <w:top w:val="nil"/>
              <w:left w:val="single" w:sz="4" w:space="0" w:color="auto"/>
              <w:bottom w:val="nil"/>
              <w:right w:val="nil"/>
            </w:tcBorders>
            <w:shd w:val="clear" w:color="auto" w:fill="auto"/>
            <w:noWrap/>
            <w:vAlign w:val="bottom"/>
            <w:hideMark/>
          </w:tcPr>
          <w:p w14:paraId="116A5EA2"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640</w:t>
            </w:r>
          </w:p>
        </w:tc>
        <w:tc>
          <w:tcPr>
            <w:tcW w:w="6820" w:type="dxa"/>
            <w:gridSpan w:val="2"/>
            <w:tcBorders>
              <w:top w:val="nil"/>
              <w:left w:val="nil"/>
              <w:bottom w:val="nil"/>
              <w:right w:val="nil"/>
            </w:tcBorders>
            <w:shd w:val="clear" w:color="auto" w:fill="auto"/>
            <w:noWrap/>
            <w:vAlign w:val="bottom"/>
            <w:hideMark/>
          </w:tcPr>
          <w:p w14:paraId="38BD2799"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Scheduled bodies</w:t>
            </w:r>
          </w:p>
        </w:tc>
        <w:tc>
          <w:tcPr>
            <w:tcW w:w="1012" w:type="dxa"/>
            <w:tcBorders>
              <w:top w:val="nil"/>
              <w:left w:val="nil"/>
              <w:bottom w:val="single" w:sz="12" w:space="0" w:color="FFFFFF"/>
              <w:right w:val="single" w:sz="4" w:space="0" w:color="auto"/>
            </w:tcBorders>
            <w:shd w:val="clear" w:color="auto" w:fill="auto"/>
            <w:noWrap/>
            <w:vAlign w:val="bottom"/>
            <w:hideMark/>
          </w:tcPr>
          <w:p w14:paraId="4BA4F2A5"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625</w:t>
            </w:r>
          </w:p>
        </w:tc>
      </w:tr>
      <w:tr w:rsidR="00251DA8" w:rsidRPr="00251DA8" w14:paraId="11B27BB6" w14:textId="77777777" w:rsidTr="00251DA8">
        <w:trPr>
          <w:trHeight w:val="330"/>
        </w:trPr>
        <w:tc>
          <w:tcPr>
            <w:tcW w:w="1012" w:type="dxa"/>
            <w:tcBorders>
              <w:top w:val="nil"/>
              <w:left w:val="single" w:sz="4" w:space="0" w:color="auto"/>
              <w:bottom w:val="nil"/>
              <w:right w:val="nil"/>
            </w:tcBorders>
            <w:shd w:val="clear" w:color="auto" w:fill="auto"/>
            <w:noWrap/>
            <w:vAlign w:val="bottom"/>
            <w:hideMark/>
          </w:tcPr>
          <w:p w14:paraId="46B7DD58"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404</w:t>
            </w:r>
          </w:p>
        </w:tc>
        <w:tc>
          <w:tcPr>
            <w:tcW w:w="6820" w:type="dxa"/>
            <w:gridSpan w:val="2"/>
            <w:tcBorders>
              <w:top w:val="nil"/>
              <w:left w:val="nil"/>
              <w:bottom w:val="nil"/>
              <w:right w:val="nil"/>
            </w:tcBorders>
            <w:shd w:val="clear" w:color="auto" w:fill="auto"/>
            <w:noWrap/>
            <w:vAlign w:val="bottom"/>
            <w:hideMark/>
          </w:tcPr>
          <w:p w14:paraId="16B34852"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Admitted bodies</w:t>
            </w:r>
          </w:p>
        </w:tc>
        <w:tc>
          <w:tcPr>
            <w:tcW w:w="1012" w:type="dxa"/>
            <w:tcBorders>
              <w:top w:val="nil"/>
              <w:left w:val="nil"/>
              <w:bottom w:val="single" w:sz="12" w:space="0" w:color="FFFFFF"/>
              <w:right w:val="single" w:sz="4" w:space="0" w:color="auto"/>
            </w:tcBorders>
            <w:shd w:val="clear" w:color="auto" w:fill="auto"/>
            <w:noWrap/>
            <w:vAlign w:val="bottom"/>
            <w:hideMark/>
          </w:tcPr>
          <w:p w14:paraId="76EA32F9"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42</w:t>
            </w:r>
          </w:p>
        </w:tc>
      </w:tr>
      <w:tr w:rsidR="00251DA8" w:rsidRPr="00251DA8" w14:paraId="15C21F86" w14:textId="77777777" w:rsidTr="00251DA8">
        <w:trPr>
          <w:trHeight w:val="315"/>
        </w:trPr>
        <w:tc>
          <w:tcPr>
            <w:tcW w:w="1012" w:type="dxa"/>
            <w:tcBorders>
              <w:top w:val="nil"/>
              <w:left w:val="single" w:sz="4" w:space="0" w:color="auto"/>
              <w:bottom w:val="nil"/>
              <w:right w:val="nil"/>
            </w:tcBorders>
            <w:shd w:val="clear" w:color="auto" w:fill="auto"/>
            <w:noWrap/>
            <w:vAlign w:val="bottom"/>
            <w:hideMark/>
          </w:tcPr>
          <w:p w14:paraId="0740B556"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 </w:t>
            </w:r>
          </w:p>
        </w:tc>
        <w:tc>
          <w:tcPr>
            <w:tcW w:w="960" w:type="dxa"/>
            <w:tcBorders>
              <w:top w:val="nil"/>
              <w:left w:val="nil"/>
              <w:bottom w:val="nil"/>
              <w:right w:val="nil"/>
            </w:tcBorders>
            <w:shd w:val="clear" w:color="auto" w:fill="auto"/>
            <w:noWrap/>
            <w:vAlign w:val="bottom"/>
            <w:hideMark/>
          </w:tcPr>
          <w:p w14:paraId="58794AE7" w14:textId="77777777" w:rsidR="00251DA8" w:rsidRPr="00251DA8" w:rsidRDefault="00251DA8" w:rsidP="00251DA8">
            <w:pPr>
              <w:rPr>
                <w:rFonts w:ascii="Arial" w:hAnsi="Arial" w:cs="Arial"/>
                <w:sz w:val="22"/>
                <w:szCs w:val="22"/>
                <w:lang w:val="en-GB" w:eastAsia="en-GB"/>
              </w:rPr>
            </w:pPr>
          </w:p>
        </w:tc>
        <w:tc>
          <w:tcPr>
            <w:tcW w:w="5860" w:type="dxa"/>
            <w:tcBorders>
              <w:top w:val="nil"/>
              <w:left w:val="nil"/>
              <w:bottom w:val="nil"/>
              <w:right w:val="nil"/>
            </w:tcBorders>
            <w:shd w:val="clear" w:color="auto" w:fill="auto"/>
            <w:noWrap/>
            <w:vAlign w:val="bottom"/>
            <w:hideMark/>
          </w:tcPr>
          <w:p w14:paraId="403B75A1" w14:textId="77777777" w:rsidR="00251DA8" w:rsidRPr="00251DA8" w:rsidRDefault="00251DA8" w:rsidP="00251DA8">
            <w:pPr>
              <w:rPr>
                <w:lang w:val="en-GB" w:eastAsia="en-GB"/>
              </w:rPr>
            </w:pPr>
          </w:p>
        </w:tc>
        <w:tc>
          <w:tcPr>
            <w:tcW w:w="1012" w:type="dxa"/>
            <w:tcBorders>
              <w:top w:val="nil"/>
              <w:left w:val="nil"/>
              <w:bottom w:val="nil"/>
              <w:right w:val="single" w:sz="4" w:space="0" w:color="auto"/>
            </w:tcBorders>
            <w:shd w:val="clear" w:color="auto" w:fill="auto"/>
            <w:noWrap/>
            <w:vAlign w:val="bottom"/>
            <w:hideMark/>
          </w:tcPr>
          <w:p w14:paraId="441C890A"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 </w:t>
            </w:r>
          </w:p>
        </w:tc>
      </w:tr>
      <w:tr w:rsidR="00251DA8" w:rsidRPr="00251DA8" w14:paraId="7548AFB6" w14:textId="77777777" w:rsidTr="00251DA8">
        <w:trPr>
          <w:trHeight w:val="300"/>
        </w:trPr>
        <w:tc>
          <w:tcPr>
            <w:tcW w:w="1012" w:type="dxa"/>
            <w:tcBorders>
              <w:top w:val="single" w:sz="4" w:space="0" w:color="auto"/>
              <w:left w:val="single" w:sz="4" w:space="0" w:color="auto"/>
              <w:bottom w:val="single" w:sz="4" w:space="0" w:color="auto"/>
              <w:right w:val="nil"/>
            </w:tcBorders>
            <w:shd w:val="clear" w:color="auto" w:fill="auto"/>
            <w:noWrap/>
            <w:vAlign w:val="bottom"/>
            <w:hideMark/>
          </w:tcPr>
          <w:p w14:paraId="534017D1" w14:textId="77777777" w:rsidR="00251DA8" w:rsidRPr="00251DA8" w:rsidRDefault="00251DA8" w:rsidP="00251DA8">
            <w:pPr>
              <w:jc w:val="right"/>
              <w:rPr>
                <w:rFonts w:ascii="Arial" w:hAnsi="Arial" w:cs="Arial"/>
                <w:b/>
                <w:bCs/>
                <w:sz w:val="22"/>
                <w:szCs w:val="22"/>
                <w:lang w:val="en-GB" w:eastAsia="en-GB"/>
              </w:rPr>
            </w:pPr>
            <w:r w:rsidRPr="00251DA8">
              <w:rPr>
                <w:rFonts w:ascii="Arial" w:hAnsi="Arial" w:cs="Arial"/>
                <w:b/>
                <w:bCs/>
                <w:sz w:val="22"/>
                <w:szCs w:val="22"/>
                <w:lang w:val="en-GB" w:eastAsia="en-GB"/>
              </w:rPr>
              <w:t xml:space="preserve">    4,746 </w:t>
            </w:r>
          </w:p>
        </w:tc>
        <w:tc>
          <w:tcPr>
            <w:tcW w:w="960" w:type="dxa"/>
            <w:tcBorders>
              <w:top w:val="nil"/>
              <w:left w:val="nil"/>
              <w:bottom w:val="single" w:sz="4" w:space="0" w:color="auto"/>
              <w:right w:val="nil"/>
            </w:tcBorders>
            <w:shd w:val="clear" w:color="auto" w:fill="auto"/>
            <w:noWrap/>
            <w:vAlign w:val="bottom"/>
            <w:hideMark/>
          </w:tcPr>
          <w:p w14:paraId="5CDE9958"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Total</w:t>
            </w:r>
          </w:p>
        </w:tc>
        <w:tc>
          <w:tcPr>
            <w:tcW w:w="5860" w:type="dxa"/>
            <w:tcBorders>
              <w:top w:val="nil"/>
              <w:left w:val="nil"/>
              <w:bottom w:val="single" w:sz="4" w:space="0" w:color="auto"/>
              <w:right w:val="nil"/>
            </w:tcBorders>
            <w:shd w:val="clear" w:color="auto" w:fill="auto"/>
            <w:noWrap/>
            <w:vAlign w:val="bottom"/>
            <w:hideMark/>
          </w:tcPr>
          <w:p w14:paraId="62ADBECD"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E7DA5A6" w14:textId="77777777" w:rsidR="00251DA8" w:rsidRPr="00251DA8" w:rsidRDefault="00251DA8" w:rsidP="00251DA8">
            <w:pPr>
              <w:jc w:val="right"/>
              <w:rPr>
                <w:rFonts w:ascii="Arial" w:hAnsi="Arial" w:cs="Arial"/>
                <w:b/>
                <w:bCs/>
                <w:sz w:val="22"/>
                <w:szCs w:val="22"/>
                <w:lang w:val="en-GB" w:eastAsia="en-GB"/>
              </w:rPr>
            </w:pPr>
            <w:r w:rsidRPr="00251DA8">
              <w:rPr>
                <w:rFonts w:ascii="Arial" w:hAnsi="Arial" w:cs="Arial"/>
                <w:b/>
                <w:bCs/>
                <w:sz w:val="22"/>
                <w:szCs w:val="22"/>
                <w:lang w:val="en-GB" w:eastAsia="en-GB"/>
              </w:rPr>
              <w:t xml:space="preserve">    5,950 </w:t>
            </w:r>
          </w:p>
        </w:tc>
      </w:tr>
    </w:tbl>
    <w:p w14:paraId="5617713E" w14:textId="77777777" w:rsidR="00EE32C9" w:rsidRDefault="00EE32C9" w:rsidP="00990685">
      <w:pPr>
        <w:spacing w:after="200" w:line="276" w:lineRule="auto"/>
        <w:ind w:right="74"/>
        <w:jc w:val="both"/>
        <w:rPr>
          <w:rFonts w:ascii="Arial" w:eastAsia="Arial" w:hAnsi="Arial" w:cs="Arial"/>
          <w:sz w:val="22"/>
          <w:szCs w:val="22"/>
        </w:rPr>
      </w:pPr>
    </w:p>
    <w:p w14:paraId="77CDD572" w14:textId="41F37861" w:rsidR="00990685" w:rsidRDefault="00F3572E" w:rsidP="00990685">
      <w:pPr>
        <w:spacing w:after="200" w:line="276" w:lineRule="auto"/>
        <w:ind w:right="74"/>
        <w:jc w:val="both"/>
        <w:rPr>
          <w:rFonts w:ascii="Arial" w:eastAsia="Arial" w:hAnsi="Arial" w:cs="Arial"/>
          <w:b/>
          <w:bCs/>
          <w:sz w:val="22"/>
          <w:szCs w:val="22"/>
        </w:rPr>
      </w:pPr>
      <w:r w:rsidRPr="00F3572E">
        <w:rPr>
          <w:rFonts w:ascii="Arial" w:eastAsia="Arial" w:hAnsi="Arial" w:cs="Arial"/>
          <w:b/>
          <w:bCs/>
          <w:sz w:val="22"/>
          <w:szCs w:val="22"/>
        </w:rPr>
        <w:t>NOTE 11: MANAGEMENT EXPENSES</w:t>
      </w:r>
    </w:p>
    <w:tbl>
      <w:tblPr>
        <w:tblW w:w="8740" w:type="dxa"/>
        <w:tblLook w:val="04A0" w:firstRow="1" w:lastRow="0" w:firstColumn="1" w:lastColumn="0" w:noHBand="0" w:noVBand="1"/>
      </w:tblPr>
      <w:tblGrid>
        <w:gridCol w:w="1012"/>
        <w:gridCol w:w="960"/>
        <w:gridCol w:w="5860"/>
        <w:gridCol w:w="1012"/>
      </w:tblGrid>
      <w:tr w:rsidR="00251DA8" w:rsidRPr="00251DA8" w14:paraId="67CA43FE" w14:textId="77777777" w:rsidTr="00251DA8">
        <w:trPr>
          <w:trHeight w:val="300"/>
        </w:trPr>
        <w:tc>
          <w:tcPr>
            <w:tcW w:w="960" w:type="dxa"/>
            <w:tcBorders>
              <w:top w:val="single" w:sz="4" w:space="0" w:color="auto"/>
              <w:left w:val="single" w:sz="4" w:space="0" w:color="auto"/>
              <w:bottom w:val="nil"/>
              <w:right w:val="nil"/>
            </w:tcBorders>
            <w:shd w:val="clear" w:color="000000" w:fill="00CC99"/>
            <w:vAlign w:val="center"/>
            <w:hideMark/>
          </w:tcPr>
          <w:p w14:paraId="501F36A9"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2018/19</w:t>
            </w:r>
          </w:p>
        </w:tc>
        <w:tc>
          <w:tcPr>
            <w:tcW w:w="960" w:type="dxa"/>
            <w:tcBorders>
              <w:top w:val="single" w:sz="4" w:space="0" w:color="auto"/>
              <w:left w:val="nil"/>
              <w:bottom w:val="nil"/>
              <w:right w:val="nil"/>
            </w:tcBorders>
            <w:shd w:val="clear" w:color="000000" w:fill="00CC99"/>
            <w:vAlign w:val="center"/>
            <w:hideMark/>
          </w:tcPr>
          <w:p w14:paraId="5880DF8A"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 </w:t>
            </w:r>
          </w:p>
        </w:tc>
        <w:tc>
          <w:tcPr>
            <w:tcW w:w="5860" w:type="dxa"/>
            <w:tcBorders>
              <w:top w:val="single" w:sz="4" w:space="0" w:color="auto"/>
              <w:left w:val="nil"/>
              <w:bottom w:val="nil"/>
              <w:right w:val="nil"/>
            </w:tcBorders>
            <w:shd w:val="clear" w:color="000000" w:fill="00CC99"/>
            <w:vAlign w:val="center"/>
            <w:hideMark/>
          </w:tcPr>
          <w:p w14:paraId="630C96E2"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 </w:t>
            </w:r>
          </w:p>
        </w:tc>
        <w:tc>
          <w:tcPr>
            <w:tcW w:w="960" w:type="dxa"/>
            <w:tcBorders>
              <w:top w:val="single" w:sz="4" w:space="0" w:color="auto"/>
              <w:left w:val="nil"/>
              <w:bottom w:val="nil"/>
              <w:right w:val="single" w:sz="4" w:space="0" w:color="auto"/>
            </w:tcBorders>
            <w:shd w:val="clear" w:color="000000" w:fill="00CC99"/>
            <w:vAlign w:val="center"/>
            <w:hideMark/>
          </w:tcPr>
          <w:p w14:paraId="75054F90"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2019/20</w:t>
            </w:r>
          </w:p>
        </w:tc>
      </w:tr>
      <w:tr w:rsidR="00251DA8" w:rsidRPr="00251DA8" w14:paraId="5516D19B" w14:textId="77777777" w:rsidTr="00251DA8">
        <w:trPr>
          <w:trHeight w:val="300"/>
        </w:trPr>
        <w:tc>
          <w:tcPr>
            <w:tcW w:w="960" w:type="dxa"/>
            <w:tcBorders>
              <w:top w:val="nil"/>
              <w:left w:val="single" w:sz="4" w:space="0" w:color="auto"/>
              <w:bottom w:val="single" w:sz="4" w:space="0" w:color="auto"/>
              <w:right w:val="nil"/>
            </w:tcBorders>
            <w:shd w:val="clear" w:color="000000" w:fill="00CC99"/>
            <w:noWrap/>
            <w:vAlign w:val="center"/>
            <w:hideMark/>
          </w:tcPr>
          <w:p w14:paraId="559F4AB4"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£'000</w:t>
            </w:r>
          </w:p>
        </w:tc>
        <w:tc>
          <w:tcPr>
            <w:tcW w:w="960" w:type="dxa"/>
            <w:tcBorders>
              <w:top w:val="nil"/>
              <w:left w:val="nil"/>
              <w:bottom w:val="single" w:sz="4" w:space="0" w:color="auto"/>
              <w:right w:val="nil"/>
            </w:tcBorders>
            <w:shd w:val="clear" w:color="000000" w:fill="00CC99"/>
            <w:noWrap/>
            <w:vAlign w:val="center"/>
            <w:hideMark/>
          </w:tcPr>
          <w:p w14:paraId="5B01B6A7"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 </w:t>
            </w:r>
          </w:p>
        </w:tc>
        <w:tc>
          <w:tcPr>
            <w:tcW w:w="5860" w:type="dxa"/>
            <w:tcBorders>
              <w:top w:val="nil"/>
              <w:left w:val="nil"/>
              <w:bottom w:val="single" w:sz="4" w:space="0" w:color="auto"/>
              <w:right w:val="nil"/>
            </w:tcBorders>
            <w:shd w:val="clear" w:color="000000" w:fill="00CC99"/>
            <w:noWrap/>
            <w:vAlign w:val="center"/>
            <w:hideMark/>
          </w:tcPr>
          <w:p w14:paraId="6BC907A5"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000000" w:fill="00CC99"/>
            <w:noWrap/>
            <w:vAlign w:val="center"/>
            <w:hideMark/>
          </w:tcPr>
          <w:p w14:paraId="1A374320"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£'000</w:t>
            </w:r>
          </w:p>
        </w:tc>
      </w:tr>
      <w:tr w:rsidR="00251DA8" w:rsidRPr="00251DA8" w14:paraId="106F94B1" w14:textId="77777777" w:rsidTr="00251DA8">
        <w:trPr>
          <w:trHeight w:val="315"/>
        </w:trPr>
        <w:tc>
          <w:tcPr>
            <w:tcW w:w="960" w:type="dxa"/>
            <w:tcBorders>
              <w:top w:val="nil"/>
              <w:left w:val="single" w:sz="4" w:space="0" w:color="auto"/>
              <w:bottom w:val="nil"/>
              <w:right w:val="nil"/>
            </w:tcBorders>
            <w:shd w:val="clear" w:color="auto" w:fill="auto"/>
            <w:noWrap/>
            <w:vAlign w:val="bottom"/>
            <w:hideMark/>
          </w:tcPr>
          <w:p w14:paraId="6773FCE0" w14:textId="77777777" w:rsidR="00251DA8" w:rsidRPr="00251DA8" w:rsidRDefault="00251DA8" w:rsidP="00251DA8">
            <w:pPr>
              <w:jc w:val="center"/>
              <w:rPr>
                <w:rFonts w:ascii="Arial" w:hAnsi="Arial" w:cs="Arial"/>
                <w:b/>
                <w:bCs/>
                <w:sz w:val="22"/>
                <w:szCs w:val="22"/>
                <w:lang w:val="en-GB" w:eastAsia="en-GB"/>
              </w:rPr>
            </w:pPr>
            <w:r w:rsidRPr="00251DA8">
              <w:rPr>
                <w:rFonts w:ascii="Arial" w:hAnsi="Arial" w:cs="Arial"/>
                <w:b/>
                <w:bCs/>
                <w:sz w:val="22"/>
                <w:szCs w:val="22"/>
                <w:lang w:val="en-GB" w:eastAsia="en-GB"/>
              </w:rPr>
              <w:t> </w:t>
            </w:r>
          </w:p>
        </w:tc>
        <w:tc>
          <w:tcPr>
            <w:tcW w:w="960" w:type="dxa"/>
            <w:tcBorders>
              <w:top w:val="nil"/>
              <w:left w:val="nil"/>
              <w:bottom w:val="nil"/>
              <w:right w:val="nil"/>
            </w:tcBorders>
            <w:shd w:val="clear" w:color="auto" w:fill="auto"/>
            <w:noWrap/>
            <w:vAlign w:val="bottom"/>
            <w:hideMark/>
          </w:tcPr>
          <w:p w14:paraId="67B907D9" w14:textId="77777777" w:rsidR="00251DA8" w:rsidRPr="00251DA8" w:rsidRDefault="00251DA8" w:rsidP="00251DA8">
            <w:pPr>
              <w:jc w:val="center"/>
              <w:rPr>
                <w:rFonts w:ascii="Arial" w:hAnsi="Arial" w:cs="Arial"/>
                <w:b/>
                <w:bCs/>
                <w:sz w:val="22"/>
                <w:szCs w:val="22"/>
                <w:lang w:val="en-GB" w:eastAsia="en-GB"/>
              </w:rPr>
            </w:pPr>
          </w:p>
        </w:tc>
        <w:tc>
          <w:tcPr>
            <w:tcW w:w="5860" w:type="dxa"/>
            <w:tcBorders>
              <w:top w:val="nil"/>
              <w:left w:val="nil"/>
              <w:bottom w:val="nil"/>
              <w:right w:val="nil"/>
            </w:tcBorders>
            <w:shd w:val="clear" w:color="auto" w:fill="auto"/>
            <w:noWrap/>
            <w:vAlign w:val="bottom"/>
            <w:hideMark/>
          </w:tcPr>
          <w:p w14:paraId="406EEDF1" w14:textId="77777777" w:rsidR="00251DA8" w:rsidRPr="00251DA8" w:rsidRDefault="00251DA8" w:rsidP="00251DA8">
            <w:pPr>
              <w:rPr>
                <w:lang w:val="en-GB" w:eastAsia="en-GB"/>
              </w:rPr>
            </w:pPr>
          </w:p>
        </w:tc>
        <w:tc>
          <w:tcPr>
            <w:tcW w:w="960" w:type="dxa"/>
            <w:tcBorders>
              <w:top w:val="nil"/>
              <w:left w:val="nil"/>
              <w:bottom w:val="nil"/>
              <w:right w:val="single" w:sz="4" w:space="0" w:color="auto"/>
            </w:tcBorders>
            <w:shd w:val="clear" w:color="auto" w:fill="auto"/>
            <w:noWrap/>
            <w:vAlign w:val="bottom"/>
            <w:hideMark/>
          </w:tcPr>
          <w:p w14:paraId="7AAB15C8" w14:textId="77777777" w:rsidR="00251DA8" w:rsidRPr="00251DA8" w:rsidRDefault="00251DA8" w:rsidP="00251DA8">
            <w:pPr>
              <w:jc w:val="center"/>
              <w:rPr>
                <w:rFonts w:ascii="Arial" w:hAnsi="Arial" w:cs="Arial"/>
                <w:b/>
                <w:bCs/>
                <w:sz w:val="22"/>
                <w:szCs w:val="22"/>
                <w:lang w:val="en-GB" w:eastAsia="en-GB"/>
              </w:rPr>
            </w:pPr>
            <w:r w:rsidRPr="00251DA8">
              <w:rPr>
                <w:rFonts w:ascii="Arial" w:hAnsi="Arial" w:cs="Arial"/>
                <w:b/>
                <w:bCs/>
                <w:sz w:val="22"/>
                <w:szCs w:val="22"/>
                <w:lang w:val="en-GB" w:eastAsia="en-GB"/>
              </w:rPr>
              <w:t> </w:t>
            </w:r>
          </w:p>
        </w:tc>
      </w:tr>
      <w:tr w:rsidR="00251DA8" w:rsidRPr="00251DA8" w14:paraId="79170340" w14:textId="77777777" w:rsidTr="00251DA8">
        <w:trPr>
          <w:trHeight w:val="330"/>
        </w:trPr>
        <w:tc>
          <w:tcPr>
            <w:tcW w:w="960" w:type="dxa"/>
            <w:tcBorders>
              <w:top w:val="nil"/>
              <w:left w:val="single" w:sz="4" w:space="0" w:color="auto"/>
              <w:bottom w:val="nil"/>
              <w:right w:val="nil"/>
            </w:tcBorders>
            <w:shd w:val="clear" w:color="auto" w:fill="auto"/>
            <w:noWrap/>
            <w:vAlign w:val="bottom"/>
            <w:hideMark/>
          </w:tcPr>
          <w:p w14:paraId="23A807AB"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1,016</w:t>
            </w:r>
          </w:p>
        </w:tc>
        <w:tc>
          <w:tcPr>
            <w:tcW w:w="6820" w:type="dxa"/>
            <w:gridSpan w:val="2"/>
            <w:tcBorders>
              <w:top w:val="nil"/>
              <w:left w:val="nil"/>
              <w:bottom w:val="nil"/>
              <w:right w:val="nil"/>
            </w:tcBorders>
            <w:shd w:val="clear" w:color="auto" w:fill="auto"/>
            <w:noWrap/>
            <w:vAlign w:val="bottom"/>
            <w:hideMark/>
          </w:tcPr>
          <w:p w14:paraId="003AFBE6"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Administration Expenses</w:t>
            </w:r>
          </w:p>
        </w:tc>
        <w:tc>
          <w:tcPr>
            <w:tcW w:w="960" w:type="dxa"/>
            <w:tcBorders>
              <w:top w:val="single" w:sz="12" w:space="0" w:color="FFFFFF"/>
              <w:left w:val="nil"/>
              <w:bottom w:val="single" w:sz="12" w:space="0" w:color="FFFFFF"/>
              <w:right w:val="single" w:sz="4" w:space="0" w:color="auto"/>
            </w:tcBorders>
            <w:shd w:val="clear" w:color="auto" w:fill="auto"/>
            <w:noWrap/>
            <w:vAlign w:val="bottom"/>
            <w:hideMark/>
          </w:tcPr>
          <w:p w14:paraId="71DE52AF"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1,240</w:t>
            </w:r>
          </w:p>
        </w:tc>
      </w:tr>
      <w:tr w:rsidR="00251DA8" w:rsidRPr="00251DA8" w14:paraId="7C203967" w14:textId="77777777" w:rsidTr="00251DA8">
        <w:trPr>
          <w:trHeight w:val="330"/>
        </w:trPr>
        <w:tc>
          <w:tcPr>
            <w:tcW w:w="960" w:type="dxa"/>
            <w:tcBorders>
              <w:top w:val="nil"/>
              <w:left w:val="single" w:sz="4" w:space="0" w:color="auto"/>
              <w:bottom w:val="nil"/>
              <w:right w:val="nil"/>
            </w:tcBorders>
            <w:shd w:val="clear" w:color="auto" w:fill="auto"/>
            <w:noWrap/>
            <w:vAlign w:val="bottom"/>
            <w:hideMark/>
          </w:tcPr>
          <w:p w14:paraId="02E4AA43"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175</w:t>
            </w:r>
          </w:p>
        </w:tc>
        <w:tc>
          <w:tcPr>
            <w:tcW w:w="6820" w:type="dxa"/>
            <w:gridSpan w:val="2"/>
            <w:tcBorders>
              <w:top w:val="nil"/>
              <w:left w:val="nil"/>
              <w:bottom w:val="nil"/>
              <w:right w:val="nil"/>
            </w:tcBorders>
            <w:shd w:val="clear" w:color="auto" w:fill="auto"/>
            <w:noWrap/>
            <w:vAlign w:val="bottom"/>
            <w:hideMark/>
          </w:tcPr>
          <w:p w14:paraId="19647122"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Actuary expenses</w:t>
            </w:r>
          </w:p>
        </w:tc>
        <w:tc>
          <w:tcPr>
            <w:tcW w:w="960" w:type="dxa"/>
            <w:tcBorders>
              <w:top w:val="nil"/>
              <w:left w:val="nil"/>
              <w:bottom w:val="single" w:sz="12" w:space="0" w:color="FFFFFF"/>
              <w:right w:val="single" w:sz="4" w:space="0" w:color="auto"/>
            </w:tcBorders>
            <w:shd w:val="clear" w:color="auto" w:fill="auto"/>
            <w:noWrap/>
            <w:vAlign w:val="bottom"/>
            <w:hideMark/>
          </w:tcPr>
          <w:p w14:paraId="3D54DFF3"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255</w:t>
            </w:r>
          </w:p>
        </w:tc>
      </w:tr>
      <w:tr w:rsidR="00251DA8" w:rsidRPr="00251DA8" w14:paraId="675AC57F" w14:textId="77777777" w:rsidTr="00251DA8">
        <w:trPr>
          <w:trHeight w:val="330"/>
        </w:trPr>
        <w:tc>
          <w:tcPr>
            <w:tcW w:w="960" w:type="dxa"/>
            <w:tcBorders>
              <w:top w:val="nil"/>
              <w:left w:val="single" w:sz="4" w:space="0" w:color="auto"/>
              <w:bottom w:val="nil"/>
              <w:right w:val="nil"/>
            </w:tcBorders>
            <w:shd w:val="clear" w:color="auto" w:fill="auto"/>
            <w:noWrap/>
            <w:vAlign w:val="bottom"/>
            <w:hideMark/>
          </w:tcPr>
          <w:p w14:paraId="7B47133C"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117</w:t>
            </w:r>
          </w:p>
        </w:tc>
        <w:tc>
          <w:tcPr>
            <w:tcW w:w="6820" w:type="dxa"/>
            <w:gridSpan w:val="2"/>
            <w:tcBorders>
              <w:top w:val="nil"/>
              <w:left w:val="nil"/>
              <w:bottom w:val="nil"/>
              <w:right w:val="nil"/>
            </w:tcBorders>
            <w:shd w:val="clear" w:color="auto" w:fill="auto"/>
            <w:noWrap/>
            <w:vAlign w:val="bottom"/>
            <w:hideMark/>
          </w:tcPr>
          <w:p w14:paraId="70B9D782"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Oversight and Governance*</w:t>
            </w:r>
          </w:p>
        </w:tc>
        <w:tc>
          <w:tcPr>
            <w:tcW w:w="960" w:type="dxa"/>
            <w:tcBorders>
              <w:top w:val="nil"/>
              <w:left w:val="nil"/>
              <w:bottom w:val="single" w:sz="12" w:space="0" w:color="FFFFFF"/>
              <w:right w:val="single" w:sz="4" w:space="0" w:color="auto"/>
            </w:tcBorders>
            <w:shd w:val="clear" w:color="auto" w:fill="auto"/>
            <w:noWrap/>
            <w:vAlign w:val="bottom"/>
            <w:hideMark/>
          </w:tcPr>
          <w:p w14:paraId="248D9A07"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79</w:t>
            </w:r>
          </w:p>
        </w:tc>
      </w:tr>
      <w:tr w:rsidR="00251DA8" w:rsidRPr="00251DA8" w14:paraId="757A63B7" w14:textId="77777777" w:rsidTr="00251DA8">
        <w:trPr>
          <w:trHeight w:val="315"/>
        </w:trPr>
        <w:tc>
          <w:tcPr>
            <w:tcW w:w="960" w:type="dxa"/>
            <w:tcBorders>
              <w:top w:val="nil"/>
              <w:left w:val="single" w:sz="4" w:space="0" w:color="auto"/>
              <w:bottom w:val="nil"/>
              <w:right w:val="nil"/>
            </w:tcBorders>
            <w:shd w:val="clear" w:color="auto" w:fill="auto"/>
            <w:noWrap/>
            <w:vAlign w:val="bottom"/>
            <w:hideMark/>
          </w:tcPr>
          <w:p w14:paraId="205799DE"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8,956</w:t>
            </w:r>
          </w:p>
        </w:tc>
        <w:tc>
          <w:tcPr>
            <w:tcW w:w="6820" w:type="dxa"/>
            <w:gridSpan w:val="2"/>
            <w:tcBorders>
              <w:top w:val="nil"/>
              <w:left w:val="nil"/>
              <w:bottom w:val="nil"/>
              <w:right w:val="nil"/>
            </w:tcBorders>
            <w:shd w:val="clear" w:color="auto" w:fill="auto"/>
            <w:noWrap/>
            <w:vAlign w:val="bottom"/>
            <w:hideMark/>
          </w:tcPr>
          <w:p w14:paraId="5BB68F5F"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Investment management expenses (note 11a)</w:t>
            </w:r>
          </w:p>
        </w:tc>
        <w:tc>
          <w:tcPr>
            <w:tcW w:w="960" w:type="dxa"/>
            <w:tcBorders>
              <w:top w:val="nil"/>
              <w:left w:val="nil"/>
              <w:bottom w:val="nil"/>
              <w:right w:val="single" w:sz="4" w:space="0" w:color="auto"/>
            </w:tcBorders>
            <w:shd w:val="clear" w:color="auto" w:fill="auto"/>
            <w:noWrap/>
            <w:vAlign w:val="bottom"/>
            <w:hideMark/>
          </w:tcPr>
          <w:p w14:paraId="05A7126C"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8,647</w:t>
            </w:r>
          </w:p>
        </w:tc>
      </w:tr>
      <w:tr w:rsidR="00251DA8" w:rsidRPr="00251DA8" w14:paraId="262ECEE5" w14:textId="77777777" w:rsidTr="00251DA8">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7350634E" w14:textId="77777777" w:rsidR="00251DA8" w:rsidRPr="00251DA8" w:rsidRDefault="00251DA8" w:rsidP="00251DA8">
            <w:pPr>
              <w:jc w:val="right"/>
              <w:rPr>
                <w:rFonts w:ascii="Arial" w:hAnsi="Arial" w:cs="Arial"/>
                <w:b/>
                <w:bCs/>
                <w:sz w:val="22"/>
                <w:szCs w:val="22"/>
                <w:lang w:val="en-GB" w:eastAsia="en-GB"/>
              </w:rPr>
            </w:pPr>
            <w:r w:rsidRPr="00251DA8">
              <w:rPr>
                <w:rFonts w:ascii="Arial" w:hAnsi="Arial" w:cs="Arial"/>
                <w:b/>
                <w:bCs/>
                <w:sz w:val="22"/>
                <w:szCs w:val="22"/>
                <w:lang w:val="en-GB" w:eastAsia="en-GB"/>
              </w:rPr>
              <w:t xml:space="preserve">  10,264 </w:t>
            </w:r>
          </w:p>
        </w:tc>
        <w:tc>
          <w:tcPr>
            <w:tcW w:w="960" w:type="dxa"/>
            <w:tcBorders>
              <w:top w:val="nil"/>
              <w:left w:val="nil"/>
              <w:bottom w:val="single" w:sz="4" w:space="0" w:color="auto"/>
              <w:right w:val="nil"/>
            </w:tcBorders>
            <w:shd w:val="clear" w:color="auto" w:fill="auto"/>
            <w:noWrap/>
            <w:vAlign w:val="bottom"/>
            <w:hideMark/>
          </w:tcPr>
          <w:p w14:paraId="6DFEA30A"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 xml:space="preserve">Total </w:t>
            </w:r>
          </w:p>
        </w:tc>
        <w:tc>
          <w:tcPr>
            <w:tcW w:w="5860" w:type="dxa"/>
            <w:tcBorders>
              <w:top w:val="nil"/>
              <w:left w:val="nil"/>
              <w:bottom w:val="single" w:sz="4" w:space="0" w:color="auto"/>
              <w:right w:val="nil"/>
            </w:tcBorders>
            <w:shd w:val="clear" w:color="auto" w:fill="auto"/>
            <w:noWrap/>
            <w:vAlign w:val="bottom"/>
            <w:hideMark/>
          </w:tcPr>
          <w:p w14:paraId="5CC1B2A3"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EF08BC" w14:textId="77777777" w:rsidR="00251DA8" w:rsidRPr="00251DA8" w:rsidRDefault="00251DA8" w:rsidP="00251DA8">
            <w:pPr>
              <w:jc w:val="right"/>
              <w:rPr>
                <w:rFonts w:ascii="Arial" w:hAnsi="Arial" w:cs="Arial"/>
                <w:b/>
                <w:bCs/>
                <w:sz w:val="22"/>
                <w:szCs w:val="22"/>
                <w:lang w:val="en-GB" w:eastAsia="en-GB"/>
              </w:rPr>
            </w:pPr>
            <w:r w:rsidRPr="00251DA8">
              <w:rPr>
                <w:rFonts w:ascii="Arial" w:hAnsi="Arial" w:cs="Arial"/>
                <w:b/>
                <w:bCs/>
                <w:sz w:val="22"/>
                <w:szCs w:val="22"/>
                <w:lang w:val="en-GB" w:eastAsia="en-GB"/>
              </w:rPr>
              <w:t xml:space="preserve">  10,221 </w:t>
            </w:r>
          </w:p>
        </w:tc>
      </w:tr>
    </w:tbl>
    <w:p w14:paraId="21F2AB4C" w14:textId="794E21C4" w:rsidR="00F3572E" w:rsidRDefault="00E63CDF" w:rsidP="0075725F">
      <w:pPr>
        <w:spacing w:after="200" w:line="276" w:lineRule="auto"/>
        <w:ind w:right="74"/>
        <w:jc w:val="both"/>
        <w:rPr>
          <w:rFonts w:ascii="Arial" w:eastAsia="Arial" w:hAnsi="Arial" w:cs="Arial"/>
          <w:b/>
          <w:bCs/>
          <w:sz w:val="22"/>
          <w:szCs w:val="22"/>
        </w:rPr>
      </w:pPr>
      <w:r>
        <w:rPr>
          <w:rFonts w:ascii="Arial" w:eastAsia="Arial" w:hAnsi="Arial" w:cs="Arial"/>
          <w:sz w:val="22"/>
          <w:szCs w:val="22"/>
        </w:rPr>
        <w:t xml:space="preserve">‘* </w:t>
      </w:r>
      <w:r w:rsidR="001706EB" w:rsidRPr="00BD17CA">
        <w:rPr>
          <w:rFonts w:ascii="Arial" w:eastAsia="Arial" w:hAnsi="Arial" w:cs="Arial"/>
          <w:sz w:val="22"/>
          <w:szCs w:val="22"/>
        </w:rPr>
        <w:t>Inc</w:t>
      </w:r>
      <w:r w:rsidR="001706EB" w:rsidRPr="00F3572E">
        <w:rPr>
          <w:rFonts w:ascii="Arial" w:eastAsia="Arial" w:hAnsi="Arial" w:cs="Arial"/>
          <w:sz w:val="22"/>
          <w:szCs w:val="22"/>
        </w:rPr>
        <w:t>l</w:t>
      </w:r>
      <w:r w:rsidR="001706EB" w:rsidRPr="00BD17CA">
        <w:rPr>
          <w:rFonts w:ascii="Arial" w:eastAsia="Arial" w:hAnsi="Arial" w:cs="Arial"/>
          <w:sz w:val="22"/>
          <w:szCs w:val="22"/>
        </w:rPr>
        <w:t>u</w:t>
      </w:r>
      <w:r w:rsidR="001706EB" w:rsidRPr="00F3572E">
        <w:rPr>
          <w:rFonts w:ascii="Arial" w:eastAsia="Arial" w:hAnsi="Arial" w:cs="Arial"/>
          <w:sz w:val="22"/>
          <w:szCs w:val="22"/>
        </w:rPr>
        <w:t>d</w:t>
      </w:r>
      <w:r w:rsidR="001706EB" w:rsidRPr="00BD17CA">
        <w:rPr>
          <w:rFonts w:ascii="Arial" w:eastAsia="Arial" w:hAnsi="Arial" w:cs="Arial"/>
          <w:sz w:val="22"/>
          <w:szCs w:val="22"/>
        </w:rPr>
        <w:t>ed</w:t>
      </w:r>
      <w:r w:rsidR="001706EB" w:rsidRPr="00F3572E">
        <w:rPr>
          <w:rFonts w:ascii="Arial" w:eastAsia="Arial" w:hAnsi="Arial" w:cs="Arial"/>
          <w:sz w:val="22"/>
          <w:szCs w:val="22"/>
        </w:rPr>
        <w:t xml:space="preserve"> i</w:t>
      </w:r>
      <w:r w:rsidR="001706EB" w:rsidRPr="00BD17CA">
        <w:rPr>
          <w:rFonts w:ascii="Arial" w:eastAsia="Arial" w:hAnsi="Arial" w:cs="Arial"/>
          <w:sz w:val="22"/>
          <w:szCs w:val="22"/>
        </w:rPr>
        <w:t>n</w:t>
      </w:r>
      <w:r w:rsidR="001706EB" w:rsidRPr="00F3572E">
        <w:rPr>
          <w:rFonts w:ascii="Arial" w:eastAsia="Arial" w:hAnsi="Arial" w:cs="Arial"/>
          <w:sz w:val="22"/>
          <w:szCs w:val="22"/>
        </w:rPr>
        <w:t xml:space="preserve"> Ov</w:t>
      </w:r>
      <w:r w:rsidR="001706EB" w:rsidRPr="00BD17CA">
        <w:rPr>
          <w:rFonts w:ascii="Arial" w:eastAsia="Arial" w:hAnsi="Arial" w:cs="Arial"/>
          <w:sz w:val="22"/>
          <w:szCs w:val="22"/>
        </w:rPr>
        <w:t>er</w:t>
      </w:r>
      <w:r w:rsidR="001706EB" w:rsidRPr="00F3572E">
        <w:rPr>
          <w:rFonts w:ascii="Arial" w:eastAsia="Arial" w:hAnsi="Arial" w:cs="Arial"/>
          <w:sz w:val="22"/>
          <w:szCs w:val="22"/>
        </w:rPr>
        <w:t>sig</w:t>
      </w:r>
      <w:r w:rsidR="001706EB" w:rsidRPr="00BD17CA">
        <w:rPr>
          <w:rFonts w:ascii="Arial" w:eastAsia="Arial" w:hAnsi="Arial" w:cs="Arial"/>
          <w:sz w:val="22"/>
          <w:szCs w:val="22"/>
        </w:rPr>
        <w:t>ht</w:t>
      </w:r>
      <w:r w:rsidR="001706EB" w:rsidRPr="00F3572E">
        <w:rPr>
          <w:rFonts w:ascii="Arial" w:eastAsia="Arial" w:hAnsi="Arial" w:cs="Arial"/>
          <w:sz w:val="22"/>
          <w:szCs w:val="22"/>
        </w:rPr>
        <w:t xml:space="preserve"> a</w:t>
      </w:r>
      <w:r w:rsidR="001706EB" w:rsidRPr="00BD17CA">
        <w:rPr>
          <w:rFonts w:ascii="Arial" w:eastAsia="Arial" w:hAnsi="Arial" w:cs="Arial"/>
          <w:sz w:val="22"/>
          <w:szCs w:val="22"/>
        </w:rPr>
        <w:t>nd</w:t>
      </w:r>
      <w:r w:rsidR="001706EB" w:rsidRPr="00F3572E">
        <w:rPr>
          <w:rFonts w:ascii="Arial" w:eastAsia="Arial" w:hAnsi="Arial" w:cs="Arial"/>
          <w:sz w:val="22"/>
          <w:szCs w:val="22"/>
        </w:rPr>
        <w:t xml:space="preserve"> G</w:t>
      </w:r>
      <w:r w:rsidR="001706EB" w:rsidRPr="00BD17CA">
        <w:rPr>
          <w:rFonts w:ascii="Arial" w:eastAsia="Arial" w:hAnsi="Arial" w:cs="Arial"/>
          <w:sz w:val="22"/>
          <w:szCs w:val="22"/>
        </w:rPr>
        <w:t>o</w:t>
      </w:r>
      <w:r w:rsidR="001706EB" w:rsidRPr="00F3572E">
        <w:rPr>
          <w:rFonts w:ascii="Arial" w:eastAsia="Arial" w:hAnsi="Arial" w:cs="Arial"/>
          <w:sz w:val="22"/>
          <w:szCs w:val="22"/>
        </w:rPr>
        <w:t>v</w:t>
      </w:r>
      <w:r w:rsidR="001706EB" w:rsidRPr="00BD17CA">
        <w:rPr>
          <w:rFonts w:ascii="Arial" w:eastAsia="Arial" w:hAnsi="Arial" w:cs="Arial"/>
          <w:sz w:val="22"/>
          <w:szCs w:val="22"/>
        </w:rPr>
        <w:t>er</w:t>
      </w:r>
      <w:r w:rsidR="001706EB" w:rsidRPr="00F3572E">
        <w:rPr>
          <w:rFonts w:ascii="Arial" w:eastAsia="Arial" w:hAnsi="Arial" w:cs="Arial"/>
          <w:sz w:val="22"/>
          <w:szCs w:val="22"/>
        </w:rPr>
        <w:t>n</w:t>
      </w:r>
      <w:r w:rsidR="001706EB" w:rsidRPr="00BD17CA">
        <w:rPr>
          <w:rFonts w:ascii="Arial" w:eastAsia="Arial" w:hAnsi="Arial" w:cs="Arial"/>
          <w:sz w:val="22"/>
          <w:szCs w:val="22"/>
        </w:rPr>
        <w:t>a</w:t>
      </w:r>
      <w:r w:rsidR="001706EB" w:rsidRPr="00F3572E">
        <w:rPr>
          <w:rFonts w:ascii="Arial" w:eastAsia="Arial" w:hAnsi="Arial" w:cs="Arial"/>
          <w:sz w:val="22"/>
          <w:szCs w:val="22"/>
        </w:rPr>
        <w:t>nc</w:t>
      </w:r>
      <w:r w:rsidR="001706EB" w:rsidRPr="00BD17CA">
        <w:rPr>
          <w:rFonts w:ascii="Arial" w:eastAsia="Arial" w:hAnsi="Arial" w:cs="Arial"/>
          <w:sz w:val="22"/>
          <w:szCs w:val="22"/>
        </w:rPr>
        <w:t>e</w:t>
      </w:r>
      <w:r w:rsidR="001706EB" w:rsidRPr="00F3572E">
        <w:rPr>
          <w:rFonts w:ascii="Arial" w:eastAsia="Arial" w:hAnsi="Arial" w:cs="Arial"/>
          <w:sz w:val="22"/>
          <w:szCs w:val="22"/>
        </w:rPr>
        <w:t xml:space="preserve"> </w:t>
      </w:r>
      <w:r w:rsidR="001706EB" w:rsidRPr="00BD17CA">
        <w:rPr>
          <w:rFonts w:ascii="Arial" w:eastAsia="Arial" w:hAnsi="Arial" w:cs="Arial"/>
          <w:sz w:val="22"/>
          <w:szCs w:val="22"/>
        </w:rPr>
        <w:t>a</w:t>
      </w:r>
      <w:r w:rsidR="001706EB" w:rsidRPr="00F3572E">
        <w:rPr>
          <w:rFonts w:ascii="Arial" w:eastAsia="Arial" w:hAnsi="Arial" w:cs="Arial"/>
          <w:sz w:val="22"/>
          <w:szCs w:val="22"/>
        </w:rPr>
        <w:t>bov</w:t>
      </w:r>
      <w:r w:rsidR="001706EB" w:rsidRPr="00BD17CA">
        <w:rPr>
          <w:rFonts w:ascii="Arial" w:eastAsia="Arial" w:hAnsi="Arial" w:cs="Arial"/>
          <w:sz w:val="22"/>
          <w:szCs w:val="22"/>
        </w:rPr>
        <w:t>e</w:t>
      </w:r>
      <w:r w:rsidR="001706EB" w:rsidRPr="00F3572E">
        <w:rPr>
          <w:rFonts w:ascii="Arial" w:eastAsia="Arial" w:hAnsi="Arial" w:cs="Arial"/>
          <w:sz w:val="22"/>
          <w:szCs w:val="22"/>
        </w:rPr>
        <w:t xml:space="preserve"> </w:t>
      </w:r>
      <w:r w:rsidR="001706EB" w:rsidRPr="00BD17CA">
        <w:rPr>
          <w:rFonts w:ascii="Arial" w:eastAsia="Arial" w:hAnsi="Arial" w:cs="Arial"/>
          <w:sz w:val="22"/>
          <w:szCs w:val="22"/>
        </w:rPr>
        <w:t>are</w:t>
      </w:r>
      <w:r w:rsidR="001706EB" w:rsidRPr="00F3572E">
        <w:rPr>
          <w:rFonts w:ascii="Arial" w:eastAsia="Arial" w:hAnsi="Arial" w:cs="Arial"/>
          <w:sz w:val="22"/>
          <w:szCs w:val="22"/>
        </w:rPr>
        <w:t xml:space="preserve"> </w:t>
      </w:r>
      <w:r w:rsidR="001706EB" w:rsidRPr="00BD17CA">
        <w:rPr>
          <w:rFonts w:ascii="Arial" w:eastAsia="Arial" w:hAnsi="Arial" w:cs="Arial"/>
          <w:sz w:val="22"/>
          <w:szCs w:val="22"/>
        </w:rPr>
        <w:t>e</w:t>
      </w:r>
      <w:r w:rsidR="001706EB" w:rsidRPr="00F3572E">
        <w:rPr>
          <w:rFonts w:ascii="Arial" w:eastAsia="Arial" w:hAnsi="Arial" w:cs="Arial"/>
          <w:sz w:val="22"/>
          <w:szCs w:val="22"/>
        </w:rPr>
        <w:t>xt</w:t>
      </w:r>
      <w:r w:rsidR="001706EB" w:rsidRPr="00BD17CA">
        <w:rPr>
          <w:rFonts w:ascii="Arial" w:eastAsia="Arial" w:hAnsi="Arial" w:cs="Arial"/>
          <w:sz w:val="22"/>
          <w:szCs w:val="22"/>
        </w:rPr>
        <w:t>ernal</w:t>
      </w:r>
      <w:r w:rsidR="001706EB" w:rsidRPr="00F3572E">
        <w:rPr>
          <w:rFonts w:ascii="Arial" w:eastAsia="Arial" w:hAnsi="Arial" w:cs="Arial"/>
          <w:sz w:val="22"/>
          <w:szCs w:val="22"/>
        </w:rPr>
        <w:t xml:space="preserve"> </w:t>
      </w:r>
      <w:r w:rsidR="001706EB" w:rsidRPr="00BD17CA">
        <w:rPr>
          <w:rFonts w:ascii="Arial" w:eastAsia="Arial" w:hAnsi="Arial" w:cs="Arial"/>
          <w:sz w:val="22"/>
          <w:szCs w:val="22"/>
        </w:rPr>
        <w:t>a</w:t>
      </w:r>
      <w:r w:rsidR="001706EB" w:rsidRPr="00F3572E">
        <w:rPr>
          <w:rFonts w:ascii="Arial" w:eastAsia="Arial" w:hAnsi="Arial" w:cs="Arial"/>
          <w:sz w:val="22"/>
          <w:szCs w:val="22"/>
        </w:rPr>
        <w:t>u</w:t>
      </w:r>
      <w:r w:rsidR="001706EB" w:rsidRPr="00BD17CA">
        <w:rPr>
          <w:rFonts w:ascii="Arial" w:eastAsia="Arial" w:hAnsi="Arial" w:cs="Arial"/>
          <w:sz w:val="22"/>
          <w:szCs w:val="22"/>
        </w:rPr>
        <w:t>d</w:t>
      </w:r>
      <w:r w:rsidR="001706EB" w:rsidRPr="00F3572E">
        <w:rPr>
          <w:rFonts w:ascii="Arial" w:eastAsia="Arial" w:hAnsi="Arial" w:cs="Arial"/>
          <w:sz w:val="22"/>
          <w:szCs w:val="22"/>
        </w:rPr>
        <w:t>i</w:t>
      </w:r>
      <w:r w:rsidR="001706EB" w:rsidRPr="00BD17CA">
        <w:rPr>
          <w:rFonts w:ascii="Arial" w:eastAsia="Arial" w:hAnsi="Arial" w:cs="Arial"/>
          <w:sz w:val="22"/>
          <w:szCs w:val="22"/>
        </w:rPr>
        <w:t>t</w:t>
      </w:r>
      <w:r w:rsidR="001706EB" w:rsidRPr="00F3572E">
        <w:rPr>
          <w:rFonts w:ascii="Arial" w:eastAsia="Arial" w:hAnsi="Arial" w:cs="Arial"/>
          <w:sz w:val="22"/>
          <w:szCs w:val="22"/>
        </w:rPr>
        <w:t xml:space="preserve"> f</w:t>
      </w:r>
      <w:r w:rsidR="001706EB" w:rsidRPr="00BD17CA">
        <w:rPr>
          <w:rFonts w:ascii="Arial" w:eastAsia="Arial" w:hAnsi="Arial" w:cs="Arial"/>
          <w:sz w:val="22"/>
          <w:szCs w:val="22"/>
        </w:rPr>
        <w:t>e</w:t>
      </w:r>
      <w:r w:rsidR="001706EB" w:rsidRPr="00F3572E">
        <w:rPr>
          <w:rFonts w:ascii="Arial" w:eastAsia="Arial" w:hAnsi="Arial" w:cs="Arial"/>
          <w:sz w:val="22"/>
          <w:szCs w:val="22"/>
        </w:rPr>
        <w:t>e</w:t>
      </w:r>
      <w:r w:rsidR="001706EB" w:rsidRPr="00BD17CA">
        <w:rPr>
          <w:rFonts w:ascii="Arial" w:eastAsia="Arial" w:hAnsi="Arial" w:cs="Arial"/>
          <w:sz w:val="22"/>
          <w:szCs w:val="22"/>
        </w:rPr>
        <w:t>s</w:t>
      </w:r>
      <w:r w:rsidR="001706EB" w:rsidRPr="00F3572E">
        <w:rPr>
          <w:rFonts w:ascii="Arial" w:eastAsia="Arial" w:hAnsi="Arial" w:cs="Arial"/>
          <w:sz w:val="22"/>
          <w:szCs w:val="22"/>
        </w:rPr>
        <w:t xml:space="preserve"> f</w:t>
      </w:r>
      <w:r w:rsidR="001706EB" w:rsidRPr="00BD17CA">
        <w:rPr>
          <w:rFonts w:ascii="Arial" w:eastAsia="Arial" w:hAnsi="Arial" w:cs="Arial"/>
          <w:sz w:val="22"/>
          <w:szCs w:val="22"/>
        </w:rPr>
        <w:t>or</w:t>
      </w:r>
      <w:r w:rsidR="001706EB" w:rsidRPr="00F3572E">
        <w:rPr>
          <w:rFonts w:ascii="Arial" w:eastAsia="Arial" w:hAnsi="Arial" w:cs="Arial"/>
          <w:sz w:val="22"/>
          <w:szCs w:val="22"/>
        </w:rPr>
        <w:t xml:space="preserve"> </w:t>
      </w:r>
      <w:r w:rsidR="001706EB" w:rsidRPr="00BD17CA">
        <w:rPr>
          <w:rFonts w:ascii="Arial" w:eastAsia="Arial" w:hAnsi="Arial" w:cs="Arial"/>
          <w:sz w:val="22"/>
          <w:szCs w:val="22"/>
        </w:rPr>
        <w:t>the</w:t>
      </w:r>
      <w:r w:rsidR="001706EB" w:rsidRPr="00F3572E">
        <w:rPr>
          <w:rFonts w:ascii="Arial" w:eastAsia="Arial" w:hAnsi="Arial" w:cs="Arial"/>
          <w:sz w:val="22"/>
          <w:szCs w:val="22"/>
        </w:rPr>
        <w:t xml:space="preserve"> </w:t>
      </w:r>
      <w:r w:rsidR="001706EB" w:rsidRPr="00BD17CA">
        <w:rPr>
          <w:rFonts w:ascii="Arial" w:eastAsia="Arial" w:hAnsi="Arial" w:cs="Arial"/>
          <w:sz w:val="22"/>
          <w:szCs w:val="22"/>
        </w:rPr>
        <w:t>p</w:t>
      </w:r>
      <w:r w:rsidR="001706EB" w:rsidRPr="00F3572E">
        <w:rPr>
          <w:rFonts w:ascii="Arial" w:eastAsia="Arial" w:hAnsi="Arial" w:cs="Arial"/>
          <w:sz w:val="22"/>
          <w:szCs w:val="22"/>
        </w:rPr>
        <w:t>ensi</w:t>
      </w:r>
      <w:r w:rsidR="001706EB" w:rsidRPr="00BD17CA">
        <w:rPr>
          <w:rFonts w:ascii="Arial" w:eastAsia="Arial" w:hAnsi="Arial" w:cs="Arial"/>
          <w:sz w:val="22"/>
          <w:szCs w:val="22"/>
        </w:rPr>
        <w:t>on</w:t>
      </w:r>
      <w:r w:rsidR="001706EB" w:rsidRPr="00F3572E">
        <w:rPr>
          <w:rFonts w:ascii="Arial" w:eastAsia="Arial" w:hAnsi="Arial" w:cs="Arial"/>
          <w:sz w:val="22"/>
          <w:szCs w:val="22"/>
        </w:rPr>
        <w:t xml:space="preserve"> f</w:t>
      </w:r>
      <w:r w:rsidR="001706EB" w:rsidRPr="00BD17CA">
        <w:rPr>
          <w:rFonts w:ascii="Arial" w:eastAsia="Arial" w:hAnsi="Arial" w:cs="Arial"/>
          <w:sz w:val="22"/>
          <w:szCs w:val="22"/>
        </w:rPr>
        <w:t>u</w:t>
      </w:r>
      <w:r w:rsidR="001706EB" w:rsidRPr="00F3572E">
        <w:rPr>
          <w:rFonts w:ascii="Arial" w:eastAsia="Arial" w:hAnsi="Arial" w:cs="Arial"/>
          <w:sz w:val="22"/>
          <w:szCs w:val="22"/>
        </w:rPr>
        <w:t>n</w:t>
      </w:r>
      <w:r w:rsidR="001706EB" w:rsidRPr="00BD17CA">
        <w:rPr>
          <w:rFonts w:ascii="Arial" w:eastAsia="Arial" w:hAnsi="Arial" w:cs="Arial"/>
          <w:sz w:val="22"/>
          <w:szCs w:val="22"/>
        </w:rPr>
        <w:t>d</w:t>
      </w:r>
      <w:r w:rsidR="001706EB" w:rsidRPr="00F3572E">
        <w:rPr>
          <w:rFonts w:ascii="Arial" w:eastAsia="Arial" w:hAnsi="Arial" w:cs="Arial"/>
          <w:sz w:val="22"/>
          <w:szCs w:val="22"/>
        </w:rPr>
        <w:t xml:space="preserve"> </w:t>
      </w:r>
      <w:r w:rsidR="001706EB" w:rsidRPr="00BD17CA">
        <w:rPr>
          <w:rFonts w:ascii="Arial" w:eastAsia="Arial" w:hAnsi="Arial" w:cs="Arial"/>
          <w:sz w:val="22"/>
          <w:szCs w:val="22"/>
        </w:rPr>
        <w:t>of £</w:t>
      </w:r>
      <w:r w:rsidR="001706EB" w:rsidRPr="00F3572E">
        <w:rPr>
          <w:rFonts w:ascii="Arial" w:eastAsia="Arial" w:hAnsi="Arial" w:cs="Arial"/>
          <w:sz w:val="22"/>
          <w:szCs w:val="22"/>
        </w:rPr>
        <w:t>1</w:t>
      </w:r>
      <w:r w:rsidR="001706EB" w:rsidRPr="00BD17CA">
        <w:rPr>
          <w:rFonts w:ascii="Arial" w:eastAsia="Arial" w:hAnsi="Arial" w:cs="Arial"/>
          <w:sz w:val="22"/>
          <w:szCs w:val="22"/>
        </w:rPr>
        <w:t>6k</w:t>
      </w:r>
      <w:r w:rsidR="001706EB" w:rsidRPr="00F3572E">
        <w:rPr>
          <w:rFonts w:ascii="Arial" w:eastAsia="Arial" w:hAnsi="Arial" w:cs="Arial"/>
          <w:sz w:val="22"/>
          <w:szCs w:val="22"/>
        </w:rPr>
        <w:t xml:space="preserve"> (</w:t>
      </w:r>
      <w:r w:rsidR="001706EB" w:rsidRPr="00BD17CA">
        <w:rPr>
          <w:rFonts w:ascii="Arial" w:eastAsia="Arial" w:hAnsi="Arial" w:cs="Arial"/>
          <w:sz w:val="22"/>
          <w:szCs w:val="22"/>
        </w:rPr>
        <w:t>£1</w:t>
      </w:r>
      <w:r>
        <w:rPr>
          <w:rFonts w:ascii="Arial" w:eastAsia="Arial" w:hAnsi="Arial" w:cs="Arial"/>
          <w:sz w:val="22"/>
          <w:szCs w:val="22"/>
        </w:rPr>
        <w:t>6</w:t>
      </w:r>
      <w:r w:rsidR="001706EB" w:rsidRPr="00BD17CA">
        <w:rPr>
          <w:rFonts w:ascii="Arial" w:eastAsia="Arial" w:hAnsi="Arial" w:cs="Arial"/>
          <w:sz w:val="22"/>
          <w:szCs w:val="22"/>
        </w:rPr>
        <w:t>k</w:t>
      </w:r>
      <w:r w:rsidR="001706EB" w:rsidRPr="00F3572E">
        <w:rPr>
          <w:rFonts w:ascii="Arial" w:eastAsia="Arial" w:hAnsi="Arial" w:cs="Arial"/>
          <w:sz w:val="22"/>
          <w:szCs w:val="22"/>
        </w:rPr>
        <w:t xml:space="preserve"> f</w:t>
      </w:r>
      <w:r w:rsidR="001706EB" w:rsidRPr="00BD17CA">
        <w:rPr>
          <w:rFonts w:ascii="Arial" w:eastAsia="Arial" w:hAnsi="Arial" w:cs="Arial"/>
          <w:sz w:val="22"/>
          <w:szCs w:val="22"/>
        </w:rPr>
        <w:t>or</w:t>
      </w:r>
      <w:r w:rsidR="00F3572E">
        <w:rPr>
          <w:rFonts w:ascii="Arial" w:eastAsia="Arial" w:hAnsi="Arial" w:cs="Arial"/>
          <w:sz w:val="22"/>
          <w:szCs w:val="22"/>
        </w:rPr>
        <w:t xml:space="preserve"> </w:t>
      </w:r>
      <w:r w:rsidR="001706EB" w:rsidRPr="00BD17CA">
        <w:rPr>
          <w:rFonts w:ascii="Arial" w:eastAsia="Arial" w:hAnsi="Arial" w:cs="Arial"/>
          <w:sz w:val="22"/>
          <w:szCs w:val="22"/>
        </w:rPr>
        <w:t>2</w:t>
      </w:r>
      <w:r w:rsidR="001706EB" w:rsidRPr="00F3572E">
        <w:rPr>
          <w:rFonts w:ascii="Arial" w:eastAsia="Arial" w:hAnsi="Arial" w:cs="Arial"/>
          <w:sz w:val="22"/>
          <w:szCs w:val="22"/>
        </w:rPr>
        <w:t>0</w:t>
      </w:r>
      <w:r w:rsidR="001706EB" w:rsidRPr="00BD17CA">
        <w:rPr>
          <w:rFonts w:ascii="Arial" w:eastAsia="Arial" w:hAnsi="Arial" w:cs="Arial"/>
          <w:sz w:val="22"/>
          <w:szCs w:val="22"/>
        </w:rPr>
        <w:t>1</w:t>
      </w:r>
      <w:r>
        <w:rPr>
          <w:rFonts w:ascii="Arial" w:eastAsia="Arial" w:hAnsi="Arial" w:cs="Arial"/>
          <w:sz w:val="22"/>
          <w:szCs w:val="22"/>
        </w:rPr>
        <w:t>8</w:t>
      </w:r>
      <w:r w:rsidR="001706EB" w:rsidRPr="00BD17CA">
        <w:rPr>
          <w:rFonts w:ascii="Arial" w:eastAsia="Arial" w:hAnsi="Arial" w:cs="Arial"/>
          <w:sz w:val="22"/>
          <w:szCs w:val="22"/>
        </w:rPr>
        <w:t>/1</w:t>
      </w:r>
      <w:r>
        <w:rPr>
          <w:rFonts w:ascii="Arial" w:eastAsia="Arial" w:hAnsi="Arial" w:cs="Arial"/>
          <w:sz w:val="22"/>
          <w:szCs w:val="22"/>
        </w:rPr>
        <w:t>9</w:t>
      </w:r>
      <w:r w:rsidR="001706EB" w:rsidRPr="00F3572E">
        <w:rPr>
          <w:rFonts w:ascii="Arial" w:eastAsia="Arial" w:hAnsi="Arial" w:cs="Arial"/>
          <w:sz w:val="22"/>
          <w:szCs w:val="22"/>
        </w:rPr>
        <w:t>)</w:t>
      </w:r>
      <w:r w:rsidR="001706EB" w:rsidRPr="00BD17CA">
        <w:rPr>
          <w:rFonts w:ascii="Arial" w:eastAsia="Arial" w:hAnsi="Arial" w:cs="Arial"/>
          <w:sz w:val="22"/>
          <w:szCs w:val="22"/>
        </w:rPr>
        <w:t>.</w:t>
      </w:r>
    </w:p>
    <w:p w14:paraId="26EA21BF" w14:textId="1D81719F" w:rsidR="009C7422" w:rsidRDefault="001706EB" w:rsidP="00F3572E">
      <w:pPr>
        <w:spacing w:after="200" w:line="276" w:lineRule="auto"/>
        <w:ind w:right="74"/>
        <w:jc w:val="both"/>
        <w:rPr>
          <w:rFonts w:ascii="Arial" w:eastAsia="Arial" w:hAnsi="Arial" w:cs="Arial"/>
          <w:b/>
          <w:bCs/>
          <w:sz w:val="22"/>
          <w:szCs w:val="22"/>
        </w:rPr>
      </w:pPr>
      <w:r w:rsidRPr="00F3572E">
        <w:rPr>
          <w:rFonts w:ascii="Arial" w:eastAsia="Arial" w:hAnsi="Arial" w:cs="Arial"/>
          <w:b/>
          <w:bCs/>
          <w:sz w:val="22"/>
          <w:szCs w:val="22"/>
        </w:rPr>
        <w:t>NOTE 11</w:t>
      </w:r>
      <w:r w:rsidR="00F3572E">
        <w:rPr>
          <w:rFonts w:ascii="Arial" w:eastAsia="Arial" w:hAnsi="Arial" w:cs="Arial"/>
          <w:b/>
          <w:bCs/>
          <w:sz w:val="22"/>
          <w:szCs w:val="22"/>
        </w:rPr>
        <w:t>a</w:t>
      </w:r>
      <w:r w:rsidRPr="00F3572E">
        <w:rPr>
          <w:rFonts w:ascii="Arial" w:eastAsia="Arial" w:hAnsi="Arial" w:cs="Arial"/>
          <w:b/>
          <w:bCs/>
          <w:sz w:val="22"/>
          <w:szCs w:val="22"/>
        </w:rPr>
        <w:t>: INVESTMENT MANAGEMENT EXPENSES</w:t>
      </w:r>
    </w:p>
    <w:tbl>
      <w:tblPr>
        <w:tblW w:w="8740" w:type="dxa"/>
        <w:tblLook w:val="04A0" w:firstRow="1" w:lastRow="0" w:firstColumn="1" w:lastColumn="0" w:noHBand="0" w:noVBand="1"/>
      </w:tblPr>
      <w:tblGrid>
        <w:gridCol w:w="1012"/>
        <w:gridCol w:w="960"/>
        <w:gridCol w:w="5860"/>
        <w:gridCol w:w="1012"/>
      </w:tblGrid>
      <w:tr w:rsidR="00251DA8" w:rsidRPr="00251DA8" w14:paraId="6E0E4F67" w14:textId="77777777" w:rsidTr="00251DA8">
        <w:trPr>
          <w:trHeight w:val="300"/>
        </w:trPr>
        <w:tc>
          <w:tcPr>
            <w:tcW w:w="960" w:type="dxa"/>
            <w:tcBorders>
              <w:top w:val="single" w:sz="4" w:space="0" w:color="auto"/>
              <w:left w:val="single" w:sz="4" w:space="0" w:color="auto"/>
              <w:bottom w:val="nil"/>
              <w:right w:val="nil"/>
            </w:tcBorders>
            <w:shd w:val="clear" w:color="000000" w:fill="00CC99"/>
            <w:vAlign w:val="center"/>
            <w:hideMark/>
          </w:tcPr>
          <w:p w14:paraId="07503F8D"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2018/19</w:t>
            </w:r>
          </w:p>
        </w:tc>
        <w:tc>
          <w:tcPr>
            <w:tcW w:w="960" w:type="dxa"/>
            <w:tcBorders>
              <w:top w:val="single" w:sz="4" w:space="0" w:color="auto"/>
              <w:left w:val="nil"/>
              <w:bottom w:val="nil"/>
              <w:right w:val="nil"/>
            </w:tcBorders>
            <w:shd w:val="clear" w:color="000000" w:fill="00CC99"/>
            <w:vAlign w:val="center"/>
            <w:hideMark/>
          </w:tcPr>
          <w:p w14:paraId="2CA2ADCF"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 </w:t>
            </w:r>
          </w:p>
        </w:tc>
        <w:tc>
          <w:tcPr>
            <w:tcW w:w="5860" w:type="dxa"/>
            <w:tcBorders>
              <w:top w:val="single" w:sz="4" w:space="0" w:color="auto"/>
              <w:left w:val="nil"/>
              <w:bottom w:val="nil"/>
              <w:right w:val="nil"/>
            </w:tcBorders>
            <w:shd w:val="clear" w:color="000000" w:fill="00CC99"/>
            <w:vAlign w:val="center"/>
            <w:hideMark/>
          </w:tcPr>
          <w:p w14:paraId="77F2B0C4"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 </w:t>
            </w:r>
          </w:p>
        </w:tc>
        <w:tc>
          <w:tcPr>
            <w:tcW w:w="960" w:type="dxa"/>
            <w:tcBorders>
              <w:top w:val="single" w:sz="4" w:space="0" w:color="auto"/>
              <w:left w:val="nil"/>
              <w:bottom w:val="nil"/>
              <w:right w:val="single" w:sz="4" w:space="0" w:color="auto"/>
            </w:tcBorders>
            <w:shd w:val="clear" w:color="000000" w:fill="00CC99"/>
            <w:vAlign w:val="center"/>
            <w:hideMark/>
          </w:tcPr>
          <w:p w14:paraId="347455DA"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2019/20</w:t>
            </w:r>
          </w:p>
        </w:tc>
      </w:tr>
      <w:tr w:rsidR="00251DA8" w:rsidRPr="00251DA8" w14:paraId="0E1A1998" w14:textId="77777777" w:rsidTr="00251DA8">
        <w:trPr>
          <w:trHeight w:val="300"/>
        </w:trPr>
        <w:tc>
          <w:tcPr>
            <w:tcW w:w="960" w:type="dxa"/>
            <w:tcBorders>
              <w:top w:val="nil"/>
              <w:left w:val="single" w:sz="4" w:space="0" w:color="auto"/>
              <w:bottom w:val="single" w:sz="4" w:space="0" w:color="auto"/>
              <w:right w:val="nil"/>
            </w:tcBorders>
            <w:shd w:val="clear" w:color="000000" w:fill="00CC99"/>
            <w:noWrap/>
            <w:vAlign w:val="center"/>
            <w:hideMark/>
          </w:tcPr>
          <w:p w14:paraId="36092000"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£'000</w:t>
            </w:r>
          </w:p>
        </w:tc>
        <w:tc>
          <w:tcPr>
            <w:tcW w:w="960" w:type="dxa"/>
            <w:tcBorders>
              <w:top w:val="nil"/>
              <w:left w:val="nil"/>
              <w:bottom w:val="single" w:sz="4" w:space="0" w:color="auto"/>
              <w:right w:val="nil"/>
            </w:tcBorders>
            <w:shd w:val="clear" w:color="000000" w:fill="00CC99"/>
            <w:noWrap/>
            <w:vAlign w:val="center"/>
            <w:hideMark/>
          </w:tcPr>
          <w:p w14:paraId="171D63F6"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 </w:t>
            </w:r>
          </w:p>
        </w:tc>
        <w:tc>
          <w:tcPr>
            <w:tcW w:w="5860" w:type="dxa"/>
            <w:tcBorders>
              <w:top w:val="nil"/>
              <w:left w:val="nil"/>
              <w:bottom w:val="single" w:sz="4" w:space="0" w:color="auto"/>
              <w:right w:val="nil"/>
            </w:tcBorders>
            <w:shd w:val="clear" w:color="000000" w:fill="00CC99"/>
            <w:noWrap/>
            <w:vAlign w:val="center"/>
            <w:hideMark/>
          </w:tcPr>
          <w:p w14:paraId="5D90A48A"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000000" w:fill="00CC99"/>
            <w:noWrap/>
            <w:vAlign w:val="center"/>
            <w:hideMark/>
          </w:tcPr>
          <w:p w14:paraId="1105299D" w14:textId="77777777" w:rsidR="00251DA8" w:rsidRPr="00251DA8" w:rsidRDefault="00251DA8" w:rsidP="00251DA8">
            <w:pPr>
              <w:jc w:val="center"/>
              <w:rPr>
                <w:rFonts w:ascii="Arial" w:hAnsi="Arial" w:cs="Arial"/>
                <w:b/>
                <w:bCs/>
                <w:color w:val="000000"/>
                <w:sz w:val="22"/>
                <w:szCs w:val="22"/>
                <w:lang w:val="en-GB" w:eastAsia="en-GB"/>
              </w:rPr>
            </w:pPr>
            <w:r w:rsidRPr="00251DA8">
              <w:rPr>
                <w:rFonts w:ascii="Arial" w:hAnsi="Arial" w:cs="Arial"/>
                <w:b/>
                <w:bCs/>
                <w:color w:val="000000"/>
                <w:sz w:val="22"/>
                <w:szCs w:val="22"/>
                <w:lang w:val="en-GB" w:eastAsia="en-GB"/>
              </w:rPr>
              <w:t>£'000</w:t>
            </w:r>
          </w:p>
        </w:tc>
      </w:tr>
      <w:tr w:rsidR="00251DA8" w:rsidRPr="00251DA8" w14:paraId="712AAFAC" w14:textId="77777777" w:rsidTr="00251DA8">
        <w:trPr>
          <w:trHeight w:val="315"/>
        </w:trPr>
        <w:tc>
          <w:tcPr>
            <w:tcW w:w="960" w:type="dxa"/>
            <w:tcBorders>
              <w:top w:val="nil"/>
              <w:left w:val="single" w:sz="4" w:space="0" w:color="auto"/>
              <w:bottom w:val="nil"/>
              <w:right w:val="nil"/>
            </w:tcBorders>
            <w:shd w:val="clear" w:color="auto" w:fill="auto"/>
            <w:noWrap/>
            <w:vAlign w:val="bottom"/>
            <w:hideMark/>
          </w:tcPr>
          <w:p w14:paraId="1A54A07B" w14:textId="77777777" w:rsidR="00251DA8" w:rsidRPr="00251DA8" w:rsidRDefault="00251DA8" w:rsidP="00251DA8">
            <w:pPr>
              <w:jc w:val="center"/>
              <w:rPr>
                <w:rFonts w:ascii="Arial" w:hAnsi="Arial" w:cs="Arial"/>
                <w:b/>
                <w:bCs/>
                <w:sz w:val="22"/>
                <w:szCs w:val="22"/>
                <w:lang w:val="en-GB" w:eastAsia="en-GB"/>
              </w:rPr>
            </w:pPr>
            <w:r w:rsidRPr="00251DA8">
              <w:rPr>
                <w:rFonts w:ascii="Arial" w:hAnsi="Arial" w:cs="Arial"/>
                <w:b/>
                <w:bCs/>
                <w:sz w:val="22"/>
                <w:szCs w:val="22"/>
                <w:lang w:val="en-GB" w:eastAsia="en-GB"/>
              </w:rPr>
              <w:t> </w:t>
            </w:r>
          </w:p>
        </w:tc>
        <w:tc>
          <w:tcPr>
            <w:tcW w:w="960" w:type="dxa"/>
            <w:tcBorders>
              <w:top w:val="nil"/>
              <w:left w:val="nil"/>
              <w:bottom w:val="nil"/>
              <w:right w:val="nil"/>
            </w:tcBorders>
            <w:shd w:val="clear" w:color="auto" w:fill="auto"/>
            <w:noWrap/>
            <w:vAlign w:val="bottom"/>
            <w:hideMark/>
          </w:tcPr>
          <w:p w14:paraId="3B9D545E" w14:textId="77777777" w:rsidR="00251DA8" w:rsidRPr="00251DA8" w:rsidRDefault="00251DA8" w:rsidP="00251DA8">
            <w:pPr>
              <w:jc w:val="center"/>
              <w:rPr>
                <w:rFonts w:ascii="Arial" w:hAnsi="Arial" w:cs="Arial"/>
                <w:b/>
                <w:bCs/>
                <w:sz w:val="22"/>
                <w:szCs w:val="22"/>
                <w:lang w:val="en-GB" w:eastAsia="en-GB"/>
              </w:rPr>
            </w:pPr>
          </w:p>
        </w:tc>
        <w:tc>
          <w:tcPr>
            <w:tcW w:w="5860" w:type="dxa"/>
            <w:tcBorders>
              <w:top w:val="nil"/>
              <w:left w:val="nil"/>
              <w:bottom w:val="nil"/>
              <w:right w:val="nil"/>
            </w:tcBorders>
            <w:shd w:val="clear" w:color="auto" w:fill="auto"/>
            <w:noWrap/>
            <w:vAlign w:val="bottom"/>
            <w:hideMark/>
          </w:tcPr>
          <w:p w14:paraId="1DBA7125" w14:textId="77777777" w:rsidR="00251DA8" w:rsidRPr="00251DA8" w:rsidRDefault="00251DA8" w:rsidP="00251DA8">
            <w:pPr>
              <w:rPr>
                <w:lang w:val="en-GB" w:eastAsia="en-GB"/>
              </w:rPr>
            </w:pPr>
          </w:p>
        </w:tc>
        <w:tc>
          <w:tcPr>
            <w:tcW w:w="960" w:type="dxa"/>
            <w:tcBorders>
              <w:top w:val="nil"/>
              <w:left w:val="nil"/>
              <w:bottom w:val="nil"/>
              <w:right w:val="single" w:sz="4" w:space="0" w:color="auto"/>
            </w:tcBorders>
            <w:shd w:val="clear" w:color="auto" w:fill="auto"/>
            <w:noWrap/>
            <w:vAlign w:val="bottom"/>
            <w:hideMark/>
          </w:tcPr>
          <w:p w14:paraId="14934780" w14:textId="77777777" w:rsidR="00251DA8" w:rsidRPr="00251DA8" w:rsidRDefault="00251DA8" w:rsidP="00251DA8">
            <w:pPr>
              <w:jc w:val="center"/>
              <w:rPr>
                <w:rFonts w:ascii="Arial" w:hAnsi="Arial" w:cs="Arial"/>
                <w:b/>
                <w:bCs/>
                <w:sz w:val="22"/>
                <w:szCs w:val="22"/>
                <w:lang w:val="en-GB" w:eastAsia="en-GB"/>
              </w:rPr>
            </w:pPr>
            <w:r w:rsidRPr="00251DA8">
              <w:rPr>
                <w:rFonts w:ascii="Arial" w:hAnsi="Arial" w:cs="Arial"/>
                <w:b/>
                <w:bCs/>
                <w:sz w:val="22"/>
                <w:szCs w:val="22"/>
                <w:lang w:val="en-GB" w:eastAsia="en-GB"/>
              </w:rPr>
              <w:t> </w:t>
            </w:r>
          </w:p>
        </w:tc>
      </w:tr>
      <w:tr w:rsidR="00251DA8" w:rsidRPr="00251DA8" w14:paraId="072F39DE" w14:textId="77777777" w:rsidTr="00251DA8">
        <w:trPr>
          <w:trHeight w:val="330"/>
        </w:trPr>
        <w:tc>
          <w:tcPr>
            <w:tcW w:w="960" w:type="dxa"/>
            <w:tcBorders>
              <w:top w:val="nil"/>
              <w:left w:val="single" w:sz="4" w:space="0" w:color="auto"/>
              <w:bottom w:val="nil"/>
              <w:right w:val="nil"/>
            </w:tcBorders>
            <w:shd w:val="clear" w:color="auto" w:fill="auto"/>
            <w:noWrap/>
            <w:vAlign w:val="bottom"/>
            <w:hideMark/>
          </w:tcPr>
          <w:p w14:paraId="0DA23FD7"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1,016</w:t>
            </w:r>
          </w:p>
        </w:tc>
        <w:tc>
          <w:tcPr>
            <w:tcW w:w="6820" w:type="dxa"/>
            <w:gridSpan w:val="2"/>
            <w:tcBorders>
              <w:top w:val="nil"/>
              <w:left w:val="nil"/>
              <w:bottom w:val="nil"/>
              <w:right w:val="nil"/>
            </w:tcBorders>
            <w:shd w:val="clear" w:color="auto" w:fill="auto"/>
            <w:noWrap/>
            <w:vAlign w:val="bottom"/>
            <w:hideMark/>
          </w:tcPr>
          <w:p w14:paraId="2477D361"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Administration Expenses</w:t>
            </w:r>
          </w:p>
        </w:tc>
        <w:tc>
          <w:tcPr>
            <w:tcW w:w="960" w:type="dxa"/>
            <w:tcBorders>
              <w:top w:val="single" w:sz="12" w:space="0" w:color="FFFFFF"/>
              <w:left w:val="nil"/>
              <w:bottom w:val="single" w:sz="12" w:space="0" w:color="FFFFFF"/>
              <w:right w:val="single" w:sz="4" w:space="0" w:color="auto"/>
            </w:tcBorders>
            <w:shd w:val="clear" w:color="auto" w:fill="auto"/>
            <w:noWrap/>
            <w:vAlign w:val="bottom"/>
            <w:hideMark/>
          </w:tcPr>
          <w:p w14:paraId="23F4F387"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1,240</w:t>
            </w:r>
          </w:p>
        </w:tc>
      </w:tr>
      <w:tr w:rsidR="00251DA8" w:rsidRPr="00251DA8" w14:paraId="67F84EAE" w14:textId="77777777" w:rsidTr="00251DA8">
        <w:trPr>
          <w:trHeight w:val="330"/>
        </w:trPr>
        <w:tc>
          <w:tcPr>
            <w:tcW w:w="960" w:type="dxa"/>
            <w:tcBorders>
              <w:top w:val="nil"/>
              <w:left w:val="single" w:sz="4" w:space="0" w:color="auto"/>
              <w:bottom w:val="nil"/>
              <w:right w:val="nil"/>
            </w:tcBorders>
            <w:shd w:val="clear" w:color="auto" w:fill="auto"/>
            <w:noWrap/>
            <w:vAlign w:val="bottom"/>
            <w:hideMark/>
          </w:tcPr>
          <w:p w14:paraId="39CBB97D"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175</w:t>
            </w:r>
          </w:p>
        </w:tc>
        <w:tc>
          <w:tcPr>
            <w:tcW w:w="6820" w:type="dxa"/>
            <w:gridSpan w:val="2"/>
            <w:tcBorders>
              <w:top w:val="nil"/>
              <w:left w:val="nil"/>
              <w:bottom w:val="nil"/>
              <w:right w:val="nil"/>
            </w:tcBorders>
            <w:shd w:val="clear" w:color="auto" w:fill="auto"/>
            <w:noWrap/>
            <w:vAlign w:val="bottom"/>
            <w:hideMark/>
          </w:tcPr>
          <w:p w14:paraId="5797C0F5"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Actuary expenses</w:t>
            </w:r>
          </w:p>
        </w:tc>
        <w:tc>
          <w:tcPr>
            <w:tcW w:w="960" w:type="dxa"/>
            <w:tcBorders>
              <w:top w:val="nil"/>
              <w:left w:val="nil"/>
              <w:bottom w:val="single" w:sz="12" w:space="0" w:color="FFFFFF"/>
              <w:right w:val="single" w:sz="4" w:space="0" w:color="auto"/>
            </w:tcBorders>
            <w:shd w:val="clear" w:color="auto" w:fill="auto"/>
            <w:noWrap/>
            <w:vAlign w:val="bottom"/>
            <w:hideMark/>
          </w:tcPr>
          <w:p w14:paraId="73D25AF5"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255</w:t>
            </w:r>
          </w:p>
        </w:tc>
      </w:tr>
      <w:tr w:rsidR="00251DA8" w:rsidRPr="00251DA8" w14:paraId="0679058D" w14:textId="77777777" w:rsidTr="00251DA8">
        <w:trPr>
          <w:trHeight w:val="330"/>
        </w:trPr>
        <w:tc>
          <w:tcPr>
            <w:tcW w:w="960" w:type="dxa"/>
            <w:tcBorders>
              <w:top w:val="nil"/>
              <w:left w:val="single" w:sz="4" w:space="0" w:color="auto"/>
              <w:bottom w:val="nil"/>
              <w:right w:val="nil"/>
            </w:tcBorders>
            <w:shd w:val="clear" w:color="auto" w:fill="auto"/>
            <w:noWrap/>
            <w:vAlign w:val="bottom"/>
            <w:hideMark/>
          </w:tcPr>
          <w:p w14:paraId="3BEF55C8"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117</w:t>
            </w:r>
          </w:p>
        </w:tc>
        <w:tc>
          <w:tcPr>
            <w:tcW w:w="6820" w:type="dxa"/>
            <w:gridSpan w:val="2"/>
            <w:tcBorders>
              <w:top w:val="nil"/>
              <w:left w:val="nil"/>
              <w:bottom w:val="nil"/>
              <w:right w:val="nil"/>
            </w:tcBorders>
            <w:shd w:val="clear" w:color="auto" w:fill="auto"/>
            <w:noWrap/>
            <w:vAlign w:val="bottom"/>
            <w:hideMark/>
          </w:tcPr>
          <w:p w14:paraId="67BABB10"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Oversight and Governance*</w:t>
            </w:r>
          </w:p>
        </w:tc>
        <w:tc>
          <w:tcPr>
            <w:tcW w:w="960" w:type="dxa"/>
            <w:tcBorders>
              <w:top w:val="nil"/>
              <w:left w:val="nil"/>
              <w:bottom w:val="single" w:sz="12" w:space="0" w:color="FFFFFF"/>
              <w:right w:val="single" w:sz="4" w:space="0" w:color="auto"/>
            </w:tcBorders>
            <w:shd w:val="clear" w:color="auto" w:fill="auto"/>
            <w:noWrap/>
            <w:vAlign w:val="bottom"/>
            <w:hideMark/>
          </w:tcPr>
          <w:p w14:paraId="01A733C0"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79</w:t>
            </w:r>
          </w:p>
        </w:tc>
      </w:tr>
      <w:tr w:rsidR="00251DA8" w:rsidRPr="00251DA8" w14:paraId="1B658CCF" w14:textId="77777777" w:rsidTr="00251DA8">
        <w:trPr>
          <w:trHeight w:val="315"/>
        </w:trPr>
        <w:tc>
          <w:tcPr>
            <w:tcW w:w="960" w:type="dxa"/>
            <w:tcBorders>
              <w:top w:val="nil"/>
              <w:left w:val="single" w:sz="4" w:space="0" w:color="auto"/>
              <w:bottom w:val="nil"/>
              <w:right w:val="nil"/>
            </w:tcBorders>
            <w:shd w:val="clear" w:color="auto" w:fill="auto"/>
            <w:noWrap/>
            <w:vAlign w:val="bottom"/>
            <w:hideMark/>
          </w:tcPr>
          <w:p w14:paraId="6BD6998F"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8,956</w:t>
            </w:r>
          </w:p>
        </w:tc>
        <w:tc>
          <w:tcPr>
            <w:tcW w:w="6820" w:type="dxa"/>
            <w:gridSpan w:val="2"/>
            <w:tcBorders>
              <w:top w:val="nil"/>
              <w:left w:val="nil"/>
              <w:bottom w:val="nil"/>
              <w:right w:val="nil"/>
            </w:tcBorders>
            <w:shd w:val="clear" w:color="auto" w:fill="auto"/>
            <w:noWrap/>
            <w:vAlign w:val="bottom"/>
            <w:hideMark/>
          </w:tcPr>
          <w:p w14:paraId="22CDF626" w14:textId="119089AF"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Investment management expenses (</w:t>
            </w:r>
            <w:r>
              <w:rPr>
                <w:rFonts w:ascii="Arial" w:hAnsi="Arial" w:cs="Arial"/>
                <w:sz w:val="22"/>
                <w:szCs w:val="22"/>
                <w:lang w:val="en-GB" w:eastAsia="en-GB"/>
              </w:rPr>
              <w:t>as below</w:t>
            </w:r>
            <w:r w:rsidRPr="00251DA8">
              <w:rPr>
                <w:rFonts w:ascii="Arial" w:hAnsi="Arial" w:cs="Arial"/>
                <w:sz w:val="22"/>
                <w:szCs w:val="22"/>
                <w:lang w:val="en-GB" w:eastAsia="en-GB"/>
              </w:rPr>
              <w:t>)</w:t>
            </w:r>
          </w:p>
        </w:tc>
        <w:tc>
          <w:tcPr>
            <w:tcW w:w="960" w:type="dxa"/>
            <w:tcBorders>
              <w:top w:val="nil"/>
              <w:left w:val="nil"/>
              <w:bottom w:val="nil"/>
              <w:right w:val="single" w:sz="4" w:space="0" w:color="auto"/>
            </w:tcBorders>
            <w:shd w:val="clear" w:color="auto" w:fill="auto"/>
            <w:noWrap/>
            <w:vAlign w:val="bottom"/>
            <w:hideMark/>
          </w:tcPr>
          <w:p w14:paraId="5268D94F" w14:textId="77777777" w:rsidR="00251DA8" w:rsidRPr="00251DA8" w:rsidRDefault="00251DA8" w:rsidP="00251DA8">
            <w:pPr>
              <w:jc w:val="right"/>
              <w:rPr>
                <w:rFonts w:ascii="Arial" w:hAnsi="Arial" w:cs="Arial"/>
                <w:sz w:val="22"/>
                <w:szCs w:val="22"/>
                <w:lang w:val="en-GB" w:eastAsia="en-GB"/>
              </w:rPr>
            </w:pPr>
            <w:r w:rsidRPr="00251DA8">
              <w:rPr>
                <w:rFonts w:ascii="Arial" w:hAnsi="Arial" w:cs="Arial"/>
                <w:sz w:val="22"/>
                <w:szCs w:val="22"/>
                <w:lang w:val="en-GB" w:eastAsia="en-GB"/>
              </w:rPr>
              <w:t>8,647</w:t>
            </w:r>
          </w:p>
        </w:tc>
      </w:tr>
      <w:tr w:rsidR="00251DA8" w:rsidRPr="00251DA8" w14:paraId="04F547B1" w14:textId="77777777" w:rsidTr="00251DA8">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21D7A443" w14:textId="77777777" w:rsidR="00251DA8" w:rsidRPr="00251DA8" w:rsidRDefault="00251DA8" w:rsidP="00251DA8">
            <w:pPr>
              <w:jc w:val="right"/>
              <w:rPr>
                <w:rFonts w:ascii="Arial" w:hAnsi="Arial" w:cs="Arial"/>
                <w:b/>
                <w:bCs/>
                <w:sz w:val="22"/>
                <w:szCs w:val="22"/>
                <w:lang w:val="en-GB" w:eastAsia="en-GB"/>
              </w:rPr>
            </w:pPr>
            <w:r w:rsidRPr="00251DA8">
              <w:rPr>
                <w:rFonts w:ascii="Arial" w:hAnsi="Arial" w:cs="Arial"/>
                <w:b/>
                <w:bCs/>
                <w:sz w:val="22"/>
                <w:szCs w:val="22"/>
                <w:lang w:val="en-GB" w:eastAsia="en-GB"/>
              </w:rPr>
              <w:t xml:space="preserve">  10,264 </w:t>
            </w:r>
          </w:p>
        </w:tc>
        <w:tc>
          <w:tcPr>
            <w:tcW w:w="960" w:type="dxa"/>
            <w:tcBorders>
              <w:top w:val="nil"/>
              <w:left w:val="nil"/>
              <w:bottom w:val="single" w:sz="4" w:space="0" w:color="auto"/>
              <w:right w:val="nil"/>
            </w:tcBorders>
            <w:shd w:val="clear" w:color="auto" w:fill="auto"/>
            <w:noWrap/>
            <w:vAlign w:val="bottom"/>
            <w:hideMark/>
          </w:tcPr>
          <w:p w14:paraId="68C5679E"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 xml:space="preserve">Total </w:t>
            </w:r>
          </w:p>
        </w:tc>
        <w:tc>
          <w:tcPr>
            <w:tcW w:w="5860" w:type="dxa"/>
            <w:tcBorders>
              <w:top w:val="nil"/>
              <w:left w:val="nil"/>
              <w:bottom w:val="single" w:sz="4" w:space="0" w:color="auto"/>
              <w:right w:val="nil"/>
            </w:tcBorders>
            <w:shd w:val="clear" w:color="auto" w:fill="auto"/>
            <w:noWrap/>
            <w:vAlign w:val="bottom"/>
            <w:hideMark/>
          </w:tcPr>
          <w:p w14:paraId="78250AF6" w14:textId="77777777" w:rsidR="00251DA8" w:rsidRPr="00251DA8" w:rsidRDefault="00251DA8" w:rsidP="00251DA8">
            <w:pPr>
              <w:rPr>
                <w:rFonts w:ascii="Arial" w:hAnsi="Arial" w:cs="Arial"/>
                <w:sz w:val="22"/>
                <w:szCs w:val="22"/>
                <w:lang w:val="en-GB" w:eastAsia="en-GB"/>
              </w:rPr>
            </w:pPr>
            <w:r w:rsidRPr="00251DA8">
              <w:rPr>
                <w:rFonts w:ascii="Arial" w:hAnsi="Arial" w:cs="Arial"/>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227528" w14:textId="77777777" w:rsidR="00251DA8" w:rsidRPr="00251DA8" w:rsidRDefault="00251DA8" w:rsidP="00251DA8">
            <w:pPr>
              <w:jc w:val="right"/>
              <w:rPr>
                <w:rFonts w:ascii="Arial" w:hAnsi="Arial" w:cs="Arial"/>
                <w:b/>
                <w:bCs/>
                <w:sz w:val="22"/>
                <w:szCs w:val="22"/>
                <w:lang w:val="en-GB" w:eastAsia="en-GB"/>
              </w:rPr>
            </w:pPr>
            <w:r w:rsidRPr="00251DA8">
              <w:rPr>
                <w:rFonts w:ascii="Arial" w:hAnsi="Arial" w:cs="Arial"/>
                <w:b/>
                <w:bCs/>
                <w:sz w:val="22"/>
                <w:szCs w:val="22"/>
                <w:lang w:val="en-GB" w:eastAsia="en-GB"/>
              </w:rPr>
              <w:t xml:space="preserve">  10,221 </w:t>
            </w:r>
          </w:p>
        </w:tc>
      </w:tr>
    </w:tbl>
    <w:p w14:paraId="09F09A16" w14:textId="39A04EAC" w:rsidR="00251DA8" w:rsidRDefault="00251DA8" w:rsidP="00F3572E">
      <w:pPr>
        <w:spacing w:after="200" w:line="276" w:lineRule="auto"/>
        <w:ind w:right="74"/>
        <w:jc w:val="both"/>
        <w:rPr>
          <w:rFonts w:ascii="Arial" w:eastAsia="Arial" w:hAnsi="Arial" w:cs="Arial"/>
          <w:b/>
          <w:bCs/>
          <w:sz w:val="22"/>
          <w:szCs w:val="22"/>
        </w:rPr>
      </w:pPr>
    </w:p>
    <w:tbl>
      <w:tblPr>
        <w:tblW w:w="8955" w:type="dxa"/>
        <w:tblLook w:val="04A0" w:firstRow="1" w:lastRow="0" w:firstColumn="1" w:lastColumn="0" w:noHBand="0" w:noVBand="1"/>
      </w:tblPr>
      <w:tblGrid>
        <w:gridCol w:w="1012"/>
        <w:gridCol w:w="3455"/>
        <w:gridCol w:w="3476"/>
        <w:gridCol w:w="1012"/>
      </w:tblGrid>
      <w:tr w:rsidR="00C65F3C" w:rsidRPr="00C65F3C" w14:paraId="54A56927" w14:textId="77777777" w:rsidTr="00524ED8">
        <w:trPr>
          <w:trHeight w:val="300"/>
        </w:trPr>
        <w:tc>
          <w:tcPr>
            <w:tcW w:w="1012" w:type="dxa"/>
            <w:tcBorders>
              <w:top w:val="single" w:sz="4" w:space="0" w:color="auto"/>
              <w:left w:val="single" w:sz="4" w:space="0" w:color="auto"/>
              <w:bottom w:val="nil"/>
              <w:right w:val="nil"/>
            </w:tcBorders>
            <w:shd w:val="clear" w:color="000000" w:fill="00CC99"/>
            <w:vAlign w:val="center"/>
            <w:hideMark/>
          </w:tcPr>
          <w:p w14:paraId="26E8EADA"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lastRenderedPageBreak/>
              <w:t>2018/19</w:t>
            </w:r>
          </w:p>
        </w:tc>
        <w:tc>
          <w:tcPr>
            <w:tcW w:w="3455" w:type="dxa"/>
            <w:tcBorders>
              <w:top w:val="single" w:sz="4" w:space="0" w:color="auto"/>
              <w:left w:val="nil"/>
              <w:bottom w:val="nil"/>
              <w:right w:val="nil"/>
            </w:tcBorders>
            <w:shd w:val="clear" w:color="000000" w:fill="00CC99"/>
            <w:vAlign w:val="center"/>
            <w:hideMark/>
          </w:tcPr>
          <w:p w14:paraId="5086762D"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w:t>
            </w:r>
          </w:p>
        </w:tc>
        <w:tc>
          <w:tcPr>
            <w:tcW w:w="3476" w:type="dxa"/>
            <w:tcBorders>
              <w:top w:val="single" w:sz="4" w:space="0" w:color="auto"/>
              <w:left w:val="nil"/>
              <w:bottom w:val="nil"/>
              <w:right w:val="nil"/>
            </w:tcBorders>
            <w:shd w:val="clear" w:color="000000" w:fill="00CC99"/>
            <w:vAlign w:val="center"/>
            <w:hideMark/>
          </w:tcPr>
          <w:p w14:paraId="5170730A"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w:t>
            </w:r>
          </w:p>
        </w:tc>
        <w:tc>
          <w:tcPr>
            <w:tcW w:w="1012" w:type="dxa"/>
            <w:tcBorders>
              <w:top w:val="single" w:sz="4" w:space="0" w:color="auto"/>
              <w:left w:val="nil"/>
              <w:bottom w:val="nil"/>
              <w:right w:val="single" w:sz="4" w:space="0" w:color="auto"/>
            </w:tcBorders>
            <w:shd w:val="clear" w:color="000000" w:fill="00CC99"/>
            <w:vAlign w:val="center"/>
            <w:hideMark/>
          </w:tcPr>
          <w:p w14:paraId="61FA268A"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2019/20</w:t>
            </w:r>
          </w:p>
        </w:tc>
      </w:tr>
      <w:tr w:rsidR="00C65F3C" w:rsidRPr="00C65F3C" w14:paraId="341050A6" w14:textId="77777777" w:rsidTr="00524ED8">
        <w:trPr>
          <w:trHeight w:val="300"/>
        </w:trPr>
        <w:tc>
          <w:tcPr>
            <w:tcW w:w="1012" w:type="dxa"/>
            <w:tcBorders>
              <w:top w:val="nil"/>
              <w:left w:val="single" w:sz="4" w:space="0" w:color="auto"/>
              <w:bottom w:val="single" w:sz="4" w:space="0" w:color="auto"/>
              <w:right w:val="nil"/>
            </w:tcBorders>
            <w:shd w:val="clear" w:color="000000" w:fill="00CC99"/>
            <w:noWrap/>
            <w:vAlign w:val="center"/>
            <w:hideMark/>
          </w:tcPr>
          <w:p w14:paraId="68BFE205"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£'000</w:t>
            </w:r>
          </w:p>
        </w:tc>
        <w:tc>
          <w:tcPr>
            <w:tcW w:w="3455" w:type="dxa"/>
            <w:tcBorders>
              <w:top w:val="nil"/>
              <w:left w:val="nil"/>
              <w:bottom w:val="single" w:sz="4" w:space="0" w:color="auto"/>
              <w:right w:val="nil"/>
            </w:tcBorders>
            <w:shd w:val="clear" w:color="000000" w:fill="00CC99"/>
            <w:noWrap/>
            <w:vAlign w:val="center"/>
            <w:hideMark/>
          </w:tcPr>
          <w:p w14:paraId="244EC664"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w:t>
            </w:r>
          </w:p>
        </w:tc>
        <w:tc>
          <w:tcPr>
            <w:tcW w:w="3476" w:type="dxa"/>
            <w:tcBorders>
              <w:top w:val="nil"/>
              <w:left w:val="nil"/>
              <w:bottom w:val="single" w:sz="4" w:space="0" w:color="auto"/>
              <w:right w:val="nil"/>
            </w:tcBorders>
            <w:shd w:val="clear" w:color="000000" w:fill="00CC99"/>
            <w:noWrap/>
            <w:vAlign w:val="center"/>
            <w:hideMark/>
          </w:tcPr>
          <w:p w14:paraId="7D1DA55E"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w:t>
            </w:r>
          </w:p>
        </w:tc>
        <w:tc>
          <w:tcPr>
            <w:tcW w:w="1012" w:type="dxa"/>
            <w:tcBorders>
              <w:top w:val="nil"/>
              <w:left w:val="nil"/>
              <w:bottom w:val="single" w:sz="4" w:space="0" w:color="auto"/>
              <w:right w:val="single" w:sz="4" w:space="0" w:color="auto"/>
            </w:tcBorders>
            <w:shd w:val="clear" w:color="000000" w:fill="00CC99"/>
            <w:noWrap/>
            <w:vAlign w:val="center"/>
            <w:hideMark/>
          </w:tcPr>
          <w:p w14:paraId="755E0C71"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£'000</w:t>
            </w:r>
          </w:p>
        </w:tc>
      </w:tr>
      <w:tr w:rsidR="00C65F3C" w:rsidRPr="00C65F3C" w14:paraId="6ED3D898" w14:textId="77777777" w:rsidTr="00524ED8">
        <w:trPr>
          <w:trHeight w:val="315"/>
        </w:trPr>
        <w:tc>
          <w:tcPr>
            <w:tcW w:w="1012" w:type="dxa"/>
            <w:tcBorders>
              <w:top w:val="nil"/>
              <w:left w:val="single" w:sz="4" w:space="0" w:color="auto"/>
              <w:bottom w:val="nil"/>
              <w:right w:val="nil"/>
            </w:tcBorders>
            <w:shd w:val="clear" w:color="auto" w:fill="auto"/>
            <w:noWrap/>
            <w:vAlign w:val="center"/>
            <w:hideMark/>
          </w:tcPr>
          <w:p w14:paraId="70F2C50C"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w:t>
            </w:r>
          </w:p>
        </w:tc>
        <w:tc>
          <w:tcPr>
            <w:tcW w:w="3455" w:type="dxa"/>
            <w:tcBorders>
              <w:top w:val="nil"/>
              <w:left w:val="nil"/>
              <w:bottom w:val="nil"/>
              <w:right w:val="nil"/>
            </w:tcBorders>
            <w:shd w:val="clear" w:color="auto" w:fill="auto"/>
            <w:noWrap/>
            <w:vAlign w:val="center"/>
            <w:hideMark/>
          </w:tcPr>
          <w:p w14:paraId="2C7E47E9" w14:textId="77777777" w:rsidR="00C65F3C" w:rsidRPr="00C65F3C" w:rsidRDefault="00C65F3C" w:rsidP="00C65F3C">
            <w:pPr>
              <w:jc w:val="center"/>
              <w:rPr>
                <w:rFonts w:ascii="Arial" w:hAnsi="Arial" w:cs="Arial"/>
                <w:b/>
                <w:bCs/>
                <w:color w:val="000000"/>
                <w:sz w:val="22"/>
                <w:szCs w:val="22"/>
                <w:lang w:val="en-GB" w:eastAsia="en-GB"/>
              </w:rPr>
            </w:pPr>
          </w:p>
        </w:tc>
        <w:tc>
          <w:tcPr>
            <w:tcW w:w="3476" w:type="dxa"/>
            <w:tcBorders>
              <w:top w:val="nil"/>
              <w:left w:val="nil"/>
              <w:bottom w:val="nil"/>
              <w:right w:val="nil"/>
            </w:tcBorders>
            <w:shd w:val="clear" w:color="auto" w:fill="auto"/>
            <w:noWrap/>
            <w:vAlign w:val="center"/>
            <w:hideMark/>
          </w:tcPr>
          <w:p w14:paraId="03997483" w14:textId="77777777" w:rsidR="00C65F3C" w:rsidRPr="00C65F3C" w:rsidRDefault="00C65F3C" w:rsidP="00C65F3C">
            <w:pPr>
              <w:jc w:val="center"/>
              <w:rPr>
                <w:lang w:val="en-GB" w:eastAsia="en-GB"/>
              </w:rPr>
            </w:pPr>
          </w:p>
        </w:tc>
        <w:tc>
          <w:tcPr>
            <w:tcW w:w="1012" w:type="dxa"/>
            <w:tcBorders>
              <w:top w:val="nil"/>
              <w:left w:val="nil"/>
              <w:bottom w:val="nil"/>
              <w:right w:val="single" w:sz="4" w:space="0" w:color="auto"/>
            </w:tcBorders>
            <w:shd w:val="clear" w:color="auto" w:fill="auto"/>
            <w:noWrap/>
            <w:vAlign w:val="center"/>
            <w:hideMark/>
          </w:tcPr>
          <w:p w14:paraId="31178847"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w:t>
            </w:r>
          </w:p>
        </w:tc>
      </w:tr>
      <w:tr w:rsidR="00C65F3C" w:rsidRPr="00C65F3C" w14:paraId="14C50A43" w14:textId="77777777" w:rsidTr="00524ED8">
        <w:trPr>
          <w:trHeight w:val="330"/>
        </w:trPr>
        <w:tc>
          <w:tcPr>
            <w:tcW w:w="1012" w:type="dxa"/>
            <w:tcBorders>
              <w:top w:val="nil"/>
              <w:left w:val="single" w:sz="4" w:space="0" w:color="auto"/>
              <w:bottom w:val="nil"/>
              <w:right w:val="nil"/>
            </w:tcBorders>
            <w:shd w:val="clear" w:color="auto" w:fill="auto"/>
            <w:noWrap/>
            <w:vAlign w:val="bottom"/>
            <w:hideMark/>
          </w:tcPr>
          <w:p w14:paraId="50292007"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 xml:space="preserve">         24 </w:t>
            </w:r>
          </w:p>
        </w:tc>
        <w:tc>
          <w:tcPr>
            <w:tcW w:w="3455" w:type="dxa"/>
            <w:tcBorders>
              <w:top w:val="nil"/>
              <w:left w:val="nil"/>
              <w:bottom w:val="nil"/>
              <w:right w:val="nil"/>
            </w:tcBorders>
            <w:shd w:val="clear" w:color="000000" w:fill="FFFFFF"/>
            <w:noWrap/>
            <w:vAlign w:val="bottom"/>
            <w:hideMark/>
          </w:tcPr>
          <w:p w14:paraId="54BE7A18" w14:textId="77777777" w:rsidR="00C65F3C" w:rsidRPr="00C65F3C" w:rsidRDefault="00C65F3C" w:rsidP="00C65F3C">
            <w:pPr>
              <w:rPr>
                <w:rFonts w:ascii="Arial" w:hAnsi="Arial" w:cs="Arial"/>
                <w:color w:val="000000"/>
                <w:sz w:val="22"/>
                <w:szCs w:val="22"/>
                <w:lang w:val="en-GB" w:eastAsia="en-GB"/>
              </w:rPr>
            </w:pPr>
            <w:r w:rsidRPr="00C65F3C">
              <w:rPr>
                <w:rFonts w:ascii="Arial" w:hAnsi="Arial" w:cs="Arial"/>
                <w:color w:val="000000"/>
                <w:sz w:val="22"/>
                <w:szCs w:val="22"/>
                <w:lang w:val="en-GB" w:eastAsia="en-GB"/>
              </w:rPr>
              <w:t>Custody fees</w:t>
            </w:r>
          </w:p>
        </w:tc>
        <w:tc>
          <w:tcPr>
            <w:tcW w:w="3476" w:type="dxa"/>
            <w:tcBorders>
              <w:top w:val="nil"/>
              <w:left w:val="nil"/>
              <w:bottom w:val="nil"/>
              <w:right w:val="nil"/>
            </w:tcBorders>
            <w:shd w:val="clear" w:color="auto" w:fill="auto"/>
            <w:noWrap/>
            <w:vAlign w:val="bottom"/>
            <w:hideMark/>
          </w:tcPr>
          <w:p w14:paraId="2A5EC47C" w14:textId="77777777" w:rsidR="00C65F3C" w:rsidRPr="00C65F3C" w:rsidRDefault="00C65F3C" w:rsidP="00C65F3C">
            <w:pPr>
              <w:rPr>
                <w:rFonts w:ascii="Arial" w:hAnsi="Arial" w:cs="Arial"/>
                <w:color w:val="000000"/>
                <w:sz w:val="22"/>
                <w:szCs w:val="22"/>
                <w:lang w:val="en-GB" w:eastAsia="en-GB"/>
              </w:rPr>
            </w:pPr>
          </w:p>
        </w:tc>
        <w:tc>
          <w:tcPr>
            <w:tcW w:w="1012" w:type="dxa"/>
            <w:tcBorders>
              <w:top w:val="single" w:sz="12" w:space="0" w:color="FFFFFF"/>
              <w:left w:val="nil"/>
              <w:bottom w:val="single" w:sz="12" w:space="0" w:color="FFFFFF"/>
              <w:right w:val="single" w:sz="4" w:space="0" w:color="auto"/>
            </w:tcBorders>
            <w:shd w:val="clear" w:color="auto" w:fill="auto"/>
            <w:noWrap/>
            <w:vAlign w:val="bottom"/>
            <w:hideMark/>
          </w:tcPr>
          <w:p w14:paraId="10A493C1"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22</w:t>
            </w:r>
          </w:p>
        </w:tc>
      </w:tr>
      <w:tr w:rsidR="00C65F3C" w:rsidRPr="00C65F3C" w14:paraId="75CEC136" w14:textId="77777777" w:rsidTr="00524ED8">
        <w:trPr>
          <w:trHeight w:val="330"/>
        </w:trPr>
        <w:tc>
          <w:tcPr>
            <w:tcW w:w="1012" w:type="dxa"/>
            <w:tcBorders>
              <w:top w:val="nil"/>
              <w:left w:val="single" w:sz="4" w:space="0" w:color="auto"/>
              <w:bottom w:val="nil"/>
              <w:right w:val="nil"/>
            </w:tcBorders>
            <w:shd w:val="clear" w:color="auto" w:fill="auto"/>
            <w:noWrap/>
            <w:vAlign w:val="bottom"/>
            <w:hideMark/>
          </w:tcPr>
          <w:p w14:paraId="66277A30"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 xml:space="preserve">    1,401 </w:t>
            </w:r>
          </w:p>
        </w:tc>
        <w:tc>
          <w:tcPr>
            <w:tcW w:w="3455" w:type="dxa"/>
            <w:tcBorders>
              <w:top w:val="nil"/>
              <w:left w:val="nil"/>
              <w:bottom w:val="nil"/>
              <w:right w:val="nil"/>
            </w:tcBorders>
            <w:shd w:val="clear" w:color="000000" w:fill="FFFFFF"/>
            <w:noWrap/>
            <w:vAlign w:val="bottom"/>
            <w:hideMark/>
          </w:tcPr>
          <w:p w14:paraId="13877914" w14:textId="77777777" w:rsidR="00C65F3C" w:rsidRPr="00C65F3C" w:rsidRDefault="00C65F3C" w:rsidP="00C65F3C">
            <w:pPr>
              <w:rPr>
                <w:rFonts w:ascii="Arial" w:hAnsi="Arial" w:cs="Arial"/>
                <w:color w:val="000000"/>
                <w:sz w:val="22"/>
                <w:szCs w:val="22"/>
                <w:lang w:val="en-GB" w:eastAsia="en-GB"/>
              </w:rPr>
            </w:pPr>
            <w:r w:rsidRPr="00C65F3C">
              <w:rPr>
                <w:rFonts w:ascii="Arial" w:hAnsi="Arial" w:cs="Arial"/>
                <w:color w:val="000000"/>
                <w:sz w:val="22"/>
                <w:szCs w:val="22"/>
                <w:lang w:val="en-GB" w:eastAsia="en-GB"/>
              </w:rPr>
              <w:t>Transaction Costs</w:t>
            </w:r>
          </w:p>
        </w:tc>
        <w:tc>
          <w:tcPr>
            <w:tcW w:w="3476" w:type="dxa"/>
            <w:tcBorders>
              <w:top w:val="nil"/>
              <w:left w:val="nil"/>
              <w:bottom w:val="nil"/>
              <w:right w:val="nil"/>
            </w:tcBorders>
            <w:shd w:val="clear" w:color="auto" w:fill="auto"/>
            <w:noWrap/>
            <w:vAlign w:val="bottom"/>
            <w:hideMark/>
          </w:tcPr>
          <w:p w14:paraId="4F3CAE7C" w14:textId="77777777" w:rsidR="00C65F3C" w:rsidRPr="00C65F3C" w:rsidRDefault="00C65F3C" w:rsidP="00C65F3C">
            <w:pPr>
              <w:rPr>
                <w:rFonts w:ascii="Arial" w:hAnsi="Arial" w:cs="Arial"/>
                <w:color w:val="000000"/>
                <w:sz w:val="22"/>
                <w:szCs w:val="22"/>
                <w:lang w:val="en-GB" w:eastAsia="en-GB"/>
              </w:rPr>
            </w:pPr>
          </w:p>
        </w:tc>
        <w:tc>
          <w:tcPr>
            <w:tcW w:w="1012" w:type="dxa"/>
            <w:tcBorders>
              <w:top w:val="nil"/>
              <w:left w:val="nil"/>
              <w:bottom w:val="single" w:sz="12" w:space="0" w:color="FFFFFF"/>
              <w:right w:val="single" w:sz="4" w:space="0" w:color="auto"/>
            </w:tcBorders>
            <w:shd w:val="clear" w:color="auto" w:fill="auto"/>
            <w:noWrap/>
            <w:vAlign w:val="bottom"/>
            <w:hideMark/>
          </w:tcPr>
          <w:p w14:paraId="65FEAA0E"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516</w:t>
            </w:r>
          </w:p>
        </w:tc>
      </w:tr>
      <w:tr w:rsidR="00C65F3C" w:rsidRPr="00C65F3C" w14:paraId="48C8FD8D" w14:textId="77777777" w:rsidTr="00524ED8">
        <w:trPr>
          <w:trHeight w:val="330"/>
        </w:trPr>
        <w:tc>
          <w:tcPr>
            <w:tcW w:w="1012" w:type="dxa"/>
            <w:tcBorders>
              <w:top w:val="nil"/>
              <w:left w:val="single" w:sz="4" w:space="0" w:color="auto"/>
              <w:bottom w:val="nil"/>
              <w:right w:val="nil"/>
            </w:tcBorders>
            <w:shd w:val="clear" w:color="auto" w:fill="auto"/>
            <w:noWrap/>
            <w:vAlign w:val="bottom"/>
            <w:hideMark/>
          </w:tcPr>
          <w:p w14:paraId="17D72490"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 xml:space="preserve">    7,159 </w:t>
            </w:r>
          </w:p>
        </w:tc>
        <w:tc>
          <w:tcPr>
            <w:tcW w:w="3455" w:type="dxa"/>
            <w:tcBorders>
              <w:top w:val="nil"/>
              <w:left w:val="nil"/>
              <w:bottom w:val="nil"/>
              <w:right w:val="nil"/>
            </w:tcBorders>
            <w:shd w:val="clear" w:color="000000" w:fill="FFFFFF"/>
            <w:noWrap/>
            <w:vAlign w:val="bottom"/>
            <w:hideMark/>
          </w:tcPr>
          <w:p w14:paraId="33A26A2D" w14:textId="77777777" w:rsidR="00C65F3C" w:rsidRPr="00C65F3C" w:rsidRDefault="00C65F3C" w:rsidP="00C65F3C">
            <w:pPr>
              <w:rPr>
                <w:rFonts w:ascii="Arial" w:hAnsi="Arial" w:cs="Arial"/>
                <w:color w:val="000000"/>
                <w:sz w:val="22"/>
                <w:szCs w:val="22"/>
                <w:lang w:val="en-GB" w:eastAsia="en-GB"/>
              </w:rPr>
            </w:pPr>
            <w:r w:rsidRPr="00C65F3C">
              <w:rPr>
                <w:rFonts w:ascii="Arial" w:hAnsi="Arial" w:cs="Arial"/>
                <w:color w:val="000000"/>
                <w:sz w:val="22"/>
                <w:szCs w:val="22"/>
                <w:lang w:val="en-GB" w:eastAsia="en-GB"/>
              </w:rPr>
              <w:t>Investment management expenses</w:t>
            </w:r>
          </w:p>
        </w:tc>
        <w:tc>
          <w:tcPr>
            <w:tcW w:w="3476" w:type="dxa"/>
            <w:tcBorders>
              <w:top w:val="nil"/>
              <w:left w:val="nil"/>
              <w:bottom w:val="nil"/>
              <w:right w:val="nil"/>
            </w:tcBorders>
            <w:shd w:val="clear" w:color="auto" w:fill="auto"/>
            <w:noWrap/>
            <w:vAlign w:val="bottom"/>
            <w:hideMark/>
          </w:tcPr>
          <w:p w14:paraId="78D00D39" w14:textId="77777777" w:rsidR="00C65F3C" w:rsidRPr="00C65F3C" w:rsidRDefault="00C65F3C" w:rsidP="00C65F3C">
            <w:pPr>
              <w:rPr>
                <w:rFonts w:ascii="Arial" w:hAnsi="Arial" w:cs="Arial"/>
                <w:color w:val="000000"/>
                <w:sz w:val="22"/>
                <w:szCs w:val="22"/>
                <w:lang w:val="en-GB" w:eastAsia="en-GB"/>
              </w:rPr>
            </w:pPr>
          </w:p>
        </w:tc>
        <w:tc>
          <w:tcPr>
            <w:tcW w:w="1012" w:type="dxa"/>
            <w:tcBorders>
              <w:top w:val="nil"/>
              <w:left w:val="nil"/>
              <w:bottom w:val="single" w:sz="12" w:space="0" w:color="FFFFFF"/>
              <w:right w:val="single" w:sz="4" w:space="0" w:color="auto"/>
            </w:tcBorders>
            <w:shd w:val="clear" w:color="auto" w:fill="auto"/>
            <w:noWrap/>
            <w:vAlign w:val="bottom"/>
            <w:hideMark/>
          </w:tcPr>
          <w:p w14:paraId="60982B7B"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7,130</w:t>
            </w:r>
          </w:p>
        </w:tc>
      </w:tr>
      <w:tr w:rsidR="00C65F3C" w:rsidRPr="00C65F3C" w14:paraId="51E58A8D" w14:textId="77777777" w:rsidTr="00524ED8">
        <w:trPr>
          <w:trHeight w:val="315"/>
        </w:trPr>
        <w:tc>
          <w:tcPr>
            <w:tcW w:w="1012" w:type="dxa"/>
            <w:tcBorders>
              <w:top w:val="nil"/>
              <w:left w:val="single" w:sz="4" w:space="0" w:color="auto"/>
              <w:bottom w:val="nil"/>
              <w:right w:val="nil"/>
            </w:tcBorders>
            <w:shd w:val="clear" w:color="auto" w:fill="auto"/>
            <w:noWrap/>
            <w:vAlign w:val="bottom"/>
            <w:hideMark/>
          </w:tcPr>
          <w:p w14:paraId="61B3EB54"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 xml:space="preserve">       372 </w:t>
            </w:r>
          </w:p>
        </w:tc>
        <w:tc>
          <w:tcPr>
            <w:tcW w:w="3455" w:type="dxa"/>
            <w:tcBorders>
              <w:top w:val="nil"/>
              <w:left w:val="nil"/>
              <w:bottom w:val="nil"/>
              <w:right w:val="nil"/>
            </w:tcBorders>
            <w:shd w:val="clear" w:color="000000" w:fill="FFFFFF"/>
            <w:noWrap/>
            <w:vAlign w:val="bottom"/>
            <w:hideMark/>
          </w:tcPr>
          <w:p w14:paraId="4E57DEF0" w14:textId="77777777" w:rsidR="00C65F3C" w:rsidRPr="00C65F3C" w:rsidRDefault="00C65F3C" w:rsidP="00C65F3C">
            <w:pPr>
              <w:rPr>
                <w:rFonts w:ascii="Arial" w:hAnsi="Arial" w:cs="Arial"/>
                <w:color w:val="000000"/>
                <w:sz w:val="22"/>
                <w:szCs w:val="22"/>
                <w:lang w:val="en-GB" w:eastAsia="en-GB"/>
              </w:rPr>
            </w:pPr>
            <w:r w:rsidRPr="00C65F3C">
              <w:rPr>
                <w:rFonts w:ascii="Arial" w:hAnsi="Arial" w:cs="Arial"/>
                <w:color w:val="000000"/>
                <w:sz w:val="22"/>
                <w:szCs w:val="22"/>
                <w:lang w:val="en-GB" w:eastAsia="en-GB"/>
              </w:rPr>
              <w:t>Investment Management TER</w:t>
            </w:r>
          </w:p>
        </w:tc>
        <w:tc>
          <w:tcPr>
            <w:tcW w:w="3476" w:type="dxa"/>
            <w:tcBorders>
              <w:top w:val="nil"/>
              <w:left w:val="nil"/>
              <w:bottom w:val="nil"/>
              <w:right w:val="nil"/>
            </w:tcBorders>
            <w:shd w:val="clear" w:color="auto" w:fill="auto"/>
            <w:noWrap/>
            <w:vAlign w:val="bottom"/>
            <w:hideMark/>
          </w:tcPr>
          <w:p w14:paraId="1C108CD5" w14:textId="77777777" w:rsidR="00C65F3C" w:rsidRPr="00C65F3C" w:rsidRDefault="00C65F3C" w:rsidP="00C65F3C">
            <w:pPr>
              <w:rPr>
                <w:rFonts w:ascii="Arial" w:hAnsi="Arial" w:cs="Arial"/>
                <w:color w:val="000000"/>
                <w:sz w:val="22"/>
                <w:szCs w:val="22"/>
                <w:lang w:val="en-GB" w:eastAsia="en-GB"/>
              </w:rPr>
            </w:pPr>
          </w:p>
        </w:tc>
        <w:tc>
          <w:tcPr>
            <w:tcW w:w="1012" w:type="dxa"/>
            <w:tcBorders>
              <w:top w:val="nil"/>
              <w:left w:val="nil"/>
              <w:bottom w:val="single" w:sz="4" w:space="0" w:color="auto"/>
              <w:right w:val="single" w:sz="4" w:space="0" w:color="auto"/>
            </w:tcBorders>
            <w:shd w:val="clear" w:color="auto" w:fill="auto"/>
            <w:noWrap/>
            <w:vAlign w:val="bottom"/>
            <w:hideMark/>
          </w:tcPr>
          <w:p w14:paraId="41F79395"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979</w:t>
            </w:r>
          </w:p>
        </w:tc>
      </w:tr>
      <w:tr w:rsidR="00C65F3C" w:rsidRPr="00C65F3C" w14:paraId="0DE37E63" w14:textId="77777777" w:rsidTr="00524ED8">
        <w:trPr>
          <w:trHeight w:val="300"/>
        </w:trPr>
        <w:tc>
          <w:tcPr>
            <w:tcW w:w="1012" w:type="dxa"/>
            <w:tcBorders>
              <w:top w:val="single" w:sz="4" w:space="0" w:color="auto"/>
              <w:left w:val="single" w:sz="4" w:space="0" w:color="auto"/>
              <w:bottom w:val="single" w:sz="4" w:space="0" w:color="auto"/>
              <w:right w:val="nil"/>
            </w:tcBorders>
            <w:shd w:val="clear" w:color="auto" w:fill="auto"/>
            <w:noWrap/>
            <w:vAlign w:val="bottom"/>
            <w:hideMark/>
          </w:tcPr>
          <w:p w14:paraId="6E0131BD" w14:textId="77777777" w:rsidR="00C65F3C" w:rsidRPr="00C65F3C" w:rsidRDefault="00C65F3C" w:rsidP="00C65F3C">
            <w:pPr>
              <w:jc w:val="right"/>
              <w:rPr>
                <w:rFonts w:ascii="Arial" w:hAnsi="Arial" w:cs="Arial"/>
                <w:b/>
                <w:bCs/>
                <w:sz w:val="22"/>
                <w:szCs w:val="22"/>
                <w:lang w:val="en-GB" w:eastAsia="en-GB"/>
              </w:rPr>
            </w:pPr>
            <w:r w:rsidRPr="00C65F3C">
              <w:rPr>
                <w:rFonts w:ascii="Arial" w:hAnsi="Arial" w:cs="Arial"/>
                <w:b/>
                <w:bCs/>
                <w:sz w:val="22"/>
                <w:szCs w:val="22"/>
                <w:lang w:val="en-GB" w:eastAsia="en-GB"/>
              </w:rPr>
              <w:t xml:space="preserve">    8,956 </w:t>
            </w:r>
          </w:p>
        </w:tc>
        <w:tc>
          <w:tcPr>
            <w:tcW w:w="3455" w:type="dxa"/>
            <w:tcBorders>
              <w:top w:val="nil"/>
              <w:left w:val="nil"/>
              <w:bottom w:val="single" w:sz="4" w:space="0" w:color="auto"/>
              <w:right w:val="nil"/>
            </w:tcBorders>
            <w:shd w:val="clear" w:color="000000" w:fill="FFFFFF"/>
            <w:noWrap/>
            <w:vAlign w:val="bottom"/>
            <w:hideMark/>
          </w:tcPr>
          <w:p w14:paraId="3EDE1CCA" w14:textId="77777777" w:rsidR="00C65F3C" w:rsidRPr="00C65F3C" w:rsidRDefault="00C65F3C" w:rsidP="00C65F3C">
            <w:pPr>
              <w:rPr>
                <w:rFonts w:ascii="Arial" w:hAnsi="Arial" w:cs="Arial"/>
                <w:color w:val="000000"/>
                <w:sz w:val="22"/>
                <w:szCs w:val="22"/>
                <w:lang w:val="en-GB" w:eastAsia="en-GB"/>
              </w:rPr>
            </w:pPr>
            <w:r w:rsidRPr="00C65F3C">
              <w:rPr>
                <w:rFonts w:ascii="Arial" w:hAnsi="Arial" w:cs="Arial"/>
                <w:color w:val="000000"/>
                <w:sz w:val="22"/>
                <w:szCs w:val="22"/>
                <w:lang w:val="en-GB" w:eastAsia="en-GB"/>
              </w:rPr>
              <w:t xml:space="preserve">Total </w:t>
            </w:r>
          </w:p>
        </w:tc>
        <w:tc>
          <w:tcPr>
            <w:tcW w:w="3476" w:type="dxa"/>
            <w:tcBorders>
              <w:top w:val="nil"/>
              <w:left w:val="nil"/>
              <w:bottom w:val="single" w:sz="4" w:space="0" w:color="auto"/>
              <w:right w:val="nil"/>
            </w:tcBorders>
            <w:shd w:val="clear" w:color="auto" w:fill="auto"/>
            <w:noWrap/>
            <w:vAlign w:val="bottom"/>
            <w:hideMark/>
          </w:tcPr>
          <w:p w14:paraId="6A035868" w14:textId="77777777" w:rsidR="00C65F3C" w:rsidRPr="00C65F3C" w:rsidRDefault="00C65F3C" w:rsidP="00C65F3C">
            <w:pP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1D63849F" w14:textId="77777777" w:rsidR="00C65F3C" w:rsidRPr="00C65F3C" w:rsidRDefault="00C65F3C" w:rsidP="00C65F3C">
            <w:pPr>
              <w:jc w:val="right"/>
              <w:rPr>
                <w:rFonts w:ascii="Arial" w:hAnsi="Arial" w:cs="Arial"/>
                <w:b/>
                <w:bCs/>
                <w:sz w:val="22"/>
                <w:szCs w:val="22"/>
                <w:lang w:val="en-GB" w:eastAsia="en-GB"/>
              </w:rPr>
            </w:pPr>
            <w:r w:rsidRPr="00C65F3C">
              <w:rPr>
                <w:rFonts w:ascii="Arial" w:hAnsi="Arial" w:cs="Arial"/>
                <w:b/>
                <w:bCs/>
                <w:sz w:val="22"/>
                <w:szCs w:val="22"/>
                <w:lang w:val="en-GB" w:eastAsia="en-GB"/>
              </w:rPr>
              <w:t xml:space="preserve">    8,647 </w:t>
            </w:r>
          </w:p>
        </w:tc>
      </w:tr>
    </w:tbl>
    <w:p w14:paraId="3394B3C4" w14:textId="329077E5" w:rsidR="00F3572E" w:rsidRPr="00F3572E" w:rsidRDefault="00F3572E" w:rsidP="00F3572E">
      <w:pPr>
        <w:spacing w:after="200" w:line="276" w:lineRule="auto"/>
        <w:ind w:right="74"/>
        <w:jc w:val="both"/>
        <w:rPr>
          <w:rFonts w:ascii="Arial" w:eastAsia="Arial" w:hAnsi="Arial" w:cs="Arial"/>
          <w:sz w:val="22"/>
          <w:szCs w:val="22"/>
        </w:rPr>
      </w:pPr>
    </w:p>
    <w:p w14:paraId="69051A64" w14:textId="1CEFB435" w:rsidR="009C7422" w:rsidRDefault="001706EB" w:rsidP="00F3572E">
      <w:pPr>
        <w:spacing w:after="200" w:line="276" w:lineRule="auto"/>
        <w:ind w:right="74"/>
        <w:jc w:val="both"/>
        <w:rPr>
          <w:rFonts w:ascii="Arial" w:eastAsia="Arial" w:hAnsi="Arial" w:cs="Arial"/>
          <w:b/>
          <w:bCs/>
          <w:sz w:val="22"/>
          <w:szCs w:val="22"/>
        </w:rPr>
      </w:pPr>
      <w:r w:rsidRPr="00F3572E">
        <w:rPr>
          <w:rFonts w:ascii="Arial" w:eastAsia="Arial" w:hAnsi="Arial" w:cs="Arial"/>
          <w:b/>
          <w:bCs/>
          <w:sz w:val="22"/>
          <w:szCs w:val="22"/>
        </w:rPr>
        <w:t>NOTE 12: INVESTMENT INCOME</w:t>
      </w:r>
    </w:p>
    <w:tbl>
      <w:tblPr>
        <w:tblW w:w="8740" w:type="dxa"/>
        <w:tblLook w:val="04A0" w:firstRow="1" w:lastRow="0" w:firstColumn="1" w:lastColumn="0" w:noHBand="0" w:noVBand="1"/>
      </w:tblPr>
      <w:tblGrid>
        <w:gridCol w:w="1012"/>
        <w:gridCol w:w="960"/>
        <w:gridCol w:w="5860"/>
        <w:gridCol w:w="1012"/>
      </w:tblGrid>
      <w:tr w:rsidR="00C65F3C" w:rsidRPr="00C65F3C" w14:paraId="673D612C" w14:textId="77777777" w:rsidTr="00C65F3C">
        <w:trPr>
          <w:trHeight w:val="300"/>
        </w:trPr>
        <w:tc>
          <w:tcPr>
            <w:tcW w:w="960" w:type="dxa"/>
            <w:tcBorders>
              <w:top w:val="single" w:sz="4" w:space="0" w:color="auto"/>
              <w:left w:val="single" w:sz="4" w:space="0" w:color="auto"/>
              <w:bottom w:val="nil"/>
              <w:right w:val="nil"/>
            </w:tcBorders>
            <w:shd w:val="clear" w:color="000000" w:fill="00CC99"/>
            <w:vAlign w:val="center"/>
            <w:hideMark/>
          </w:tcPr>
          <w:p w14:paraId="494D5C08"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2018/19</w:t>
            </w:r>
          </w:p>
        </w:tc>
        <w:tc>
          <w:tcPr>
            <w:tcW w:w="960" w:type="dxa"/>
            <w:tcBorders>
              <w:top w:val="single" w:sz="4" w:space="0" w:color="auto"/>
              <w:left w:val="nil"/>
              <w:bottom w:val="nil"/>
              <w:right w:val="nil"/>
            </w:tcBorders>
            <w:shd w:val="clear" w:color="000000" w:fill="00CC99"/>
            <w:vAlign w:val="center"/>
            <w:hideMark/>
          </w:tcPr>
          <w:p w14:paraId="37D07F57"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w:t>
            </w:r>
          </w:p>
        </w:tc>
        <w:tc>
          <w:tcPr>
            <w:tcW w:w="5860" w:type="dxa"/>
            <w:tcBorders>
              <w:top w:val="single" w:sz="4" w:space="0" w:color="auto"/>
              <w:left w:val="nil"/>
              <w:bottom w:val="nil"/>
              <w:right w:val="nil"/>
            </w:tcBorders>
            <w:shd w:val="clear" w:color="000000" w:fill="00CC99"/>
            <w:vAlign w:val="center"/>
            <w:hideMark/>
          </w:tcPr>
          <w:p w14:paraId="54B1FDAD"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w:t>
            </w:r>
          </w:p>
        </w:tc>
        <w:tc>
          <w:tcPr>
            <w:tcW w:w="960" w:type="dxa"/>
            <w:tcBorders>
              <w:top w:val="single" w:sz="4" w:space="0" w:color="auto"/>
              <w:left w:val="nil"/>
              <w:bottom w:val="nil"/>
              <w:right w:val="single" w:sz="4" w:space="0" w:color="auto"/>
            </w:tcBorders>
            <w:shd w:val="clear" w:color="000000" w:fill="00CC99"/>
            <w:vAlign w:val="center"/>
            <w:hideMark/>
          </w:tcPr>
          <w:p w14:paraId="4B5DC437"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2019/20</w:t>
            </w:r>
          </w:p>
        </w:tc>
      </w:tr>
      <w:tr w:rsidR="00C65F3C" w:rsidRPr="00C65F3C" w14:paraId="695DDAC1" w14:textId="77777777" w:rsidTr="00C65F3C">
        <w:trPr>
          <w:trHeight w:val="300"/>
        </w:trPr>
        <w:tc>
          <w:tcPr>
            <w:tcW w:w="960" w:type="dxa"/>
            <w:tcBorders>
              <w:top w:val="nil"/>
              <w:left w:val="single" w:sz="4" w:space="0" w:color="auto"/>
              <w:bottom w:val="single" w:sz="4" w:space="0" w:color="auto"/>
              <w:right w:val="nil"/>
            </w:tcBorders>
            <w:shd w:val="clear" w:color="000000" w:fill="00CC99"/>
            <w:noWrap/>
            <w:vAlign w:val="center"/>
            <w:hideMark/>
          </w:tcPr>
          <w:p w14:paraId="38C5C41B"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£'000</w:t>
            </w:r>
          </w:p>
        </w:tc>
        <w:tc>
          <w:tcPr>
            <w:tcW w:w="960" w:type="dxa"/>
            <w:tcBorders>
              <w:top w:val="nil"/>
              <w:left w:val="nil"/>
              <w:bottom w:val="single" w:sz="4" w:space="0" w:color="auto"/>
              <w:right w:val="nil"/>
            </w:tcBorders>
            <w:shd w:val="clear" w:color="000000" w:fill="00CC99"/>
            <w:noWrap/>
            <w:vAlign w:val="center"/>
            <w:hideMark/>
          </w:tcPr>
          <w:p w14:paraId="16010199"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w:t>
            </w:r>
          </w:p>
        </w:tc>
        <w:tc>
          <w:tcPr>
            <w:tcW w:w="5860" w:type="dxa"/>
            <w:tcBorders>
              <w:top w:val="nil"/>
              <w:left w:val="nil"/>
              <w:bottom w:val="single" w:sz="4" w:space="0" w:color="auto"/>
              <w:right w:val="nil"/>
            </w:tcBorders>
            <w:shd w:val="clear" w:color="000000" w:fill="00CC99"/>
            <w:noWrap/>
            <w:vAlign w:val="center"/>
            <w:hideMark/>
          </w:tcPr>
          <w:p w14:paraId="3FA7107E"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000000" w:fill="00CC99"/>
            <w:noWrap/>
            <w:vAlign w:val="center"/>
            <w:hideMark/>
          </w:tcPr>
          <w:p w14:paraId="07307750" w14:textId="77777777" w:rsidR="00C65F3C" w:rsidRPr="00C65F3C" w:rsidRDefault="00C65F3C" w:rsidP="00C65F3C">
            <w:pPr>
              <w:jc w:val="cente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£'000</w:t>
            </w:r>
          </w:p>
        </w:tc>
      </w:tr>
      <w:tr w:rsidR="00C65F3C" w:rsidRPr="00C65F3C" w14:paraId="2A99D0CC" w14:textId="77777777" w:rsidTr="00C65F3C">
        <w:trPr>
          <w:trHeight w:val="315"/>
        </w:trPr>
        <w:tc>
          <w:tcPr>
            <w:tcW w:w="960" w:type="dxa"/>
            <w:tcBorders>
              <w:top w:val="nil"/>
              <w:left w:val="single" w:sz="4" w:space="0" w:color="auto"/>
              <w:bottom w:val="nil"/>
              <w:right w:val="nil"/>
            </w:tcBorders>
            <w:shd w:val="clear" w:color="auto" w:fill="auto"/>
            <w:noWrap/>
            <w:vAlign w:val="bottom"/>
            <w:hideMark/>
          </w:tcPr>
          <w:p w14:paraId="509DFBC6" w14:textId="77777777" w:rsidR="00C65F3C" w:rsidRPr="00C65F3C" w:rsidRDefault="00C65F3C" w:rsidP="00C65F3C">
            <w:pPr>
              <w:jc w:val="center"/>
              <w:rPr>
                <w:rFonts w:ascii="Arial" w:hAnsi="Arial" w:cs="Arial"/>
                <w:b/>
                <w:bCs/>
                <w:sz w:val="22"/>
                <w:szCs w:val="22"/>
                <w:lang w:val="en-GB" w:eastAsia="en-GB"/>
              </w:rPr>
            </w:pPr>
            <w:r w:rsidRPr="00C65F3C">
              <w:rPr>
                <w:rFonts w:ascii="Arial" w:hAnsi="Arial" w:cs="Arial"/>
                <w:b/>
                <w:bCs/>
                <w:sz w:val="22"/>
                <w:szCs w:val="22"/>
                <w:lang w:val="en-GB" w:eastAsia="en-GB"/>
              </w:rPr>
              <w:t> </w:t>
            </w:r>
          </w:p>
        </w:tc>
        <w:tc>
          <w:tcPr>
            <w:tcW w:w="960" w:type="dxa"/>
            <w:tcBorders>
              <w:top w:val="nil"/>
              <w:left w:val="nil"/>
              <w:bottom w:val="nil"/>
              <w:right w:val="nil"/>
            </w:tcBorders>
            <w:shd w:val="clear" w:color="auto" w:fill="auto"/>
            <w:noWrap/>
            <w:vAlign w:val="bottom"/>
            <w:hideMark/>
          </w:tcPr>
          <w:p w14:paraId="57D0B6B7" w14:textId="77777777" w:rsidR="00C65F3C" w:rsidRPr="00C65F3C" w:rsidRDefault="00C65F3C" w:rsidP="00C65F3C">
            <w:pPr>
              <w:jc w:val="center"/>
              <w:rPr>
                <w:rFonts w:ascii="Arial" w:hAnsi="Arial" w:cs="Arial"/>
                <w:b/>
                <w:bCs/>
                <w:sz w:val="22"/>
                <w:szCs w:val="22"/>
                <w:lang w:val="en-GB" w:eastAsia="en-GB"/>
              </w:rPr>
            </w:pPr>
          </w:p>
        </w:tc>
        <w:tc>
          <w:tcPr>
            <w:tcW w:w="5860" w:type="dxa"/>
            <w:tcBorders>
              <w:top w:val="nil"/>
              <w:left w:val="nil"/>
              <w:bottom w:val="nil"/>
              <w:right w:val="nil"/>
            </w:tcBorders>
            <w:shd w:val="clear" w:color="auto" w:fill="auto"/>
            <w:noWrap/>
            <w:vAlign w:val="bottom"/>
            <w:hideMark/>
          </w:tcPr>
          <w:p w14:paraId="7CFE77DF" w14:textId="77777777" w:rsidR="00C65F3C" w:rsidRPr="00C65F3C" w:rsidRDefault="00C65F3C" w:rsidP="00C65F3C">
            <w:pPr>
              <w:rPr>
                <w:lang w:val="en-GB" w:eastAsia="en-GB"/>
              </w:rPr>
            </w:pPr>
          </w:p>
        </w:tc>
        <w:tc>
          <w:tcPr>
            <w:tcW w:w="960" w:type="dxa"/>
            <w:tcBorders>
              <w:top w:val="nil"/>
              <w:left w:val="nil"/>
              <w:bottom w:val="nil"/>
              <w:right w:val="single" w:sz="4" w:space="0" w:color="auto"/>
            </w:tcBorders>
            <w:shd w:val="clear" w:color="auto" w:fill="auto"/>
            <w:noWrap/>
            <w:vAlign w:val="bottom"/>
            <w:hideMark/>
          </w:tcPr>
          <w:p w14:paraId="4949ADB5" w14:textId="77777777" w:rsidR="00C65F3C" w:rsidRPr="00C65F3C" w:rsidRDefault="00C65F3C" w:rsidP="00C65F3C">
            <w:pPr>
              <w:jc w:val="center"/>
              <w:rPr>
                <w:rFonts w:ascii="Arial" w:hAnsi="Arial" w:cs="Arial"/>
                <w:b/>
                <w:bCs/>
                <w:sz w:val="22"/>
                <w:szCs w:val="22"/>
                <w:lang w:val="en-GB" w:eastAsia="en-GB"/>
              </w:rPr>
            </w:pPr>
            <w:r w:rsidRPr="00C65F3C">
              <w:rPr>
                <w:rFonts w:ascii="Arial" w:hAnsi="Arial" w:cs="Arial"/>
                <w:b/>
                <w:bCs/>
                <w:sz w:val="22"/>
                <w:szCs w:val="22"/>
                <w:lang w:val="en-GB" w:eastAsia="en-GB"/>
              </w:rPr>
              <w:t> </w:t>
            </w:r>
          </w:p>
        </w:tc>
      </w:tr>
      <w:tr w:rsidR="00C65F3C" w:rsidRPr="00C65F3C" w14:paraId="0B9033F0" w14:textId="77777777" w:rsidTr="00C65F3C">
        <w:trPr>
          <w:trHeight w:val="330"/>
        </w:trPr>
        <w:tc>
          <w:tcPr>
            <w:tcW w:w="960" w:type="dxa"/>
            <w:tcBorders>
              <w:top w:val="nil"/>
              <w:left w:val="single" w:sz="4" w:space="0" w:color="auto"/>
              <w:bottom w:val="nil"/>
              <w:right w:val="nil"/>
            </w:tcBorders>
            <w:shd w:val="clear" w:color="auto" w:fill="auto"/>
            <w:noWrap/>
            <w:vAlign w:val="bottom"/>
            <w:hideMark/>
          </w:tcPr>
          <w:p w14:paraId="69EBE5FE"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 xml:space="preserve">    3,986 </w:t>
            </w:r>
          </w:p>
        </w:tc>
        <w:tc>
          <w:tcPr>
            <w:tcW w:w="6820" w:type="dxa"/>
            <w:gridSpan w:val="2"/>
            <w:tcBorders>
              <w:top w:val="nil"/>
              <w:left w:val="nil"/>
              <w:bottom w:val="nil"/>
              <w:right w:val="nil"/>
            </w:tcBorders>
            <w:shd w:val="clear" w:color="auto" w:fill="auto"/>
            <w:noWrap/>
            <w:vAlign w:val="bottom"/>
            <w:hideMark/>
          </w:tcPr>
          <w:p w14:paraId="19E330D8" w14:textId="77777777" w:rsidR="00C65F3C" w:rsidRPr="00C65F3C" w:rsidRDefault="00C65F3C" w:rsidP="00C65F3C">
            <w:pPr>
              <w:rPr>
                <w:rFonts w:ascii="Arial" w:hAnsi="Arial" w:cs="Arial"/>
                <w:sz w:val="22"/>
                <w:szCs w:val="22"/>
                <w:lang w:val="en-GB" w:eastAsia="en-GB"/>
              </w:rPr>
            </w:pPr>
            <w:r w:rsidRPr="00C65F3C">
              <w:rPr>
                <w:rFonts w:ascii="Arial" w:hAnsi="Arial" w:cs="Arial"/>
                <w:sz w:val="22"/>
                <w:szCs w:val="22"/>
                <w:lang w:val="en-GB" w:eastAsia="en-GB"/>
              </w:rPr>
              <w:t>Equity Dividends</w:t>
            </w:r>
          </w:p>
        </w:tc>
        <w:tc>
          <w:tcPr>
            <w:tcW w:w="960" w:type="dxa"/>
            <w:tcBorders>
              <w:top w:val="single" w:sz="12" w:space="0" w:color="FFFFFF"/>
              <w:left w:val="nil"/>
              <w:bottom w:val="single" w:sz="12" w:space="0" w:color="FFFFFF"/>
              <w:right w:val="single" w:sz="4" w:space="0" w:color="auto"/>
            </w:tcBorders>
            <w:shd w:val="clear" w:color="auto" w:fill="auto"/>
            <w:noWrap/>
            <w:vAlign w:val="bottom"/>
            <w:hideMark/>
          </w:tcPr>
          <w:p w14:paraId="3BD593B4"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 xml:space="preserve">6,412 </w:t>
            </w:r>
          </w:p>
        </w:tc>
      </w:tr>
      <w:tr w:rsidR="00C65F3C" w:rsidRPr="00C65F3C" w14:paraId="589AEADE" w14:textId="77777777" w:rsidTr="00C65F3C">
        <w:trPr>
          <w:trHeight w:val="315"/>
        </w:trPr>
        <w:tc>
          <w:tcPr>
            <w:tcW w:w="960" w:type="dxa"/>
            <w:tcBorders>
              <w:top w:val="nil"/>
              <w:left w:val="single" w:sz="4" w:space="0" w:color="auto"/>
              <w:bottom w:val="nil"/>
              <w:right w:val="nil"/>
            </w:tcBorders>
            <w:shd w:val="clear" w:color="auto" w:fill="auto"/>
            <w:noWrap/>
            <w:vAlign w:val="bottom"/>
            <w:hideMark/>
          </w:tcPr>
          <w:p w14:paraId="362545F8"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 xml:space="preserve">    4,796 </w:t>
            </w:r>
          </w:p>
        </w:tc>
        <w:tc>
          <w:tcPr>
            <w:tcW w:w="6820" w:type="dxa"/>
            <w:gridSpan w:val="2"/>
            <w:tcBorders>
              <w:top w:val="nil"/>
              <w:left w:val="nil"/>
              <w:bottom w:val="nil"/>
              <w:right w:val="nil"/>
            </w:tcBorders>
            <w:shd w:val="clear" w:color="auto" w:fill="auto"/>
            <w:noWrap/>
            <w:vAlign w:val="bottom"/>
            <w:hideMark/>
          </w:tcPr>
          <w:p w14:paraId="4EFA1562" w14:textId="77777777" w:rsidR="00C65F3C" w:rsidRPr="00C65F3C" w:rsidRDefault="00C65F3C" w:rsidP="00C65F3C">
            <w:pPr>
              <w:rPr>
                <w:rFonts w:ascii="Arial" w:hAnsi="Arial" w:cs="Arial"/>
                <w:sz w:val="22"/>
                <w:szCs w:val="22"/>
                <w:lang w:val="en-GB" w:eastAsia="en-GB"/>
              </w:rPr>
            </w:pPr>
            <w:r w:rsidRPr="00C65F3C">
              <w:rPr>
                <w:rFonts w:ascii="Arial" w:hAnsi="Arial" w:cs="Arial"/>
                <w:sz w:val="22"/>
                <w:szCs w:val="22"/>
                <w:lang w:val="en-GB" w:eastAsia="en-GB"/>
              </w:rPr>
              <w:t>Pooled investments - unit trust and other managed funds</w:t>
            </w:r>
          </w:p>
        </w:tc>
        <w:tc>
          <w:tcPr>
            <w:tcW w:w="960" w:type="dxa"/>
            <w:tcBorders>
              <w:top w:val="nil"/>
              <w:left w:val="nil"/>
              <w:bottom w:val="nil"/>
              <w:right w:val="single" w:sz="4" w:space="0" w:color="auto"/>
            </w:tcBorders>
            <w:shd w:val="clear" w:color="auto" w:fill="auto"/>
            <w:noWrap/>
            <w:vAlign w:val="bottom"/>
            <w:hideMark/>
          </w:tcPr>
          <w:p w14:paraId="6B1325B8"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 xml:space="preserve">5,699 </w:t>
            </w:r>
          </w:p>
        </w:tc>
      </w:tr>
      <w:tr w:rsidR="00C65F3C" w:rsidRPr="00C65F3C" w14:paraId="4D3514B7" w14:textId="77777777" w:rsidTr="00C65F3C">
        <w:trPr>
          <w:trHeight w:val="315"/>
        </w:trPr>
        <w:tc>
          <w:tcPr>
            <w:tcW w:w="960" w:type="dxa"/>
            <w:tcBorders>
              <w:top w:val="nil"/>
              <w:left w:val="single" w:sz="4" w:space="0" w:color="auto"/>
              <w:bottom w:val="nil"/>
              <w:right w:val="nil"/>
            </w:tcBorders>
            <w:shd w:val="clear" w:color="auto" w:fill="auto"/>
            <w:noWrap/>
            <w:vAlign w:val="bottom"/>
            <w:hideMark/>
          </w:tcPr>
          <w:p w14:paraId="4A313D8F"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 xml:space="preserve">        (29)</w:t>
            </w:r>
          </w:p>
        </w:tc>
        <w:tc>
          <w:tcPr>
            <w:tcW w:w="6820" w:type="dxa"/>
            <w:gridSpan w:val="2"/>
            <w:tcBorders>
              <w:top w:val="nil"/>
              <w:left w:val="nil"/>
              <w:bottom w:val="nil"/>
              <w:right w:val="nil"/>
            </w:tcBorders>
            <w:shd w:val="clear" w:color="auto" w:fill="auto"/>
            <w:noWrap/>
            <w:vAlign w:val="bottom"/>
            <w:hideMark/>
          </w:tcPr>
          <w:p w14:paraId="5E137AE7" w14:textId="77777777" w:rsidR="00C65F3C" w:rsidRPr="00C65F3C" w:rsidRDefault="00C65F3C" w:rsidP="00C65F3C">
            <w:pPr>
              <w:rPr>
                <w:rFonts w:ascii="Arial" w:hAnsi="Arial" w:cs="Arial"/>
                <w:sz w:val="22"/>
                <w:szCs w:val="22"/>
                <w:lang w:val="en-GB" w:eastAsia="en-GB"/>
              </w:rPr>
            </w:pPr>
            <w:r w:rsidRPr="00C65F3C">
              <w:rPr>
                <w:rFonts w:ascii="Arial" w:hAnsi="Arial" w:cs="Arial"/>
                <w:sz w:val="22"/>
                <w:szCs w:val="22"/>
                <w:lang w:val="en-GB" w:eastAsia="en-GB"/>
              </w:rPr>
              <w:t>Interest on cash deposits</w:t>
            </w:r>
          </w:p>
        </w:tc>
        <w:tc>
          <w:tcPr>
            <w:tcW w:w="960" w:type="dxa"/>
            <w:tcBorders>
              <w:top w:val="nil"/>
              <w:left w:val="nil"/>
              <w:bottom w:val="nil"/>
              <w:right w:val="single" w:sz="4" w:space="0" w:color="auto"/>
            </w:tcBorders>
            <w:shd w:val="clear" w:color="auto" w:fill="auto"/>
            <w:noWrap/>
            <w:vAlign w:val="bottom"/>
            <w:hideMark/>
          </w:tcPr>
          <w:p w14:paraId="2C5ED599"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(24)</w:t>
            </w:r>
          </w:p>
        </w:tc>
      </w:tr>
      <w:tr w:rsidR="00C65F3C" w:rsidRPr="00C65F3C" w14:paraId="659AF498" w14:textId="77777777" w:rsidTr="00C65F3C">
        <w:trPr>
          <w:trHeight w:val="330"/>
        </w:trPr>
        <w:tc>
          <w:tcPr>
            <w:tcW w:w="960" w:type="dxa"/>
            <w:tcBorders>
              <w:top w:val="nil"/>
              <w:left w:val="single" w:sz="4" w:space="0" w:color="auto"/>
              <w:bottom w:val="nil"/>
              <w:right w:val="nil"/>
            </w:tcBorders>
            <w:shd w:val="clear" w:color="auto" w:fill="auto"/>
            <w:noWrap/>
            <w:vAlign w:val="bottom"/>
            <w:hideMark/>
          </w:tcPr>
          <w:p w14:paraId="08688AEC"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 xml:space="preserve">         93 </w:t>
            </w:r>
          </w:p>
        </w:tc>
        <w:tc>
          <w:tcPr>
            <w:tcW w:w="960" w:type="dxa"/>
            <w:tcBorders>
              <w:top w:val="nil"/>
              <w:left w:val="nil"/>
              <w:bottom w:val="nil"/>
              <w:right w:val="nil"/>
            </w:tcBorders>
            <w:shd w:val="clear" w:color="auto" w:fill="auto"/>
            <w:noWrap/>
            <w:vAlign w:val="bottom"/>
            <w:hideMark/>
          </w:tcPr>
          <w:p w14:paraId="2DA63C6E" w14:textId="77777777" w:rsidR="00C65F3C" w:rsidRPr="00C65F3C" w:rsidRDefault="00C65F3C" w:rsidP="00C65F3C">
            <w:pPr>
              <w:rPr>
                <w:rFonts w:ascii="Arial" w:hAnsi="Arial" w:cs="Arial"/>
                <w:sz w:val="22"/>
                <w:szCs w:val="22"/>
                <w:lang w:val="en-GB" w:eastAsia="en-GB"/>
              </w:rPr>
            </w:pPr>
            <w:r w:rsidRPr="00C65F3C">
              <w:rPr>
                <w:rFonts w:ascii="Arial" w:hAnsi="Arial" w:cs="Arial"/>
                <w:sz w:val="22"/>
                <w:szCs w:val="22"/>
                <w:lang w:val="en-GB" w:eastAsia="en-GB"/>
              </w:rPr>
              <w:t>Other</w:t>
            </w:r>
          </w:p>
        </w:tc>
        <w:tc>
          <w:tcPr>
            <w:tcW w:w="5860" w:type="dxa"/>
            <w:tcBorders>
              <w:top w:val="nil"/>
              <w:left w:val="nil"/>
              <w:bottom w:val="nil"/>
              <w:right w:val="nil"/>
            </w:tcBorders>
            <w:shd w:val="clear" w:color="auto" w:fill="auto"/>
            <w:noWrap/>
            <w:vAlign w:val="bottom"/>
            <w:hideMark/>
          </w:tcPr>
          <w:p w14:paraId="5D690061" w14:textId="77777777" w:rsidR="00C65F3C" w:rsidRPr="00C65F3C" w:rsidRDefault="00C65F3C" w:rsidP="00C65F3C">
            <w:pPr>
              <w:rPr>
                <w:rFonts w:ascii="Arial" w:hAnsi="Arial" w:cs="Arial"/>
                <w:sz w:val="22"/>
                <w:szCs w:val="22"/>
                <w:lang w:val="en-GB" w:eastAsia="en-GB"/>
              </w:rPr>
            </w:pPr>
          </w:p>
        </w:tc>
        <w:tc>
          <w:tcPr>
            <w:tcW w:w="960" w:type="dxa"/>
            <w:tcBorders>
              <w:top w:val="single" w:sz="12" w:space="0" w:color="FFFFFF"/>
              <w:left w:val="nil"/>
              <w:bottom w:val="single" w:sz="12" w:space="0" w:color="FFFFFF"/>
              <w:right w:val="single" w:sz="4" w:space="0" w:color="auto"/>
            </w:tcBorders>
            <w:shd w:val="clear" w:color="auto" w:fill="auto"/>
            <w:noWrap/>
            <w:vAlign w:val="bottom"/>
            <w:hideMark/>
          </w:tcPr>
          <w:p w14:paraId="204080D3" w14:textId="77777777" w:rsidR="00C65F3C" w:rsidRPr="00C65F3C" w:rsidRDefault="00C65F3C" w:rsidP="00C65F3C">
            <w:pPr>
              <w:jc w:val="right"/>
              <w:rPr>
                <w:rFonts w:ascii="Arial" w:hAnsi="Arial" w:cs="Arial"/>
                <w:sz w:val="22"/>
                <w:szCs w:val="22"/>
                <w:lang w:val="en-GB" w:eastAsia="en-GB"/>
              </w:rPr>
            </w:pPr>
            <w:r w:rsidRPr="00C65F3C">
              <w:rPr>
                <w:rFonts w:ascii="Arial" w:hAnsi="Arial" w:cs="Arial"/>
                <w:sz w:val="22"/>
                <w:szCs w:val="22"/>
                <w:lang w:val="en-GB" w:eastAsia="en-GB"/>
              </w:rPr>
              <w:t xml:space="preserve">30 </w:t>
            </w:r>
          </w:p>
        </w:tc>
      </w:tr>
      <w:tr w:rsidR="00C65F3C" w:rsidRPr="00C65F3C" w14:paraId="6B2EF297" w14:textId="77777777" w:rsidTr="00C65F3C">
        <w:trPr>
          <w:trHeight w:val="315"/>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04A6522D" w14:textId="77777777" w:rsidR="00C65F3C" w:rsidRPr="00C65F3C" w:rsidRDefault="00C65F3C" w:rsidP="00C65F3C">
            <w:pPr>
              <w:jc w:val="right"/>
              <w:rPr>
                <w:rFonts w:ascii="Arial" w:hAnsi="Arial" w:cs="Arial"/>
                <w:b/>
                <w:bCs/>
                <w:sz w:val="22"/>
                <w:szCs w:val="22"/>
                <w:lang w:val="en-GB" w:eastAsia="en-GB"/>
              </w:rPr>
            </w:pPr>
            <w:r w:rsidRPr="00C65F3C">
              <w:rPr>
                <w:rFonts w:ascii="Arial" w:hAnsi="Arial" w:cs="Arial"/>
                <w:b/>
                <w:bCs/>
                <w:sz w:val="22"/>
                <w:szCs w:val="22"/>
                <w:lang w:val="en-GB" w:eastAsia="en-GB"/>
              </w:rPr>
              <w:t xml:space="preserve">    8,846 </w:t>
            </w:r>
          </w:p>
        </w:tc>
        <w:tc>
          <w:tcPr>
            <w:tcW w:w="960" w:type="dxa"/>
            <w:tcBorders>
              <w:top w:val="nil"/>
              <w:left w:val="nil"/>
              <w:bottom w:val="single" w:sz="4" w:space="0" w:color="auto"/>
              <w:right w:val="nil"/>
            </w:tcBorders>
            <w:shd w:val="clear" w:color="000000" w:fill="FFFFFF"/>
            <w:noWrap/>
            <w:vAlign w:val="bottom"/>
            <w:hideMark/>
          </w:tcPr>
          <w:p w14:paraId="7BAB2B7C" w14:textId="77777777" w:rsidR="00C65F3C" w:rsidRPr="00C65F3C" w:rsidRDefault="00C65F3C" w:rsidP="00C65F3C">
            <w:pP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xml:space="preserve">Total </w:t>
            </w:r>
          </w:p>
        </w:tc>
        <w:tc>
          <w:tcPr>
            <w:tcW w:w="5860" w:type="dxa"/>
            <w:tcBorders>
              <w:top w:val="nil"/>
              <w:left w:val="nil"/>
              <w:bottom w:val="single" w:sz="4" w:space="0" w:color="auto"/>
              <w:right w:val="nil"/>
            </w:tcBorders>
            <w:shd w:val="clear" w:color="auto" w:fill="auto"/>
            <w:noWrap/>
            <w:vAlign w:val="bottom"/>
            <w:hideMark/>
          </w:tcPr>
          <w:p w14:paraId="70B03B84" w14:textId="77777777" w:rsidR="00C65F3C" w:rsidRPr="00C65F3C" w:rsidRDefault="00C65F3C" w:rsidP="00C65F3C">
            <w:pPr>
              <w:rPr>
                <w:rFonts w:ascii="Arial" w:hAnsi="Arial" w:cs="Arial"/>
                <w:b/>
                <w:bCs/>
                <w:color w:val="000000"/>
                <w:sz w:val="22"/>
                <w:szCs w:val="22"/>
                <w:lang w:val="en-GB" w:eastAsia="en-GB"/>
              </w:rPr>
            </w:pPr>
            <w:r w:rsidRPr="00C65F3C">
              <w:rPr>
                <w:rFonts w:ascii="Arial" w:hAnsi="Arial" w:cs="Arial"/>
                <w:b/>
                <w:bCs/>
                <w:color w:val="000000"/>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E82061" w14:textId="77777777" w:rsidR="00C65F3C" w:rsidRPr="00C65F3C" w:rsidRDefault="00C65F3C" w:rsidP="00C65F3C">
            <w:pPr>
              <w:jc w:val="right"/>
              <w:rPr>
                <w:rFonts w:ascii="Arial" w:hAnsi="Arial" w:cs="Arial"/>
                <w:b/>
                <w:bCs/>
                <w:sz w:val="22"/>
                <w:szCs w:val="22"/>
                <w:lang w:val="en-GB" w:eastAsia="en-GB"/>
              </w:rPr>
            </w:pPr>
            <w:r w:rsidRPr="00C65F3C">
              <w:rPr>
                <w:rFonts w:ascii="Arial" w:hAnsi="Arial" w:cs="Arial"/>
                <w:b/>
                <w:bCs/>
                <w:sz w:val="22"/>
                <w:szCs w:val="22"/>
                <w:lang w:val="en-GB" w:eastAsia="en-GB"/>
              </w:rPr>
              <w:t xml:space="preserve">  12,117 </w:t>
            </w:r>
          </w:p>
        </w:tc>
      </w:tr>
    </w:tbl>
    <w:p w14:paraId="03D24D7E" w14:textId="652C1E64" w:rsidR="009C7422" w:rsidRPr="00F3572E" w:rsidRDefault="009C7422" w:rsidP="00F3572E">
      <w:pPr>
        <w:spacing w:after="200" w:line="276" w:lineRule="auto"/>
        <w:ind w:right="74"/>
        <w:jc w:val="both"/>
        <w:rPr>
          <w:rFonts w:ascii="Arial" w:eastAsia="Arial" w:hAnsi="Arial" w:cs="Arial"/>
          <w:sz w:val="22"/>
          <w:szCs w:val="22"/>
        </w:rPr>
      </w:pPr>
    </w:p>
    <w:p w14:paraId="5F4811D2" w14:textId="6A57EB28" w:rsidR="009C7422" w:rsidRDefault="00247116" w:rsidP="00F3572E">
      <w:pPr>
        <w:spacing w:after="200" w:line="276" w:lineRule="auto"/>
        <w:ind w:right="74"/>
        <w:jc w:val="both"/>
        <w:rPr>
          <w:rFonts w:ascii="Arial" w:eastAsia="Arial" w:hAnsi="Arial" w:cs="Arial"/>
          <w:b/>
          <w:bCs/>
          <w:sz w:val="22"/>
          <w:szCs w:val="22"/>
        </w:rPr>
      </w:pPr>
      <w:commentRangeStart w:id="8"/>
      <w:commentRangeEnd w:id="8"/>
      <w:r>
        <w:rPr>
          <w:rStyle w:val="CommentReference"/>
        </w:rPr>
        <w:commentReference w:id="8"/>
      </w:r>
      <w:r w:rsidR="001706EB" w:rsidRPr="00F3572E">
        <w:rPr>
          <w:rFonts w:ascii="Arial" w:eastAsia="Arial" w:hAnsi="Arial" w:cs="Arial"/>
          <w:b/>
          <w:bCs/>
          <w:sz w:val="22"/>
          <w:szCs w:val="22"/>
        </w:rPr>
        <w:t>NOTE 1</w:t>
      </w:r>
      <w:r>
        <w:rPr>
          <w:rFonts w:ascii="Arial" w:eastAsia="Arial" w:hAnsi="Arial" w:cs="Arial"/>
          <w:b/>
          <w:bCs/>
          <w:sz w:val="22"/>
          <w:szCs w:val="22"/>
        </w:rPr>
        <w:t>3</w:t>
      </w:r>
      <w:r w:rsidR="001706EB" w:rsidRPr="00F3572E">
        <w:rPr>
          <w:rFonts w:ascii="Arial" w:eastAsia="Arial" w:hAnsi="Arial" w:cs="Arial"/>
          <w:b/>
          <w:bCs/>
          <w:sz w:val="22"/>
          <w:szCs w:val="22"/>
        </w:rPr>
        <w:t>a: RECONCILIATION OF MOVEMENTS IN INVESTMENTS AND DERIVATIVES</w:t>
      </w:r>
    </w:p>
    <w:p w14:paraId="49E55112" w14:textId="4650D4DB" w:rsidR="00FA4208" w:rsidRPr="00F3572E" w:rsidRDefault="00FA4208" w:rsidP="00F3572E">
      <w:pPr>
        <w:spacing w:after="200" w:line="276" w:lineRule="auto"/>
        <w:ind w:right="74"/>
        <w:jc w:val="both"/>
        <w:rPr>
          <w:rFonts w:ascii="Arial" w:eastAsia="Arial" w:hAnsi="Arial" w:cs="Arial"/>
          <w:b/>
          <w:bCs/>
          <w:sz w:val="22"/>
          <w:szCs w:val="22"/>
        </w:rPr>
      </w:pPr>
      <w:r w:rsidRPr="00FA4208">
        <w:rPr>
          <w:rFonts w:eastAsia="Arial"/>
          <w:noProof/>
        </w:rPr>
        <w:drawing>
          <wp:inline distT="0" distB="0" distL="0" distR="0" wp14:anchorId="56407C1C" wp14:editId="62DD2CB2">
            <wp:extent cx="6502400" cy="3122930"/>
            <wp:effectExtent l="0" t="0" r="0" b="127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2400" cy="3122930"/>
                    </a:xfrm>
                    <a:prstGeom prst="rect">
                      <a:avLst/>
                    </a:prstGeom>
                    <a:noFill/>
                    <a:ln>
                      <a:noFill/>
                    </a:ln>
                  </pic:spPr>
                </pic:pic>
              </a:graphicData>
            </a:graphic>
          </wp:inline>
        </w:drawing>
      </w:r>
    </w:p>
    <w:p w14:paraId="6AE085B8" w14:textId="7F6E5326" w:rsidR="009C7422" w:rsidRDefault="00F3572E" w:rsidP="00F3572E">
      <w:pPr>
        <w:spacing w:after="200" w:line="276" w:lineRule="auto"/>
        <w:ind w:right="74"/>
        <w:jc w:val="both"/>
        <w:rPr>
          <w:rFonts w:ascii="Arial" w:eastAsia="Arial" w:hAnsi="Arial" w:cs="Arial"/>
          <w:sz w:val="22"/>
          <w:szCs w:val="22"/>
        </w:rPr>
      </w:pPr>
      <w:r w:rsidRPr="00F3572E">
        <w:rPr>
          <w:rFonts w:eastAsia="Arial"/>
          <w:noProof/>
        </w:rPr>
        <w:lastRenderedPageBreak/>
        <w:drawing>
          <wp:inline distT="0" distB="0" distL="0" distR="0" wp14:anchorId="11FB4B57" wp14:editId="2A25816F">
            <wp:extent cx="6502400" cy="28752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2400" cy="2875280"/>
                    </a:xfrm>
                    <a:prstGeom prst="rect">
                      <a:avLst/>
                    </a:prstGeom>
                    <a:noFill/>
                    <a:ln>
                      <a:noFill/>
                    </a:ln>
                  </pic:spPr>
                </pic:pic>
              </a:graphicData>
            </a:graphic>
          </wp:inline>
        </w:drawing>
      </w:r>
    </w:p>
    <w:p w14:paraId="4EB412F6" w14:textId="1F81D1BC" w:rsidR="00A039E1" w:rsidRPr="00A039E1" w:rsidRDefault="00A039E1" w:rsidP="00A039E1">
      <w:pPr>
        <w:spacing w:after="200" w:line="276" w:lineRule="auto"/>
        <w:ind w:right="74"/>
        <w:jc w:val="both"/>
        <w:rPr>
          <w:rFonts w:ascii="Arial" w:eastAsia="Arial" w:hAnsi="Arial" w:cs="Arial"/>
          <w:b/>
          <w:bCs/>
          <w:sz w:val="22"/>
          <w:szCs w:val="22"/>
        </w:rPr>
      </w:pPr>
      <w:commentRangeStart w:id="9"/>
      <w:r w:rsidRPr="00A039E1">
        <w:rPr>
          <w:rFonts w:ascii="Arial" w:eastAsia="Arial" w:hAnsi="Arial" w:cs="Arial"/>
          <w:b/>
          <w:bCs/>
          <w:sz w:val="22"/>
          <w:szCs w:val="22"/>
        </w:rPr>
        <w:t>NOTE 1</w:t>
      </w:r>
      <w:r w:rsidR="00247116">
        <w:rPr>
          <w:rFonts w:ascii="Arial" w:eastAsia="Arial" w:hAnsi="Arial" w:cs="Arial"/>
          <w:b/>
          <w:bCs/>
          <w:sz w:val="22"/>
          <w:szCs w:val="22"/>
        </w:rPr>
        <w:t>3</w:t>
      </w:r>
      <w:r w:rsidRPr="00A039E1">
        <w:rPr>
          <w:rFonts w:ascii="Arial" w:eastAsia="Arial" w:hAnsi="Arial" w:cs="Arial"/>
          <w:b/>
          <w:bCs/>
          <w:sz w:val="22"/>
          <w:szCs w:val="22"/>
        </w:rPr>
        <w:t>b: ANALYSIS OF INVESTMENT ASSETS</w:t>
      </w:r>
      <w:commentRangeEnd w:id="9"/>
      <w:r w:rsidR="009A2FE4">
        <w:rPr>
          <w:rStyle w:val="CommentReference"/>
        </w:rPr>
        <w:commentReference w:id="9"/>
      </w:r>
    </w:p>
    <w:tbl>
      <w:tblPr>
        <w:tblW w:w="7430" w:type="dxa"/>
        <w:tblLook w:val="04A0" w:firstRow="1" w:lastRow="0" w:firstColumn="1" w:lastColumn="0" w:noHBand="0" w:noVBand="1"/>
      </w:tblPr>
      <w:tblGrid>
        <w:gridCol w:w="1318"/>
        <w:gridCol w:w="5100"/>
        <w:gridCol w:w="1012"/>
      </w:tblGrid>
      <w:tr w:rsidR="00017AB8" w:rsidRPr="00017AB8" w14:paraId="75937A69" w14:textId="77777777" w:rsidTr="00017AB8">
        <w:trPr>
          <w:trHeight w:val="300"/>
        </w:trPr>
        <w:tc>
          <w:tcPr>
            <w:tcW w:w="1318" w:type="dxa"/>
            <w:tcBorders>
              <w:top w:val="single" w:sz="4" w:space="0" w:color="auto"/>
              <w:left w:val="single" w:sz="4" w:space="0" w:color="auto"/>
              <w:bottom w:val="nil"/>
              <w:right w:val="nil"/>
            </w:tcBorders>
            <w:shd w:val="clear" w:color="000000" w:fill="00CC99"/>
            <w:noWrap/>
            <w:vAlign w:val="bottom"/>
            <w:hideMark/>
          </w:tcPr>
          <w:p w14:paraId="0FFA4E15" w14:textId="77777777" w:rsidR="00017AB8" w:rsidRPr="00017AB8" w:rsidRDefault="00017AB8" w:rsidP="00017AB8">
            <w:pPr>
              <w:jc w:val="center"/>
              <w:rPr>
                <w:rFonts w:ascii="Arial" w:hAnsi="Arial" w:cs="Arial"/>
                <w:b/>
                <w:bCs/>
                <w:sz w:val="22"/>
                <w:szCs w:val="22"/>
                <w:lang w:val="en-GB" w:eastAsia="en-GB"/>
              </w:rPr>
            </w:pPr>
            <w:r w:rsidRPr="00017AB8">
              <w:rPr>
                <w:rFonts w:ascii="Arial" w:hAnsi="Arial" w:cs="Arial"/>
                <w:b/>
                <w:bCs/>
                <w:sz w:val="22"/>
                <w:szCs w:val="22"/>
                <w:lang w:val="en-GB" w:eastAsia="en-GB"/>
              </w:rPr>
              <w:t>2018/19</w:t>
            </w:r>
          </w:p>
        </w:tc>
        <w:tc>
          <w:tcPr>
            <w:tcW w:w="5100" w:type="dxa"/>
            <w:tcBorders>
              <w:top w:val="single" w:sz="4" w:space="0" w:color="auto"/>
              <w:left w:val="nil"/>
              <w:bottom w:val="nil"/>
              <w:right w:val="nil"/>
            </w:tcBorders>
            <w:shd w:val="clear" w:color="000000" w:fill="00CC99"/>
            <w:noWrap/>
            <w:vAlign w:val="center"/>
            <w:hideMark/>
          </w:tcPr>
          <w:p w14:paraId="10922AC3" w14:textId="77777777" w:rsidR="00017AB8" w:rsidRPr="00017AB8" w:rsidRDefault="00017AB8" w:rsidP="00017AB8">
            <w:pPr>
              <w:jc w:val="center"/>
              <w:rPr>
                <w:rFonts w:ascii="Arial" w:hAnsi="Arial" w:cs="Arial"/>
                <w:b/>
                <w:bCs/>
                <w:color w:val="000000"/>
                <w:sz w:val="22"/>
                <w:szCs w:val="22"/>
                <w:lang w:val="en-GB" w:eastAsia="en-GB"/>
              </w:rPr>
            </w:pPr>
            <w:r w:rsidRPr="00017AB8">
              <w:rPr>
                <w:rFonts w:ascii="Arial" w:hAnsi="Arial" w:cs="Arial"/>
                <w:b/>
                <w:bCs/>
                <w:color w:val="000000"/>
                <w:sz w:val="22"/>
                <w:szCs w:val="22"/>
                <w:lang w:val="en-GB" w:eastAsia="en-GB"/>
              </w:rPr>
              <w:t xml:space="preserve">INVESTMENTS </w:t>
            </w:r>
          </w:p>
        </w:tc>
        <w:tc>
          <w:tcPr>
            <w:tcW w:w="1012" w:type="dxa"/>
            <w:tcBorders>
              <w:top w:val="single" w:sz="4" w:space="0" w:color="auto"/>
              <w:left w:val="nil"/>
              <w:bottom w:val="nil"/>
              <w:right w:val="single" w:sz="4" w:space="0" w:color="auto"/>
            </w:tcBorders>
            <w:shd w:val="clear" w:color="000000" w:fill="00CC99"/>
            <w:vAlign w:val="center"/>
            <w:hideMark/>
          </w:tcPr>
          <w:p w14:paraId="527F37FB" w14:textId="77777777" w:rsidR="00017AB8" w:rsidRPr="00017AB8" w:rsidRDefault="00017AB8" w:rsidP="00017AB8">
            <w:pPr>
              <w:jc w:val="center"/>
              <w:rPr>
                <w:rFonts w:ascii="Arial" w:hAnsi="Arial" w:cs="Arial"/>
                <w:b/>
                <w:bCs/>
                <w:color w:val="000000"/>
                <w:sz w:val="22"/>
                <w:szCs w:val="22"/>
                <w:lang w:val="en-GB" w:eastAsia="en-GB"/>
              </w:rPr>
            </w:pPr>
            <w:r w:rsidRPr="00017AB8">
              <w:rPr>
                <w:rFonts w:ascii="Arial" w:hAnsi="Arial" w:cs="Arial"/>
                <w:b/>
                <w:bCs/>
                <w:color w:val="000000"/>
                <w:sz w:val="22"/>
                <w:szCs w:val="22"/>
                <w:lang w:val="en-GB" w:eastAsia="en-GB"/>
              </w:rPr>
              <w:t>2019/20</w:t>
            </w:r>
          </w:p>
        </w:tc>
      </w:tr>
      <w:tr w:rsidR="00017AB8" w:rsidRPr="00017AB8" w14:paraId="073FDCDC" w14:textId="77777777" w:rsidTr="00017AB8">
        <w:trPr>
          <w:trHeight w:val="300"/>
        </w:trPr>
        <w:tc>
          <w:tcPr>
            <w:tcW w:w="1318" w:type="dxa"/>
            <w:tcBorders>
              <w:top w:val="nil"/>
              <w:left w:val="single" w:sz="4" w:space="0" w:color="auto"/>
              <w:bottom w:val="single" w:sz="4" w:space="0" w:color="auto"/>
              <w:right w:val="nil"/>
            </w:tcBorders>
            <w:shd w:val="clear" w:color="000000" w:fill="00CC99"/>
            <w:noWrap/>
            <w:vAlign w:val="center"/>
            <w:hideMark/>
          </w:tcPr>
          <w:p w14:paraId="35CC135E" w14:textId="77777777" w:rsidR="00017AB8" w:rsidRPr="00017AB8" w:rsidRDefault="00017AB8" w:rsidP="00017AB8">
            <w:pPr>
              <w:jc w:val="center"/>
              <w:rPr>
                <w:rFonts w:ascii="Arial" w:hAnsi="Arial" w:cs="Arial"/>
                <w:b/>
                <w:bCs/>
                <w:color w:val="000000"/>
                <w:sz w:val="22"/>
                <w:szCs w:val="22"/>
                <w:lang w:val="en-GB" w:eastAsia="en-GB"/>
              </w:rPr>
            </w:pPr>
            <w:r w:rsidRPr="00017AB8">
              <w:rPr>
                <w:rFonts w:ascii="Arial" w:hAnsi="Arial" w:cs="Arial"/>
                <w:b/>
                <w:bCs/>
                <w:color w:val="000000"/>
                <w:sz w:val="22"/>
                <w:szCs w:val="22"/>
                <w:lang w:val="en-GB" w:eastAsia="en-GB"/>
              </w:rPr>
              <w:t>£'000</w:t>
            </w:r>
          </w:p>
        </w:tc>
        <w:tc>
          <w:tcPr>
            <w:tcW w:w="5100" w:type="dxa"/>
            <w:tcBorders>
              <w:top w:val="nil"/>
              <w:left w:val="nil"/>
              <w:bottom w:val="single" w:sz="4" w:space="0" w:color="auto"/>
              <w:right w:val="nil"/>
            </w:tcBorders>
            <w:shd w:val="clear" w:color="000000" w:fill="00CC99"/>
            <w:noWrap/>
            <w:vAlign w:val="center"/>
            <w:hideMark/>
          </w:tcPr>
          <w:p w14:paraId="710FD57C" w14:textId="77777777" w:rsidR="00017AB8" w:rsidRPr="00017AB8" w:rsidRDefault="00017AB8" w:rsidP="00017AB8">
            <w:pPr>
              <w:jc w:val="center"/>
              <w:rPr>
                <w:rFonts w:ascii="Arial" w:hAnsi="Arial" w:cs="Arial"/>
                <w:b/>
                <w:bCs/>
                <w:color w:val="000000"/>
                <w:sz w:val="22"/>
                <w:szCs w:val="22"/>
                <w:lang w:val="en-GB" w:eastAsia="en-GB"/>
              </w:rPr>
            </w:pPr>
            <w:r w:rsidRPr="00017AB8">
              <w:rPr>
                <w:rFonts w:ascii="Arial" w:hAnsi="Arial" w:cs="Arial"/>
                <w:b/>
                <w:bCs/>
                <w:color w:val="000000"/>
                <w:sz w:val="22"/>
                <w:szCs w:val="22"/>
                <w:lang w:val="en-GB" w:eastAsia="en-GB"/>
              </w:rPr>
              <w:t> </w:t>
            </w:r>
          </w:p>
        </w:tc>
        <w:tc>
          <w:tcPr>
            <w:tcW w:w="1012" w:type="dxa"/>
            <w:tcBorders>
              <w:top w:val="nil"/>
              <w:left w:val="nil"/>
              <w:bottom w:val="single" w:sz="4" w:space="0" w:color="auto"/>
              <w:right w:val="single" w:sz="4" w:space="0" w:color="auto"/>
            </w:tcBorders>
            <w:shd w:val="clear" w:color="000000" w:fill="00CC99"/>
            <w:noWrap/>
            <w:vAlign w:val="center"/>
            <w:hideMark/>
          </w:tcPr>
          <w:p w14:paraId="077DFC2C" w14:textId="77777777" w:rsidR="00017AB8" w:rsidRPr="00017AB8" w:rsidRDefault="00017AB8" w:rsidP="00017AB8">
            <w:pPr>
              <w:jc w:val="center"/>
              <w:rPr>
                <w:rFonts w:ascii="Arial" w:hAnsi="Arial" w:cs="Arial"/>
                <w:b/>
                <w:bCs/>
                <w:color w:val="000000"/>
                <w:sz w:val="22"/>
                <w:szCs w:val="22"/>
                <w:lang w:val="en-GB" w:eastAsia="en-GB"/>
              </w:rPr>
            </w:pPr>
            <w:r w:rsidRPr="00017AB8">
              <w:rPr>
                <w:rFonts w:ascii="Arial" w:hAnsi="Arial" w:cs="Arial"/>
                <w:b/>
                <w:bCs/>
                <w:color w:val="000000"/>
                <w:sz w:val="22"/>
                <w:szCs w:val="22"/>
                <w:lang w:val="en-GB" w:eastAsia="en-GB"/>
              </w:rPr>
              <w:t>£'000</w:t>
            </w:r>
          </w:p>
        </w:tc>
      </w:tr>
      <w:tr w:rsidR="00017AB8" w:rsidRPr="00017AB8" w14:paraId="5220429A" w14:textId="77777777" w:rsidTr="00017AB8">
        <w:trPr>
          <w:trHeight w:val="300"/>
        </w:trPr>
        <w:tc>
          <w:tcPr>
            <w:tcW w:w="1318" w:type="dxa"/>
            <w:tcBorders>
              <w:top w:val="nil"/>
              <w:left w:val="single" w:sz="4" w:space="0" w:color="auto"/>
              <w:bottom w:val="nil"/>
              <w:right w:val="nil"/>
            </w:tcBorders>
            <w:shd w:val="clear" w:color="auto" w:fill="auto"/>
            <w:noWrap/>
            <w:vAlign w:val="bottom"/>
            <w:hideMark/>
          </w:tcPr>
          <w:p w14:paraId="3808923A"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c>
          <w:tcPr>
            <w:tcW w:w="5100" w:type="dxa"/>
            <w:tcBorders>
              <w:top w:val="nil"/>
              <w:left w:val="nil"/>
              <w:bottom w:val="nil"/>
              <w:right w:val="nil"/>
            </w:tcBorders>
            <w:shd w:val="clear" w:color="auto" w:fill="auto"/>
            <w:noWrap/>
            <w:vAlign w:val="bottom"/>
            <w:hideMark/>
          </w:tcPr>
          <w:p w14:paraId="3BDE9EA7" w14:textId="77777777" w:rsidR="00017AB8" w:rsidRPr="00017AB8" w:rsidRDefault="00017AB8" w:rsidP="00017AB8">
            <w:pPr>
              <w:rPr>
                <w:rFonts w:ascii="Arial" w:hAnsi="Arial" w:cs="Arial"/>
                <w:b/>
                <w:bCs/>
                <w:sz w:val="22"/>
                <w:szCs w:val="22"/>
                <w:lang w:val="en-GB" w:eastAsia="en-GB"/>
              </w:rPr>
            </w:pPr>
            <w:r w:rsidRPr="00017AB8">
              <w:rPr>
                <w:rFonts w:ascii="Arial" w:hAnsi="Arial" w:cs="Arial"/>
                <w:b/>
                <w:bCs/>
                <w:sz w:val="22"/>
                <w:szCs w:val="22"/>
                <w:lang w:val="en-GB" w:eastAsia="en-GB"/>
              </w:rPr>
              <w:t>Long term investments</w:t>
            </w:r>
          </w:p>
        </w:tc>
        <w:tc>
          <w:tcPr>
            <w:tcW w:w="1012" w:type="dxa"/>
            <w:tcBorders>
              <w:top w:val="nil"/>
              <w:left w:val="nil"/>
              <w:bottom w:val="nil"/>
              <w:right w:val="single" w:sz="4" w:space="0" w:color="auto"/>
            </w:tcBorders>
            <w:shd w:val="clear" w:color="auto" w:fill="auto"/>
            <w:noWrap/>
            <w:vAlign w:val="bottom"/>
            <w:hideMark/>
          </w:tcPr>
          <w:p w14:paraId="66792F81"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r>
      <w:tr w:rsidR="00017AB8" w:rsidRPr="00017AB8" w14:paraId="67237714" w14:textId="77777777" w:rsidTr="00017AB8">
        <w:trPr>
          <w:trHeight w:val="315"/>
        </w:trPr>
        <w:tc>
          <w:tcPr>
            <w:tcW w:w="1318" w:type="dxa"/>
            <w:tcBorders>
              <w:top w:val="nil"/>
              <w:left w:val="single" w:sz="4" w:space="0" w:color="auto"/>
              <w:bottom w:val="nil"/>
              <w:right w:val="nil"/>
            </w:tcBorders>
            <w:shd w:val="clear" w:color="auto" w:fill="auto"/>
            <w:noWrap/>
            <w:vAlign w:val="bottom"/>
            <w:hideMark/>
          </w:tcPr>
          <w:p w14:paraId="3AA7E683"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c>
          <w:tcPr>
            <w:tcW w:w="5100" w:type="dxa"/>
            <w:tcBorders>
              <w:top w:val="nil"/>
              <w:left w:val="nil"/>
              <w:bottom w:val="nil"/>
              <w:right w:val="nil"/>
            </w:tcBorders>
            <w:shd w:val="clear" w:color="auto" w:fill="auto"/>
            <w:noWrap/>
            <w:vAlign w:val="bottom"/>
            <w:hideMark/>
          </w:tcPr>
          <w:p w14:paraId="5642FDE4" w14:textId="77777777" w:rsidR="00017AB8" w:rsidRPr="00017AB8" w:rsidRDefault="00017AB8" w:rsidP="00017AB8">
            <w:pPr>
              <w:rPr>
                <w:rFonts w:ascii="Arial" w:hAnsi="Arial" w:cs="Arial"/>
                <w:sz w:val="22"/>
                <w:szCs w:val="22"/>
                <w:lang w:val="en-GB" w:eastAsia="en-GB"/>
              </w:rPr>
            </w:pPr>
          </w:p>
        </w:tc>
        <w:tc>
          <w:tcPr>
            <w:tcW w:w="1012" w:type="dxa"/>
            <w:tcBorders>
              <w:top w:val="nil"/>
              <w:left w:val="nil"/>
              <w:bottom w:val="nil"/>
              <w:right w:val="single" w:sz="4" w:space="0" w:color="auto"/>
            </w:tcBorders>
            <w:shd w:val="clear" w:color="auto" w:fill="auto"/>
            <w:noWrap/>
            <w:vAlign w:val="bottom"/>
            <w:hideMark/>
          </w:tcPr>
          <w:p w14:paraId="6312E68C"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r>
      <w:tr w:rsidR="00017AB8" w:rsidRPr="00017AB8" w14:paraId="13B2BC34" w14:textId="77777777" w:rsidTr="00017AB8">
        <w:trPr>
          <w:trHeight w:val="330"/>
        </w:trPr>
        <w:tc>
          <w:tcPr>
            <w:tcW w:w="1318" w:type="dxa"/>
            <w:tcBorders>
              <w:top w:val="nil"/>
              <w:left w:val="single" w:sz="4" w:space="0" w:color="auto"/>
              <w:bottom w:val="double" w:sz="6" w:space="0" w:color="auto"/>
              <w:right w:val="nil"/>
            </w:tcBorders>
            <w:shd w:val="clear" w:color="auto" w:fill="auto"/>
            <w:noWrap/>
            <w:vAlign w:val="bottom"/>
            <w:hideMark/>
          </w:tcPr>
          <w:p w14:paraId="569C1B86"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150</w:t>
            </w:r>
          </w:p>
        </w:tc>
        <w:tc>
          <w:tcPr>
            <w:tcW w:w="5100" w:type="dxa"/>
            <w:tcBorders>
              <w:top w:val="nil"/>
              <w:left w:val="nil"/>
              <w:bottom w:val="nil"/>
              <w:right w:val="nil"/>
            </w:tcBorders>
            <w:shd w:val="clear" w:color="auto" w:fill="auto"/>
            <w:noWrap/>
            <w:vAlign w:val="bottom"/>
            <w:hideMark/>
          </w:tcPr>
          <w:p w14:paraId="3DD8B4AD"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London CIV</w:t>
            </w:r>
          </w:p>
        </w:tc>
        <w:tc>
          <w:tcPr>
            <w:tcW w:w="1012" w:type="dxa"/>
            <w:tcBorders>
              <w:top w:val="single" w:sz="12" w:space="0" w:color="FFFFFF"/>
              <w:left w:val="nil"/>
              <w:bottom w:val="double" w:sz="6" w:space="0" w:color="auto"/>
              <w:right w:val="single" w:sz="4" w:space="0" w:color="auto"/>
            </w:tcBorders>
            <w:shd w:val="clear" w:color="auto" w:fill="auto"/>
            <w:noWrap/>
            <w:vAlign w:val="bottom"/>
            <w:hideMark/>
          </w:tcPr>
          <w:p w14:paraId="3D983840"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150</w:t>
            </w:r>
          </w:p>
        </w:tc>
      </w:tr>
      <w:tr w:rsidR="00017AB8" w:rsidRPr="00017AB8" w14:paraId="06820803" w14:textId="77777777" w:rsidTr="00017AB8">
        <w:trPr>
          <w:trHeight w:val="330"/>
        </w:trPr>
        <w:tc>
          <w:tcPr>
            <w:tcW w:w="1318" w:type="dxa"/>
            <w:tcBorders>
              <w:top w:val="nil"/>
              <w:left w:val="single" w:sz="4" w:space="0" w:color="auto"/>
              <w:bottom w:val="nil"/>
              <w:right w:val="nil"/>
            </w:tcBorders>
            <w:shd w:val="clear" w:color="auto" w:fill="auto"/>
            <w:noWrap/>
            <w:vAlign w:val="bottom"/>
            <w:hideMark/>
          </w:tcPr>
          <w:p w14:paraId="4AEADF45"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c>
          <w:tcPr>
            <w:tcW w:w="5100" w:type="dxa"/>
            <w:tcBorders>
              <w:top w:val="nil"/>
              <w:left w:val="nil"/>
              <w:bottom w:val="nil"/>
              <w:right w:val="nil"/>
            </w:tcBorders>
            <w:shd w:val="clear" w:color="auto" w:fill="auto"/>
            <w:noWrap/>
            <w:vAlign w:val="bottom"/>
            <w:hideMark/>
          </w:tcPr>
          <w:p w14:paraId="2F8445BD" w14:textId="77777777" w:rsidR="00017AB8" w:rsidRPr="00017AB8" w:rsidRDefault="00017AB8" w:rsidP="00017AB8">
            <w:pPr>
              <w:rPr>
                <w:rFonts w:ascii="Arial" w:hAnsi="Arial" w:cs="Arial"/>
                <w:sz w:val="22"/>
                <w:szCs w:val="22"/>
                <w:lang w:val="en-GB" w:eastAsia="en-GB"/>
              </w:rPr>
            </w:pPr>
          </w:p>
        </w:tc>
        <w:tc>
          <w:tcPr>
            <w:tcW w:w="1012" w:type="dxa"/>
            <w:tcBorders>
              <w:top w:val="nil"/>
              <w:left w:val="nil"/>
              <w:bottom w:val="single" w:sz="12" w:space="0" w:color="FFFFFF"/>
              <w:right w:val="single" w:sz="4" w:space="0" w:color="auto"/>
            </w:tcBorders>
            <w:shd w:val="clear" w:color="auto" w:fill="auto"/>
            <w:noWrap/>
            <w:vAlign w:val="bottom"/>
            <w:hideMark/>
          </w:tcPr>
          <w:p w14:paraId="00743E2E"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r>
      <w:tr w:rsidR="00017AB8" w:rsidRPr="00017AB8" w14:paraId="17103C60" w14:textId="77777777" w:rsidTr="00017AB8">
        <w:trPr>
          <w:trHeight w:val="330"/>
        </w:trPr>
        <w:tc>
          <w:tcPr>
            <w:tcW w:w="1318" w:type="dxa"/>
            <w:tcBorders>
              <w:top w:val="nil"/>
              <w:left w:val="single" w:sz="4" w:space="0" w:color="auto"/>
              <w:bottom w:val="double" w:sz="6" w:space="0" w:color="auto"/>
              <w:right w:val="nil"/>
            </w:tcBorders>
            <w:shd w:val="clear" w:color="auto" w:fill="auto"/>
            <w:noWrap/>
            <w:vAlign w:val="bottom"/>
            <w:hideMark/>
          </w:tcPr>
          <w:p w14:paraId="457A0F64"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325,634</w:t>
            </w:r>
          </w:p>
        </w:tc>
        <w:tc>
          <w:tcPr>
            <w:tcW w:w="5100" w:type="dxa"/>
            <w:tcBorders>
              <w:top w:val="nil"/>
              <w:left w:val="nil"/>
              <w:bottom w:val="nil"/>
              <w:right w:val="nil"/>
            </w:tcBorders>
            <w:shd w:val="clear" w:color="auto" w:fill="auto"/>
            <w:noWrap/>
            <w:vAlign w:val="bottom"/>
            <w:hideMark/>
          </w:tcPr>
          <w:p w14:paraId="76AD4C6B"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xml:space="preserve">CIV2 - Global equities </w:t>
            </w:r>
          </w:p>
        </w:tc>
        <w:tc>
          <w:tcPr>
            <w:tcW w:w="1012" w:type="dxa"/>
            <w:tcBorders>
              <w:top w:val="nil"/>
              <w:left w:val="nil"/>
              <w:bottom w:val="double" w:sz="6" w:space="0" w:color="auto"/>
              <w:right w:val="single" w:sz="4" w:space="0" w:color="auto"/>
            </w:tcBorders>
            <w:shd w:val="clear" w:color="auto" w:fill="auto"/>
            <w:noWrap/>
            <w:vAlign w:val="bottom"/>
            <w:hideMark/>
          </w:tcPr>
          <w:p w14:paraId="7159A4B2"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345,054</w:t>
            </w:r>
          </w:p>
        </w:tc>
      </w:tr>
      <w:tr w:rsidR="00017AB8" w:rsidRPr="00017AB8" w14:paraId="4F0C6C01" w14:textId="77777777" w:rsidTr="00017AB8">
        <w:trPr>
          <w:trHeight w:val="330"/>
        </w:trPr>
        <w:tc>
          <w:tcPr>
            <w:tcW w:w="1318" w:type="dxa"/>
            <w:tcBorders>
              <w:top w:val="nil"/>
              <w:left w:val="single" w:sz="4" w:space="0" w:color="auto"/>
              <w:bottom w:val="nil"/>
              <w:right w:val="nil"/>
            </w:tcBorders>
            <w:shd w:val="clear" w:color="auto" w:fill="auto"/>
            <w:noWrap/>
            <w:vAlign w:val="bottom"/>
            <w:hideMark/>
          </w:tcPr>
          <w:p w14:paraId="64E8DE27"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c>
          <w:tcPr>
            <w:tcW w:w="5100" w:type="dxa"/>
            <w:tcBorders>
              <w:top w:val="nil"/>
              <w:left w:val="nil"/>
              <w:bottom w:val="nil"/>
              <w:right w:val="nil"/>
            </w:tcBorders>
            <w:shd w:val="clear" w:color="auto" w:fill="auto"/>
            <w:noWrap/>
            <w:vAlign w:val="bottom"/>
            <w:hideMark/>
          </w:tcPr>
          <w:p w14:paraId="549F6F9C" w14:textId="77777777" w:rsidR="00017AB8" w:rsidRPr="00017AB8" w:rsidRDefault="00017AB8" w:rsidP="00017AB8">
            <w:pPr>
              <w:rPr>
                <w:rFonts w:ascii="Arial" w:hAnsi="Arial" w:cs="Arial"/>
                <w:sz w:val="22"/>
                <w:szCs w:val="22"/>
                <w:lang w:val="en-GB" w:eastAsia="en-GB"/>
              </w:rPr>
            </w:pPr>
          </w:p>
        </w:tc>
        <w:tc>
          <w:tcPr>
            <w:tcW w:w="1012" w:type="dxa"/>
            <w:tcBorders>
              <w:top w:val="nil"/>
              <w:left w:val="nil"/>
              <w:bottom w:val="single" w:sz="12" w:space="0" w:color="FFFFFF"/>
              <w:right w:val="single" w:sz="4" w:space="0" w:color="auto"/>
            </w:tcBorders>
            <w:shd w:val="clear" w:color="auto" w:fill="auto"/>
            <w:noWrap/>
            <w:vAlign w:val="bottom"/>
            <w:hideMark/>
          </w:tcPr>
          <w:p w14:paraId="03898DAA"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r>
      <w:tr w:rsidR="00017AB8" w:rsidRPr="00017AB8" w14:paraId="2A76B119" w14:textId="77777777" w:rsidTr="00017AB8">
        <w:trPr>
          <w:trHeight w:val="330"/>
        </w:trPr>
        <w:tc>
          <w:tcPr>
            <w:tcW w:w="1318" w:type="dxa"/>
            <w:tcBorders>
              <w:top w:val="nil"/>
              <w:left w:val="single" w:sz="4" w:space="0" w:color="auto"/>
              <w:bottom w:val="nil"/>
              <w:right w:val="nil"/>
            </w:tcBorders>
            <w:shd w:val="clear" w:color="auto" w:fill="auto"/>
            <w:noWrap/>
            <w:vAlign w:val="bottom"/>
            <w:hideMark/>
          </w:tcPr>
          <w:p w14:paraId="2A983383"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c>
          <w:tcPr>
            <w:tcW w:w="5100" w:type="dxa"/>
            <w:tcBorders>
              <w:top w:val="nil"/>
              <w:left w:val="nil"/>
              <w:bottom w:val="nil"/>
              <w:right w:val="nil"/>
            </w:tcBorders>
            <w:shd w:val="clear" w:color="auto" w:fill="auto"/>
            <w:noWrap/>
            <w:vAlign w:val="bottom"/>
            <w:hideMark/>
          </w:tcPr>
          <w:p w14:paraId="2BFCF791" w14:textId="77777777" w:rsidR="00017AB8" w:rsidRPr="00017AB8" w:rsidRDefault="00017AB8" w:rsidP="00017AB8">
            <w:pPr>
              <w:rPr>
                <w:rFonts w:ascii="Arial" w:hAnsi="Arial" w:cs="Arial"/>
                <w:b/>
                <w:bCs/>
                <w:sz w:val="22"/>
                <w:szCs w:val="22"/>
                <w:lang w:val="en-GB" w:eastAsia="en-GB"/>
              </w:rPr>
            </w:pPr>
            <w:r w:rsidRPr="00017AB8">
              <w:rPr>
                <w:rFonts w:ascii="Arial" w:hAnsi="Arial" w:cs="Arial"/>
                <w:b/>
                <w:bCs/>
                <w:sz w:val="22"/>
                <w:szCs w:val="22"/>
                <w:lang w:val="en-GB" w:eastAsia="en-GB"/>
              </w:rPr>
              <w:t>Other pooled investments</w:t>
            </w:r>
          </w:p>
        </w:tc>
        <w:tc>
          <w:tcPr>
            <w:tcW w:w="1012" w:type="dxa"/>
            <w:tcBorders>
              <w:top w:val="nil"/>
              <w:left w:val="nil"/>
              <w:bottom w:val="single" w:sz="12" w:space="0" w:color="FFFFFF"/>
              <w:right w:val="single" w:sz="4" w:space="0" w:color="auto"/>
            </w:tcBorders>
            <w:shd w:val="clear" w:color="auto" w:fill="auto"/>
            <w:noWrap/>
            <w:vAlign w:val="bottom"/>
            <w:hideMark/>
          </w:tcPr>
          <w:p w14:paraId="22B23A63"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r>
      <w:tr w:rsidR="00017AB8" w:rsidRPr="00017AB8" w14:paraId="3DE6CE98" w14:textId="77777777" w:rsidTr="00017AB8">
        <w:trPr>
          <w:trHeight w:val="330"/>
        </w:trPr>
        <w:tc>
          <w:tcPr>
            <w:tcW w:w="1318" w:type="dxa"/>
            <w:tcBorders>
              <w:top w:val="nil"/>
              <w:left w:val="single" w:sz="4" w:space="0" w:color="auto"/>
              <w:bottom w:val="nil"/>
              <w:right w:val="nil"/>
            </w:tcBorders>
            <w:shd w:val="clear" w:color="auto" w:fill="auto"/>
            <w:noWrap/>
            <w:vAlign w:val="bottom"/>
            <w:hideMark/>
          </w:tcPr>
          <w:p w14:paraId="2674CA59"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279,866</w:t>
            </w:r>
          </w:p>
        </w:tc>
        <w:tc>
          <w:tcPr>
            <w:tcW w:w="5100" w:type="dxa"/>
            <w:tcBorders>
              <w:top w:val="nil"/>
              <w:left w:val="nil"/>
              <w:bottom w:val="nil"/>
              <w:right w:val="nil"/>
            </w:tcBorders>
            <w:shd w:val="clear" w:color="auto" w:fill="auto"/>
            <w:noWrap/>
            <w:vAlign w:val="bottom"/>
            <w:hideMark/>
          </w:tcPr>
          <w:p w14:paraId="69838FFF" w14:textId="77777777" w:rsidR="00017AB8" w:rsidRPr="00017AB8" w:rsidRDefault="00017AB8" w:rsidP="00017AB8">
            <w:pPr>
              <w:rPr>
                <w:rFonts w:ascii="Calibri" w:hAnsi="Calibri" w:cs="Calibri"/>
                <w:color w:val="000000"/>
                <w:sz w:val="22"/>
                <w:szCs w:val="22"/>
                <w:lang w:val="en-GB" w:eastAsia="en-GB"/>
              </w:rPr>
            </w:pPr>
            <w:r w:rsidRPr="00017AB8">
              <w:rPr>
                <w:rFonts w:ascii="Calibri" w:hAnsi="Calibri" w:cs="Calibri"/>
                <w:color w:val="000000"/>
                <w:sz w:val="22"/>
                <w:szCs w:val="22"/>
                <w:lang w:val="en-GB" w:eastAsia="en-GB"/>
              </w:rPr>
              <w:t>Equities UK quoted</w:t>
            </w:r>
          </w:p>
        </w:tc>
        <w:tc>
          <w:tcPr>
            <w:tcW w:w="1012" w:type="dxa"/>
            <w:tcBorders>
              <w:top w:val="nil"/>
              <w:left w:val="nil"/>
              <w:bottom w:val="single" w:sz="12" w:space="0" w:color="FFFFFF"/>
              <w:right w:val="single" w:sz="4" w:space="0" w:color="auto"/>
            </w:tcBorders>
            <w:shd w:val="clear" w:color="auto" w:fill="auto"/>
            <w:noWrap/>
            <w:vAlign w:val="bottom"/>
            <w:hideMark/>
          </w:tcPr>
          <w:p w14:paraId="77381767"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321,320</w:t>
            </w:r>
          </w:p>
        </w:tc>
      </w:tr>
      <w:tr w:rsidR="00017AB8" w:rsidRPr="00017AB8" w14:paraId="6FF24A23" w14:textId="77777777" w:rsidTr="00017AB8">
        <w:trPr>
          <w:trHeight w:val="315"/>
        </w:trPr>
        <w:tc>
          <w:tcPr>
            <w:tcW w:w="1318" w:type="dxa"/>
            <w:tcBorders>
              <w:top w:val="nil"/>
              <w:left w:val="single" w:sz="4" w:space="0" w:color="auto"/>
              <w:bottom w:val="nil"/>
              <w:right w:val="nil"/>
            </w:tcBorders>
            <w:shd w:val="clear" w:color="auto" w:fill="auto"/>
            <w:noWrap/>
            <w:vAlign w:val="bottom"/>
            <w:hideMark/>
          </w:tcPr>
          <w:p w14:paraId="5A906094"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82,619</w:t>
            </w:r>
          </w:p>
        </w:tc>
        <w:tc>
          <w:tcPr>
            <w:tcW w:w="5100" w:type="dxa"/>
            <w:tcBorders>
              <w:top w:val="nil"/>
              <w:left w:val="nil"/>
              <w:bottom w:val="nil"/>
              <w:right w:val="nil"/>
            </w:tcBorders>
            <w:shd w:val="clear" w:color="auto" w:fill="auto"/>
            <w:noWrap/>
            <w:vAlign w:val="bottom"/>
            <w:hideMark/>
          </w:tcPr>
          <w:p w14:paraId="6FD5F2EB"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Property</w:t>
            </w:r>
          </w:p>
        </w:tc>
        <w:tc>
          <w:tcPr>
            <w:tcW w:w="1012" w:type="dxa"/>
            <w:tcBorders>
              <w:top w:val="nil"/>
              <w:left w:val="nil"/>
              <w:bottom w:val="nil"/>
              <w:right w:val="single" w:sz="4" w:space="0" w:color="auto"/>
            </w:tcBorders>
            <w:shd w:val="clear" w:color="auto" w:fill="auto"/>
            <w:noWrap/>
            <w:vAlign w:val="bottom"/>
            <w:hideMark/>
          </w:tcPr>
          <w:p w14:paraId="7DD50373"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84,170</w:t>
            </w:r>
          </w:p>
        </w:tc>
      </w:tr>
      <w:tr w:rsidR="00017AB8" w:rsidRPr="00017AB8" w14:paraId="4CDC7F2B" w14:textId="77777777" w:rsidTr="00017AB8">
        <w:trPr>
          <w:trHeight w:val="315"/>
        </w:trPr>
        <w:tc>
          <w:tcPr>
            <w:tcW w:w="1318" w:type="dxa"/>
            <w:tcBorders>
              <w:top w:val="single" w:sz="4" w:space="0" w:color="auto"/>
              <w:left w:val="single" w:sz="4" w:space="0" w:color="auto"/>
              <w:bottom w:val="double" w:sz="6" w:space="0" w:color="auto"/>
              <w:right w:val="nil"/>
            </w:tcBorders>
            <w:shd w:val="clear" w:color="auto" w:fill="auto"/>
            <w:noWrap/>
            <w:vAlign w:val="bottom"/>
            <w:hideMark/>
          </w:tcPr>
          <w:p w14:paraId="3D130831" w14:textId="77777777" w:rsidR="00017AB8" w:rsidRPr="00017AB8" w:rsidRDefault="00017AB8" w:rsidP="00017AB8">
            <w:pPr>
              <w:jc w:val="right"/>
              <w:rPr>
                <w:rFonts w:ascii="Arial" w:hAnsi="Arial" w:cs="Arial"/>
                <w:color w:val="000000"/>
                <w:sz w:val="22"/>
                <w:szCs w:val="22"/>
                <w:lang w:val="en-GB" w:eastAsia="en-GB"/>
              </w:rPr>
            </w:pPr>
            <w:r w:rsidRPr="00017AB8">
              <w:rPr>
                <w:rFonts w:ascii="Arial" w:hAnsi="Arial" w:cs="Arial"/>
                <w:color w:val="000000"/>
                <w:sz w:val="22"/>
                <w:szCs w:val="22"/>
                <w:lang w:val="en-GB" w:eastAsia="en-GB"/>
              </w:rPr>
              <w:t>362,485.00</w:t>
            </w:r>
          </w:p>
        </w:tc>
        <w:tc>
          <w:tcPr>
            <w:tcW w:w="5100" w:type="dxa"/>
            <w:tcBorders>
              <w:top w:val="nil"/>
              <w:left w:val="nil"/>
              <w:bottom w:val="nil"/>
              <w:right w:val="nil"/>
            </w:tcBorders>
            <w:shd w:val="clear" w:color="auto" w:fill="auto"/>
            <w:noWrap/>
            <w:vAlign w:val="bottom"/>
            <w:hideMark/>
          </w:tcPr>
          <w:p w14:paraId="1E2E13CC" w14:textId="77777777" w:rsidR="00017AB8" w:rsidRPr="00017AB8" w:rsidRDefault="00017AB8" w:rsidP="00017AB8">
            <w:pPr>
              <w:jc w:val="right"/>
              <w:rPr>
                <w:rFonts w:ascii="Arial" w:hAnsi="Arial" w:cs="Arial"/>
                <w:color w:val="000000"/>
                <w:sz w:val="22"/>
                <w:szCs w:val="22"/>
                <w:lang w:val="en-GB" w:eastAsia="en-GB"/>
              </w:rPr>
            </w:pP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14:paraId="68BA4456" w14:textId="77777777" w:rsidR="00017AB8" w:rsidRPr="00017AB8" w:rsidRDefault="00017AB8" w:rsidP="00017AB8">
            <w:pPr>
              <w:jc w:val="right"/>
              <w:rPr>
                <w:rFonts w:ascii="Arial" w:hAnsi="Arial" w:cs="Arial"/>
                <w:color w:val="000000"/>
                <w:sz w:val="22"/>
                <w:szCs w:val="22"/>
                <w:lang w:val="en-GB" w:eastAsia="en-GB"/>
              </w:rPr>
            </w:pPr>
            <w:r w:rsidRPr="00017AB8">
              <w:rPr>
                <w:rFonts w:ascii="Arial" w:hAnsi="Arial" w:cs="Arial"/>
                <w:color w:val="000000"/>
                <w:sz w:val="22"/>
                <w:szCs w:val="22"/>
                <w:lang w:val="en-GB" w:eastAsia="en-GB"/>
              </w:rPr>
              <w:t>405,490</w:t>
            </w:r>
          </w:p>
        </w:tc>
      </w:tr>
      <w:tr w:rsidR="00017AB8" w:rsidRPr="00017AB8" w14:paraId="150A3D37" w14:textId="77777777" w:rsidTr="00017AB8">
        <w:trPr>
          <w:trHeight w:val="315"/>
        </w:trPr>
        <w:tc>
          <w:tcPr>
            <w:tcW w:w="1318" w:type="dxa"/>
            <w:tcBorders>
              <w:top w:val="nil"/>
              <w:left w:val="single" w:sz="4" w:space="0" w:color="auto"/>
              <w:bottom w:val="nil"/>
              <w:right w:val="nil"/>
            </w:tcBorders>
            <w:shd w:val="clear" w:color="auto" w:fill="auto"/>
            <w:noWrap/>
            <w:vAlign w:val="bottom"/>
            <w:hideMark/>
          </w:tcPr>
          <w:p w14:paraId="42076BFD" w14:textId="77777777" w:rsidR="00017AB8" w:rsidRPr="00017AB8" w:rsidRDefault="00017AB8" w:rsidP="00017AB8">
            <w:pPr>
              <w:rPr>
                <w:rFonts w:ascii="Arial" w:hAnsi="Arial" w:cs="Arial"/>
                <w:color w:val="000000"/>
                <w:sz w:val="22"/>
                <w:szCs w:val="22"/>
                <w:lang w:val="en-GB" w:eastAsia="en-GB"/>
              </w:rPr>
            </w:pPr>
            <w:r w:rsidRPr="00017AB8">
              <w:rPr>
                <w:rFonts w:ascii="Arial" w:hAnsi="Arial" w:cs="Arial"/>
                <w:color w:val="000000"/>
                <w:sz w:val="22"/>
                <w:szCs w:val="22"/>
                <w:lang w:val="en-GB" w:eastAsia="en-GB"/>
              </w:rPr>
              <w:t> </w:t>
            </w:r>
          </w:p>
        </w:tc>
        <w:tc>
          <w:tcPr>
            <w:tcW w:w="5100" w:type="dxa"/>
            <w:tcBorders>
              <w:top w:val="nil"/>
              <w:left w:val="nil"/>
              <w:bottom w:val="nil"/>
              <w:right w:val="nil"/>
            </w:tcBorders>
            <w:shd w:val="clear" w:color="auto" w:fill="auto"/>
            <w:noWrap/>
            <w:vAlign w:val="bottom"/>
            <w:hideMark/>
          </w:tcPr>
          <w:p w14:paraId="31C69ACF" w14:textId="77777777" w:rsidR="00017AB8" w:rsidRPr="00017AB8" w:rsidRDefault="00017AB8" w:rsidP="00017AB8">
            <w:pPr>
              <w:rPr>
                <w:rFonts w:ascii="Arial" w:hAnsi="Arial" w:cs="Arial"/>
                <w:color w:val="000000"/>
                <w:sz w:val="22"/>
                <w:szCs w:val="22"/>
                <w:lang w:val="en-GB" w:eastAsia="en-GB"/>
              </w:rPr>
            </w:pPr>
          </w:p>
        </w:tc>
        <w:tc>
          <w:tcPr>
            <w:tcW w:w="1012" w:type="dxa"/>
            <w:tcBorders>
              <w:top w:val="nil"/>
              <w:left w:val="nil"/>
              <w:bottom w:val="nil"/>
              <w:right w:val="single" w:sz="4" w:space="0" w:color="auto"/>
            </w:tcBorders>
            <w:shd w:val="clear" w:color="auto" w:fill="auto"/>
            <w:noWrap/>
            <w:vAlign w:val="bottom"/>
            <w:hideMark/>
          </w:tcPr>
          <w:p w14:paraId="2B2DBF22" w14:textId="77777777" w:rsidR="00017AB8" w:rsidRPr="00017AB8" w:rsidRDefault="00017AB8" w:rsidP="00017AB8">
            <w:pPr>
              <w:rPr>
                <w:rFonts w:ascii="Arial" w:hAnsi="Arial" w:cs="Arial"/>
                <w:color w:val="000000"/>
                <w:sz w:val="22"/>
                <w:szCs w:val="22"/>
                <w:lang w:val="en-GB" w:eastAsia="en-GB"/>
              </w:rPr>
            </w:pPr>
            <w:r w:rsidRPr="00017AB8">
              <w:rPr>
                <w:rFonts w:ascii="Arial" w:hAnsi="Arial" w:cs="Arial"/>
                <w:color w:val="000000"/>
                <w:sz w:val="22"/>
                <w:szCs w:val="22"/>
                <w:lang w:val="en-GB" w:eastAsia="en-GB"/>
              </w:rPr>
              <w:t> </w:t>
            </w:r>
          </w:p>
        </w:tc>
      </w:tr>
      <w:tr w:rsidR="00017AB8" w:rsidRPr="00017AB8" w14:paraId="039D5CA1" w14:textId="77777777" w:rsidTr="00017AB8">
        <w:trPr>
          <w:trHeight w:val="315"/>
        </w:trPr>
        <w:tc>
          <w:tcPr>
            <w:tcW w:w="1318" w:type="dxa"/>
            <w:tcBorders>
              <w:top w:val="nil"/>
              <w:left w:val="single" w:sz="4" w:space="0" w:color="auto"/>
              <w:bottom w:val="nil"/>
              <w:right w:val="nil"/>
            </w:tcBorders>
            <w:shd w:val="clear" w:color="auto" w:fill="auto"/>
            <w:noWrap/>
            <w:vAlign w:val="bottom"/>
            <w:hideMark/>
          </w:tcPr>
          <w:p w14:paraId="44DB33DB"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c>
          <w:tcPr>
            <w:tcW w:w="5100" w:type="dxa"/>
            <w:tcBorders>
              <w:top w:val="nil"/>
              <w:left w:val="nil"/>
              <w:bottom w:val="nil"/>
              <w:right w:val="nil"/>
            </w:tcBorders>
            <w:shd w:val="clear" w:color="auto" w:fill="auto"/>
            <w:noWrap/>
            <w:vAlign w:val="bottom"/>
            <w:hideMark/>
          </w:tcPr>
          <w:p w14:paraId="28614056" w14:textId="77777777" w:rsidR="00017AB8" w:rsidRPr="00017AB8" w:rsidRDefault="00017AB8" w:rsidP="00017AB8">
            <w:pPr>
              <w:rPr>
                <w:rFonts w:ascii="Arial" w:hAnsi="Arial" w:cs="Arial"/>
                <w:b/>
                <w:bCs/>
                <w:sz w:val="22"/>
                <w:szCs w:val="22"/>
                <w:lang w:val="en-GB" w:eastAsia="en-GB"/>
              </w:rPr>
            </w:pPr>
            <w:r w:rsidRPr="00017AB8">
              <w:rPr>
                <w:rFonts w:ascii="Arial" w:hAnsi="Arial" w:cs="Arial"/>
                <w:b/>
                <w:bCs/>
                <w:sz w:val="22"/>
                <w:szCs w:val="22"/>
                <w:lang w:val="en-GB" w:eastAsia="en-GB"/>
              </w:rPr>
              <w:t>Other externally managed funds</w:t>
            </w:r>
          </w:p>
        </w:tc>
        <w:tc>
          <w:tcPr>
            <w:tcW w:w="1012" w:type="dxa"/>
            <w:tcBorders>
              <w:top w:val="nil"/>
              <w:left w:val="nil"/>
              <w:bottom w:val="single" w:sz="12" w:space="0" w:color="FFFFFF"/>
              <w:right w:val="single" w:sz="4" w:space="0" w:color="auto"/>
            </w:tcBorders>
            <w:shd w:val="clear" w:color="auto" w:fill="auto"/>
            <w:noWrap/>
            <w:vAlign w:val="bottom"/>
            <w:hideMark/>
          </w:tcPr>
          <w:p w14:paraId="35EDECAC"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r>
      <w:tr w:rsidR="00017AB8" w:rsidRPr="00017AB8" w14:paraId="7A5570EF" w14:textId="77777777" w:rsidTr="00017AB8">
        <w:trPr>
          <w:trHeight w:val="330"/>
        </w:trPr>
        <w:tc>
          <w:tcPr>
            <w:tcW w:w="1318" w:type="dxa"/>
            <w:tcBorders>
              <w:top w:val="nil"/>
              <w:left w:val="single" w:sz="4" w:space="0" w:color="auto"/>
              <w:bottom w:val="nil"/>
              <w:right w:val="nil"/>
            </w:tcBorders>
            <w:shd w:val="clear" w:color="auto" w:fill="auto"/>
            <w:noWrap/>
            <w:vAlign w:val="bottom"/>
            <w:hideMark/>
          </w:tcPr>
          <w:p w14:paraId="46F72D4F"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632</w:t>
            </w:r>
          </w:p>
        </w:tc>
        <w:tc>
          <w:tcPr>
            <w:tcW w:w="5100" w:type="dxa"/>
            <w:tcBorders>
              <w:top w:val="nil"/>
              <w:left w:val="nil"/>
              <w:bottom w:val="nil"/>
              <w:right w:val="nil"/>
            </w:tcBorders>
            <w:shd w:val="clear" w:color="auto" w:fill="auto"/>
            <w:noWrap/>
            <w:vAlign w:val="bottom"/>
            <w:hideMark/>
          </w:tcPr>
          <w:p w14:paraId="1391F89C"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Property</w:t>
            </w:r>
          </w:p>
        </w:tc>
        <w:tc>
          <w:tcPr>
            <w:tcW w:w="1012" w:type="dxa"/>
            <w:tcBorders>
              <w:top w:val="nil"/>
              <w:left w:val="nil"/>
              <w:bottom w:val="single" w:sz="12" w:space="0" w:color="FFFFFF"/>
              <w:right w:val="single" w:sz="4" w:space="0" w:color="auto"/>
            </w:tcBorders>
            <w:shd w:val="clear" w:color="auto" w:fill="auto"/>
            <w:noWrap/>
            <w:vAlign w:val="bottom"/>
            <w:hideMark/>
          </w:tcPr>
          <w:p w14:paraId="61FB2208"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275</w:t>
            </w:r>
          </w:p>
        </w:tc>
      </w:tr>
      <w:tr w:rsidR="00017AB8" w:rsidRPr="00017AB8" w14:paraId="5DC34798" w14:textId="77777777" w:rsidTr="00017AB8">
        <w:trPr>
          <w:trHeight w:val="330"/>
        </w:trPr>
        <w:tc>
          <w:tcPr>
            <w:tcW w:w="1318" w:type="dxa"/>
            <w:tcBorders>
              <w:top w:val="nil"/>
              <w:left w:val="single" w:sz="4" w:space="0" w:color="auto"/>
              <w:bottom w:val="nil"/>
              <w:right w:val="nil"/>
            </w:tcBorders>
            <w:shd w:val="clear" w:color="auto" w:fill="auto"/>
            <w:noWrap/>
            <w:vAlign w:val="bottom"/>
            <w:hideMark/>
          </w:tcPr>
          <w:p w14:paraId="3ADA6D79"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102,536</w:t>
            </w:r>
          </w:p>
        </w:tc>
        <w:tc>
          <w:tcPr>
            <w:tcW w:w="5100" w:type="dxa"/>
            <w:tcBorders>
              <w:top w:val="nil"/>
              <w:left w:val="nil"/>
              <w:bottom w:val="nil"/>
              <w:right w:val="nil"/>
            </w:tcBorders>
            <w:shd w:val="clear" w:color="auto" w:fill="auto"/>
            <w:noWrap/>
            <w:vAlign w:val="bottom"/>
            <w:hideMark/>
          </w:tcPr>
          <w:p w14:paraId="68A67D1E"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Bonds</w:t>
            </w:r>
          </w:p>
        </w:tc>
        <w:tc>
          <w:tcPr>
            <w:tcW w:w="1012" w:type="dxa"/>
            <w:tcBorders>
              <w:top w:val="nil"/>
              <w:left w:val="nil"/>
              <w:bottom w:val="single" w:sz="12" w:space="0" w:color="FFFFFF"/>
              <w:right w:val="single" w:sz="4" w:space="0" w:color="auto"/>
            </w:tcBorders>
            <w:shd w:val="clear" w:color="auto" w:fill="auto"/>
            <w:noWrap/>
            <w:vAlign w:val="bottom"/>
            <w:hideMark/>
          </w:tcPr>
          <w:p w14:paraId="561AD0A6"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0</w:t>
            </w:r>
          </w:p>
        </w:tc>
      </w:tr>
      <w:tr w:rsidR="00017AB8" w:rsidRPr="00017AB8" w14:paraId="2D5C1F5C" w14:textId="77777777" w:rsidTr="00017AB8">
        <w:trPr>
          <w:trHeight w:val="330"/>
        </w:trPr>
        <w:tc>
          <w:tcPr>
            <w:tcW w:w="1318" w:type="dxa"/>
            <w:tcBorders>
              <w:top w:val="nil"/>
              <w:left w:val="single" w:sz="4" w:space="0" w:color="auto"/>
              <w:bottom w:val="nil"/>
              <w:right w:val="nil"/>
            </w:tcBorders>
            <w:shd w:val="clear" w:color="auto" w:fill="auto"/>
            <w:noWrap/>
            <w:vAlign w:val="bottom"/>
            <w:hideMark/>
          </w:tcPr>
          <w:p w14:paraId="279E8383"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154</w:t>
            </w:r>
          </w:p>
        </w:tc>
        <w:tc>
          <w:tcPr>
            <w:tcW w:w="5100" w:type="dxa"/>
            <w:tcBorders>
              <w:top w:val="nil"/>
              <w:left w:val="nil"/>
              <w:bottom w:val="nil"/>
              <w:right w:val="nil"/>
            </w:tcBorders>
            <w:shd w:val="clear" w:color="auto" w:fill="auto"/>
            <w:noWrap/>
            <w:vAlign w:val="bottom"/>
            <w:hideMark/>
          </w:tcPr>
          <w:p w14:paraId="072804A5"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Hedge Funds</w:t>
            </w:r>
          </w:p>
        </w:tc>
        <w:tc>
          <w:tcPr>
            <w:tcW w:w="1012" w:type="dxa"/>
            <w:tcBorders>
              <w:top w:val="nil"/>
              <w:left w:val="nil"/>
              <w:bottom w:val="single" w:sz="12" w:space="0" w:color="FFFFFF"/>
              <w:right w:val="single" w:sz="4" w:space="0" w:color="auto"/>
            </w:tcBorders>
            <w:shd w:val="clear" w:color="auto" w:fill="auto"/>
            <w:noWrap/>
            <w:vAlign w:val="bottom"/>
            <w:hideMark/>
          </w:tcPr>
          <w:p w14:paraId="2546EF6E"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119</w:t>
            </w:r>
          </w:p>
        </w:tc>
      </w:tr>
      <w:tr w:rsidR="00017AB8" w:rsidRPr="00017AB8" w14:paraId="31F21892" w14:textId="77777777" w:rsidTr="00017AB8">
        <w:trPr>
          <w:trHeight w:val="330"/>
        </w:trPr>
        <w:tc>
          <w:tcPr>
            <w:tcW w:w="1318" w:type="dxa"/>
            <w:tcBorders>
              <w:top w:val="nil"/>
              <w:left w:val="single" w:sz="4" w:space="0" w:color="auto"/>
              <w:bottom w:val="nil"/>
              <w:right w:val="nil"/>
            </w:tcBorders>
            <w:shd w:val="clear" w:color="auto" w:fill="auto"/>
            <w:noWrap/>
            <w:vAlign w:val="bottom"/>
            <w:hideMark/>
          </w:tcPr>
          <w:p w14:paraId="422BE271"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109,704</w:t>
            </w:r>
          </w:p>
        </w:tc>
        <w:tc>
          <w:tcPr>
            <w:tcW w:w="5100" w:type="dxa"/>
            <w:tcBorders>
              <w:top w:val="nil"/>
              <w:left w:val="nil"/>
              <w:bottom w:val="nil"/>
              <w:right w:val="nil"/>
            </w:tcBorders>
            <w:shd w:val="clear" w:color="auto" w:fill="auto"/>
            <w:noWrap/>
            <w:vAlign w:val="bottom"/>
            <w:hideMark/>
          </w:tcPr>
          <w:p w14:paraId="289AD09C"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Infrastructure</w:t>
            </w:r>
          </w:p>
        </w:tc>
        <w:tc>
          <w:tcPr>
            <w:tcW w:w="1012" w:type="dxa"/>
            <w:tcBorders>
              <w:top w:val="nil"/>
              <w:left w:val="nil"/>
              <w:bottom w:val="single" w:sz="12" w:space="0" w:color="FFFFFF"/>
              <w:right w:val="single" w:sz="4" w:space="0" w:color="auto"/>
            </w:tcBorders>
            <w:shd w:val="clear" w:color="auto" w:fill="auto"/>
            <w:noWrap/>
            <w:vAlign w:val="bottom"/>
            <w:hideMark/>
          </w:tcPr>
          <w:p w14:paraId="5641B60E"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98,541</w:t>
            </w:r>
          </w:p>
        </w:tc>
      </w:tr>
      <w:tr w:rsidR="00017AB8" w:rsidRPr="00017AB8" w14:paraId="3BF94AF9" w14:textId="77777777" w:rsidTr="00017AB8">
        <w:trPr>
          <w:trHeight w:val="330"/>
        </w:trPr>
        <w:tc>
          <w:tcPr>
            <w:tcW w:w="1318" w:type="dxa"/>
            <w:tcBorders>
              <w:top w:val="nil"/>
              <w:left w:val="single" w:sz="4" w:space="0" w:color="auto"/>
              <w:bottom w:val="nil"/>
              <w:right w:val="nil"/>
            </w:tcBorders>
            <w:shd w:val="clear" w:color="auto" w:fill="auto"/>
            <w:noWrap/>
            <w:vAlign w:val="bottom"/>
            <w:hideMark/>
          </w:tcPr>
          <w:p w14:paraId="2FA55894"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3,635</w:t>
            </w:r>
          </w:p>
        </w:tc>
        <w:tc>
          <w:tcPr>
            <w:tcW w:w="5100" w:type="dxa"/>
            <w:tcBorders>
              <w:top w:val="nil"/>
              <w:left w:val="nil"/>
              <w:bottom w:val="nil"/>
              <w:right w:val="nil"/>
            </w:tcBorders>
            <w:shd w:val="clear" w:color="auto" w:fill="auto"/>
            <w:noWrap/>
            <w:vAlign w:val="bottom"/>
            <w:hideMark/>
          </w:tcPr>
          <w:p w14:paraId="754400CD"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Social Impact</w:t>
            </w:r>
          </w:p>
        </w:tc>
        <w:tc>
          <w:tcPr>
            <w:tcW w:w="1012" w:type="dxa"/>
            <w:tcBorders>
              <w:top w:val="nil"/>
              <w:left w:val="nil"/>
              <w:bottom w:val="single" w:sz="12" w:space="0" w:color="FFFFFF"/>
              <w:right w:val="single" w:sz="4" w:space="0" w:color="auto"/>
            </w:tcBorders>
            <w:shd w:val="clear" w:color="auto" w:fill="auto"/>
            <w:noWrap/>
            <w:vAlign w:val="bottom"/>
            <w:hideMark/>
          </w:tcPr>
          <w:p w14:paraId="4CDFACE9"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3,505</w:t>
            </w:r>
          </w:p>
        </w:tc>
      </w:tr>
      <w:tr w:rsidR="00017AB8" w:rsidRPr="00017AB8" w14:paraId="6D399F97" w14:textId="77777777" w:rsidTr="00017AB8">
        <w:trPr>
          <w:trHeight w:val="315"/>
        </w:trPr>
        <w:tc>
          <w:tcPr>
            <w:tcW w:w="1318" w:type="dxa"/>
            <w:tcBorders>
              <w:top w:val="nil"/>
              <w:left w:val="single" w:sz="4" w:space="0" w:color="auto"/>
              <w:bottom w:val="nil"/>
              <w:right w:val="nil"/>
            </w:tcBorders>
            <w:shd w:val="clear" w:color="auto" w:fill="auto"/>
            <w:noWrap/>
            <w:vAlign w:val="bottom"/>
            <w:hideMark/>
          </w:tcPr>
          <w:p w14:paraId="65BE149C"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17,382</w:t>
            </w:r>
          </w:p>
        </w:tc>
        <w:tc>
          <w:tcPr>
            <w:tcW w:w="5100" w:type="dxa"/>
            <w:tcBorders>
              <w:top w:val="nil"/>
              <w:left w:val="nil"/>
              <w:bottom w:val="nil"/>
              <w:right w:val="nil"/>
            </w:tcBorders>
            <w:shd w:val="clear" w:color="auto" w:fill="auto"/>
            <w:noWrap/>
            <w:vAlign w:val="bottom"/>
            <w:hideMark/>
          </w:tcPr>
          <w:p w14:paraId="4829A2ED" w14:textId="77777777" w:rsidR="00017AB8" w:rsidRPr="00017AB8" w:rsidRDefault="00017AB8" w:rsidP="00017AB8">
            <w:pPr>
              <w:rPr>
                <w:rFonts w:ascii="Arial" w:hAnsi="Arial" w:cs="Arial"/>
                <w:b/>
                <w:bCs/>
                <w:sz w:val="22"/>
                <w:szCs w:val="22"/>
                <w:lang w:val="en-GB" w:eastAsia="en-GB"/>
              </w:rPr>
            </w:pPr>
            <w:r w:rsidRPr="00017AB8">
              <w:rPr>
                <w:rFonts w:ascii="Arial" w:hAnsi="Arial" w:cs="Arial"/>
                <w:b/>
                <w:bCs/>
                <w:sz w:val="22"/>
                <w:szCs w:val="22"/>
                <w:lang w:val="en-GB" w:eastAsia="en-GB"/>
              </w:rPr>
              <w:t>Cash and money market instruments</w:t>
            </w:r>
          </w:p>
        </w:tc>
        <w:tc>
          <w:tcPr>
            <w:tcW w:w="1012" w:type="dxa"/>
            <w:tcBorders>
              <w:top w:val="nil"/>
              <w:left w:val="nil"/>
              <w:bottom w:val="single" w:sz="4" w:space="0" w:color="auto"/>
              <w:right w:val="single" w:sz="4" w:space="0" w:color="auto"/>
            </w:tcBorders>
            <w:shd w:val="clear" w:color="auto" w:fill="auto"/>
            <w:noWrap/>
            <w:vAlign w:val="bottom"/>
            <w:hideMark/>
          </w:tcPr>
          <w:p w14:paraId="005C3A6A"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2,170</w:t>
            </w:r>
          </w:p>
        </w:tc>
      </w:tr>
      <w:tr w:rsidR="00017AB8" w:rsidRPr="00017AB8" w14:paraId="6AEE091C" w14:textId="77777777" w:rsidTr="00017AB8">
        <w:trPr>
          <w:trHeight w:val="315"/>
        </w:trPr>
        <w:tc>
          <w:tcPr>
            <w:tcW w:w="1318" w:type="dxa"/>
            <w:tcBorders>
              <w:top w:val="single" w:sz="4" w:space="0" w:color="auto"/>
              <w:left w:val="single" w:sz="4" w:space="0" w:color="auto"/>
              <w:bottom w:val="double" w:sz="6" w:space="0" w:color="auto"/>
              <w:right w:val="nil"/>
            </w:tcBorders>
            <w:shd w:val="clear" w:color="auto" w:fill="auto"/>
            <w:noWrap/>
            <w:vAlign w:val="bottom"/>
            <w:hideMark/>
          </w:tcPr>
          <w:p w14:paraId="56AC4EB4"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234,043</w:t>
            </w:r>
          </w:p>
        </w:tc>
        <w:tc>
          <w:tcPr>
            <w:tcW w:w="5100" w:type="dxa"/>
            <w:tcBorders>
              <w:top w:val="nil"/>
              <w:left w:val="nil"/>
              <w:bottom w:val="nil"/>
              <w:right w:val="nil"/>
            </w:tcBorders>
            <w:shd w:val="clear" w:color="auto" w:fill="auto"/>
            <w:noWrap/>
            <w:vAlign w:val="bottom"/>
            <w:hideMark/>
          </w:tcPr>
          <w:p w14:paraId="2B54385E" w14:textId="77777777" w:rsidR="00017AB8" w:rsidRPr="00017AB8" w:rsidRDefault="00017AB8" w:rsidP="00017AB8">
            <w:pPr>
              <w:jc w:val="right"/>
              <w:rPr>
                <w:rFonts w:ascii="Arial" w:hAnsi="Arial" w:cs="Arial"/>
                <w:sz w:val="22"/>
                <w:szCs w:val="22"/>
                <w:lang w:val="en-GB" w:eastAsia="en-GB"/>
              </w:rPr>
            </w:pPr>
          </w:p>
        </w:tc>
        <w:tc>
          <w:tcPr>
            <w:tcW w:w="1012" w:type="dxa"/>
            <w:tcBorders>
              <w:top w:val="nil"/>
              <w:left w:val="nil"/>
              <w:bottom w:val="double" w:sz="6" w:space="0" w:color="auto"/>
              <w:right w:val="single" w:sz="4" w:space="0" w:color="auto"/>
            </w:tcBorders>
            <w:shd w:val="clear" w:color="auto" w:fill="auto"/>
            <w:noWrap/>
            <w:vAlign w:val="bottom"/>
            <w:hideMark/>
          </w:tcPr>
          <w:p w14:paraId="590333FB" w14:textId="77777777" w:rsidR="00017AB8" w:rsidRPr="00017AB8" w:rsidRDefault="00017AB8" w:rsidP="00017AB8">
            <w:pPr>
              <w:jc w:val="right"/>
              <w:rPr>
                <w:rFonts w:ascii="Arial" w:hAnsi="Arial" w:cs="Arial"/>
                <w:sz w:val="22"/>
                <w:szCs w:val="22"/>
                <w:lang w:val="en-GB" w:eastAsia="en-GB"/>
              </w:rPr>
            </w:pPr>
            <w:r w:rsidRPr="00017AB8">
              <w:rPr>
                <w:rFonts w:ascii="Arial" w:hAnsi="Arial" w:cs="Arial"/>
                <w:sz w:val="22"/>
                <w:szCs w:val="22"/>
                <w:lang w:val="en-GB" w:eastAsia="en-GB"/>
              </w:rPr>
              <w:t>104,610</w:t>
            </w:r>
          </w:p>
        </w:tc>
      </w:tr>
      <w:tr w:rsidR="00017AB8" w:rsidRPr="00017AB8" w14:paraId="331E71FD" w14:textId="77777777" w:rsidTr="00017AB8">
        <w:trPr>
          <w:trHeight w:val="315"/>
        </w:trPr>
        <w:tc>
          <w:tcPr>
            <w:tcW w:w="1318" w:type="dxa"/>
            <w:tcBorders>
              <w:top w:val="nil"/>
              <w:left w:val="single" w:sz="4" w:space="0" w:color="auto"/>
              <w:bottom w:val="nil"/>
              <w:right w:val="nil"/>
            </w:tcBorders>
            <w:shd w:val="clear" w:color="auto" w:fill="auto"/>
            <w:noWrap/>
            <w:vAlign w:val="bottom"/>
            <w:hideMark/>
          </w:tcPr>
          <w:p w14:paraId="48E06AB6"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c>
          <w:tcPr>
            <w:tcW w:w="5100" w:type="dxa"/>
            <w:tcBorders>
              <w:top w:val="nil"/>
              <w:left w:val="nil"/>
              <w:bottom w:val="nil"/>
              <w:right w:val="nil"/>
            </w:tcBorders>
            <w:shd w:val="clear" w:color="auto" w:fill="auto"/>
            <w:noWrap/>
            <w:vAlign w:val="bottom"/>
            <w:hideMark/>
          </w:tcPr>
          <w:p w14:paraId="646AA58D" w14:textId="77777777" w:rsidR="00017AB8" w:rsidRPr="00017AB8" w:rsidRDefault="00017AB8" w:rsidP="00017AB8">
            <w:pPr>
              <w:rPr>
                <w:rFonts w:ascii="Arial" w:hAnsi="Arial" w:cs="Arial"/>
                <w:sz w:val="22"/>
                <w:szCs w:val="22"/>
                <w:lang w:val="en-GB" w:eastAsia="en-GB"/>
              </w:rPr>
            </w:pPr>
          </w:p>
        </w:tc>
        <w:tc>
          <w:tcPr>
            <w:tcW w:w="1012" w:type="dxa"/>
            <w:tcBorders>
              <w:top w:val="nil"/>
              <w:left w:val="nil"/>
              <w:bottom w:val="nil"/>
              <w:right w:val="single" w:sz="4" w:space="0" w:color="auto"/>
            </w:tcBorders>
            <w:shd w:val="clear" w:color="auto" w:fill="auto"/>
            <w:noWrap/>
            <w:vAlign w:val="bottom"/>
            <w:hideMark/>
          </w:tcPr>
          <w:p w14:paraId="6A5DFF77"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r>
      <w:tr w:rsidR="00017AB8" w:rsidRPr="00017AB8" w14:paraId="1200F0BD" w14:textId="77777777" w:rsidTr="00017AB8">
        <w:trPr>
          <w:trHeight w:val="300"/>
        </w:trPr>
        <w:tc>
          <w:tcPr>
            <w:tcW w:w="1318" w:type="dxa"/>
            <w:tcBorders>
              <w:top w:val="single" w:sz="4" w:space="0" w:color="auto"/>
              <w:left w:val="single" w:sz="4" w:space="0" w:color="auto"/>
              <w:bottom w:val="single" w:sz="4" w:space="0" w:color="auto"/>
              <w:right w:val="nil"/>
            </w:tcBorders>
            <w:shd w:val="clear" w:color="auto" w:fill="auto"/>
            <w:noWrap/>
            <w:vAlign w:val="bottom"/>
            <w:hideMark/>
          </w:tcPr>
          <w:p w14:paraId="3207D71F" w14:textId="77777777" w:rsidR="00017AB8" w:rsidRPr="00017AB8" w:rsidRDefault="00017AB8" w:rsidP="00017AB8">
            <w:pPr>
              <w:jc w:val="right"/>
              <w:rPr>
                <w:rFonts w:ascii="Arial" w:hAnsi="Arial" w:cs="Arial"/>
                <w:b/>
                <w:bCs/>
                <w:sz w:val="22"/>
                <w:szCs w:val="22"/>
                <w:lang w:val="en-GB" w:eastAsia="en-GB"/>
              </w:rPr>
            </w:pPr>
            <w:r w:rsidRPr="00017AB8">
              <w:rPr>
                <w:rFonts w:ascii="Arial" w:hAnsi="Arial" w:cs="Arial"/>
                <w:b/>
                <w:bCs/>
                <w:sz w:val="22"/>
                <w:szCs w:val="22"/>
                <w:lang w:val="en-GB" w:eastAsia="en-GB"/>
              </w:rPr>
              <w:t>922,312</w:t>
            </w:r>
          </w:p>
        </w:tc>
        <w:tc>
          <w:tcPr>
            <w:tcW w:w="5100" w:type="dxa"/>
            <w:tcBorders>
              <w:top w:val="nil"/>
              <w:left w:val="nil"/>
              <w:bottom w:val="single" w:sz="4" w:space="0" w:color="auto"/>
              <w:right w:val="nil"/>
            </w:tcBorders>
            <w:shd w:val="clear" w:color="auto" w:fill="auto"/>
            <w:noWrap/>
            <w:vAlign w:val="bottom"/>
            <w:hideMark/>
          </w:tcPr>
          <w:p w14:paraId="71D47C6D" w14:textId="77777777" w:rsidR="00017AB8" w:rsidRPr="00017AB8" w:rsidRDefault="00017AB8" w:rsidP="00017AB8">
            <w:pPr>
              <w:rPr>
                <w:rFonts w:ascii="Arial" w:hAnsi="Arial" w:cs="Arial"/>
                <w:sz w:val="22"/>
                <w:szCs w:val="22"/>
                <w:lang w:val="en-GB" w:eastAsia="en-GB"/>
              </w:rPr>
            </w:pPr>
            <w:r w:rsidRPr="00017AB8">
              <w:rPr>
                <w:rFonts w:ascii="Arial" w:hAnsi="Arial" w:cs="Arial"/>
                <w:sz w:val="22"/>
                <w:szCs w:val="22"/>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FB65C54" w14:textId="77777777" w:rsidR="00017AB8" w:rsidRPr="00017AB8" w:rsidRDefault="00017AB8" w:rsidP="00017AB8">
            <w:pPr>
              <w:jc w:val="right"/>
              <w:rPr>
                <w:rFonts w:ascii="Arial" w:hAnsi="Arial" w:cs="Arial"/>
                <w:b/>
                <w:bCs/>
                <w:sz w:val="22"/>
                <w:szCs w:val="22"/>
                <w:lang w:val="en-GB" w:eastAsia="en-GB"/>
              </w:rPr>
            </w:pPr>
            <w:r w:rsidRPr="00017AB8">
              <w:rPr>
                <w:rFonts w:ascii="Arial" w:hAnsi="Arial" w:cs="Arial"/>
                <w:b/>
                <w:bCs/>
                <w:sz w:val="22"/>
                <w:szCs w:val="22"/>
                <w:lang w:val="en-GB" w:eastAsia="en-GB"/>
              </w:rPr>
              <w:t>855,304</w:t>
            </w:r>
          </w:p>
        </w:tc>
      </w:tr>
    </w:tbl>
    <w:p w14:paraId="0C2AA203" w14:textId="5A95F4E0" w:rsidR="00A039E1" w:rsidRPr="00A039E1" w:rsidRDefault="00A039E1" w:rsidP="00A039E1">
      <w:pPr>
        <w:spacing w:after="200" w:line="276" w:lineRule="auto"/>
        <w:ind w:right="74"/>
        <w:jc w:val="both"/>
        <w:rPr>
          <w:rFonts w:ascii="Arial" w:eastAsia="Arial" w:hAnsi="Arial" w:cs="Arial"/>
          <w:sz w:val="22"/>
          <w:szCs w:val="22"/>
        </w:rPr>
      </w:pPr>
    </w:p>
    <w:p w14:paraId="45E02086" w14:textId="424C84C7" w:rsidR="00A039E1" w:rsidRPr="00A039E1" w:rsidRDefault="00A039E1" w:rsidP="00A039E1">
      <w:pPr>
        <w:spacing w:after="200" w:line="276" w:lineRule="auto"/>
        <w:ind w:right="74"/>
        <w:jc w:val="both"/>
        <w:rPr>
          <w:rFonts w:ascii="Arial" w:eastAsia="Arial" w:hAnsi="Arial" w:cs="Arial"/>
          <w:sz w:val="22"/>
          <w:szCs w:val="22"/>
        </w:rPr>
      </w:pPr>
    </w:p>
    <w:p w14:paraId="4A88DB0E" w14:textId="77777777" w:rsidR="00942374" w:rsidRDefault="00942374">
      <w:pPr>
        <w:rPr>
          <w:rFonts w:ascii="Arial" w:eastAsia="Arial" w:hAnsi="Arial" w:cs="Arial"/>
          <w:b/>
          <w:bCs/>
          <w:sz w:val="22"/>
          <w:szCs w:val="22"/>
        </w:rPr>
      </w:pPr>
      <w:r>
        <w:rPr>
          <w:rFonts w:ascii="Arial" w:eastAsia="Arial" w:hAnsi="Arial" w:cs="Arial"/>
          <w:b/>
          <w:bCs/>
          <w:sz w:val="22"/>
          <w:szCs w:val="22"/>
        </w:rPr>
        <w:br w:type="page"/>
      </w:r>
    </w:p>
    <w:p w14:paraId="5E90B08E" w14:textId="2F6AFBD7" w:rsidR="009C7422" w:rsidRDefault="001706EB" w:rsidP="00A039E1">
      <w:pPr>
        <w:spacing w:after="200" w:line="276" w:lineRule="auto"/>
        <w:ind w:right="74"/>
        <w:jc w:val="both"/>
        <w:rPr>
          <w:rFonts w:ascii="Arial" w:eastAsia="Arial" w:hAnsi="Arial" w:cs="Arial"/>
          <w:b/>
          <w:bCs/>
          <w:sz w:val="22"/>
          <w:szCs w:val="22"/>
        </w:rPr>
      </w:pPr>
      <w:r w:rsidRPr="00A039E1">
        <w:rPr>
          <w:rFonts w:ascii="Arial" w:eastAsia="Arial" w:hAnsi="Arial" w:cs="Arial"/>
          <w:b/>
          <w:bCs/>
          <w:sz w:val="22"/>
          <w:szCs w:val="22"/>
        </w:rPr>
        <w:lastRenderedPageBreak/>
        <w:t>NOTE 1</w:t>
      </w:r>
      <w:r w:rsidR="00247116">
        <w:rPr>
          <w:rFonts w:ascii="Arial" w:eastAsia="Arial" w:hAnsi="Arial" w:cs="Arial"/>
          <w:b/>
          <w:bCs/>
          <w:sz w:val="22"/>
          <w:szCs w:val="22"/>
        </w:rPr>
        <w:t>3</w:t>
      </w:r>
      <w:r w:rsidRPr="00A039E1">
        <w:rPr>
          <w:rFonts w:ascii="Arial" w:eastAsia="Arial" w:hAnsi="Arial" w:cs="Arial"/>
          <w:b/>
          <w:bCs/>
          <w:sz w:val="22"/>
          <w:szCs w:val="22"/>
        </w:rPr>
        <w:t>c: INVESTMENTS ANALYSED BY FUND MANAGER</w:t>
      </w:r>
    </w:p>
    <w:p w14:paraId="364C4631" w14:textId="27DDFB1D" w:rsidR="00FB39C3" w:rsidRPr="00A039E1" w:rsidRDefault="00FB39C3" w:rsidP="00A039E1">
      <w:pPr>
        <w:spacing w:after="200" w:line="276" w:lineRule="auto"/>
        <w:ind w:right="74"/>
        <w:jc w:val="both"/>
        <w:rPr>
          <w:rFonts w:ascii="Arial" w:eastAsia="Arial" w:hAnsi="Arial" w:cs="Arial"/>
          <w:b/>
          <w:bCs/>
          <w:sz w:val="22"/>
          <w:szCs w:val="22"/>
        </w:rPr>
      </w:pPr>
      <w:r w:rsidRPr="00FB39C3">
        <w:rPr>
          <w:rFonts w:eastAsia="Arial"/>
          <w:noProof/>
        </w:rPr>
        <w:drawing>
          <wp:inline distT="0" distB="0" distL="0" distR="0" wp14:anchorId="53191734" wp14:editId="4175DCAD">
            <wp:extent cx="6464300" cy="545020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4300" cy="5450205"/>
                    </a:xfrm>
                    <a:prstGeom prst="rect">
                      <a:avLst/>
                    </a:prstGeom>
                    <a:noFill/>
                    <a:ln>
                      <a:noFill/>
                    </a:ln>
                  </pic:spPr>
                </pic:pic>
              </a:graphicData>
            </a:graphic>
          </wp:inline>
        </w:drawing>
      </w:r>
    </w:p>
    <w:p w14:paraId="6BDF256A" w14:textId="77777777" w:rsidR="009C7422" w:rsidRPr="00BD17CA" w:rsidRDefault="009C7422">
      <w:pPr>
        <w:spacing w:before="7" w:line="220" w:lineRule="exact"/>
        <w:rPr>
          <w:rFonts w:ascii="Arial" w:hAnsi="Arial" w:cs="Arial"/>
          <w:sz w:val="22"/>
          <w:szCs w:val="22"/>
        </w:rPr>
      </w:pPr>
    </w:p>
    <w:p w14:paraId="6AAB3C38" w14:textId="77777777" w:rsidR="009C7422" w:rsidRPr="00A039E1" w:rsidRDefault="001706EB" w:rsidP="00A039E1">
      <w:pPr>
        <w:spacing w:after="200" w:line="276" w:lineRule="auto"/>
        <w:ind w:right="74"/>
        <w:jc w:val="both"/>
        <w:rPr>
          <w:rFonts w:ascii="Arial" w:eastAsia="Arial" w:hAnsi="Arial" w:cs="Arial"/>
          <w:b/>
          <w:bCs/>
          <w:sz w:val="22"/>
          <w:szCs w:val="22"/>
        </w:rPr>
      </w:pPr>
      <w:r w:rsidRPr="00A039E1">
        <w:rPr>
          <w:rFonts w:ascii="Arial" w:eastAsia="Arial" w:hAnsi="Arial" w:cs="Arial"/>
          <w:b/>
          <w:bCs/>
          <w:sz w:val="22"/>
          <w:szCs w:val="22"/>
        </w:rPr>
        <w:t>Purchases and sales of Investments</w:t>
      </w:r>
    </w:p>
    <w:p w14:paraId="0AB767FD" w14:textId="51F2E67B" w:rsidR="009C7422" w:rsidRPr="00BD17CA" w:rsidRDefault="001706EB" w:rsidP="00A039E1">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Dur</w:t>
      </w:r>
      <w:r w:rsidRPr="00A039E1">
        <w:rPr>
          <w:rFonts w:ascii="Arial" w:eastAsia="Arial" w:hAnsi="Arial" w:cs="Arial"/>
          <w:sz w:val="22"/>
          <w:szCs w:val="22"/>
        </w:rPr>
        <w:t>in</w:t>
      </w:r>
      <w:r w:rsidRPr="00BD17CA">
        <w:rPr>
          <w:rFonts w:ascii="Arial" w:eastAsia="Arial" w:hAnsi="Arial" w:cs="Arial"/>
          <w:sz w:val="22"/>
          <w:szCs w:val="22"/>
        </w:rPr>
        <w:t>g</w:t>
      </w:r>
      <w:r w:rsidRPr="00A039E1">
        <w:rPr>
          <w:rFonts w:ascii="Arial" w:eastAsia="Arial" w:hAnsi="Arial" w:cs="Arial"/>
          <w:sz w:val="22"/>
          <w:szCs w:val="22"/>
        </w:rPr>
        <w:t xml:space="preserve"> </w:t>
      </w:r>
      <w:r w:rsidRPr="00BD17CA">
        <w:rPr>
          <w:rFonts w:ascii="Arial" w:eastAsia="Arial" w:hAnsi="Arial" w:cs="Arial"/>
          <w:sz w:val="22"/>
          <w:szCs w:val="22"/>
        </w:rPr>
        <w:t>the</w:t>
      </w:r>
      <w:r w:rsidRPr="00A039E1">
        <w:rPr>
          <w:rFonts w:ascii="Arial" w:eastAsia="Arial" w:hAnsi="Arial" w:cs="Arial"/>
          <w:sz w:val="22"/>
          <w:szCs w:val="22"/>
        </w:rPr>
        <w:t xml:space="preserve"> y</w:t>
      </w:r>
      <w:r w:rsidRPr="00BD17CA">
        <w:rPr>
          <w:rFonts w:ascii="Arial" w:eastAsia="Arial" w:hAnsi="Arial" w:cs="Arial"/>
          <w:sz w:val="22"/>
          <w:szCs w:val="22"/>
        </w:rPr>
        <w:t>e</w:t>
      </w:r>
      <w:r w:rsidRPr="00A039E1">
        <w:rPr>
          <w:rFonts w:ascii="Arial" w:eastAsia="Arial" w:hAnsi="Arial" w:cs="Arial"/>
          <w:sz w:val="22"/>
          <w:szCs w:val="22"/>
        </w:rPr>
        <w:t>ar</w:t>
      </w:r>
      <w:r w:rsidRPr="00BD17CA">
        <w:rPr>
          <w:rFonts w:ascii="Arial" w:eastAsia="Arial" w:hAnsi="Arial" w:cs="Arial"/>
          <w:sz w:val="22"/>
          <w:szCs w:val="22"/>
        </w:rPr>
        <w:t>,</w:t>
      </w:r>
      <w:r w:rsidRPr="00A039E1">
        <w:rPr>
          <w:rFonts w:ascii="Arial" w:eastAsia="Arial" w:hAnsi="Arial" w:cs="Arial"/>
          <w:sz w:val="22"/>
          <w:szCs w:val="22"/>
        </w:rPr>
        <w:t xml:space="preserve"> </w:t>
      </w:r>
      <w:r w:rsidRPr="00BD17CA">
        <w:rPr>
          <w:rFonts w:ascii="Arial" w:eastAsia="Arial" w:hAnsi="Arial" w:cs="Arial"/>
          <w:sz w:val="22"/>
          <w:szCs w:val="22"/>
        </w:rPr>
        <w:t>t</w:t>
      </w:r>
      <w:r w:rsidRPr="00A039E1">
        <w:rPr>
          <w:rFonts w:ascii="Arial" w:eastAsia="Arial" w:hAnsi="Arial" w:cs="Arial"/>
          <w:sz w:val="22"/>
          <w:szCs w:val="22"/>
        </w:rPr>
        <w:t>h</w:t>
      </w:r>
      <w:r w:rsidRPr="00BD17CA">
        <w:rPr>
          <w:rFonts w:ascii="Arial" w:eastAsia="Arial" w:hAnsi="Arial" w:cs="Arial"/>
          <w:sz w:val="22"/>
          <w:szCs w:val="22"/>
        </w:rPr>
        <w:t>e</w:t>
      </w:r>
      <w:r w:rsidRPr="00A039E1">
        <w:rPr>
          <w:rFonts w:ascii="Arial" w:eastAsia="Arial" w:hAnsi="Arial" w:cs="Arial"/>
          <w:sz w:val="22"/>
          <w:szCs w:val="22"/>
        </w:rPr>
        <w:t xml:space="preserve"> f</w:t>
      </w:r>
      <w:r w:rsidRPr="00BD17CA">
        <w:rPr>
          <w:rFonts w:ascii="Arial" w:eastAsia="Arial" w:hAnsi="Arial" w:cs="Arial"/>
          <w:sz w:val="22"/>
          <w:szCs w:val="22"/>
        </w:rPr>
        <w:t>u</w:t>
      </w:r>
      <w:r w:rsidRPr="00A039E1">
        <w:rPr>
          <w:rFonts w:ascii="Arial" w:eastAsia="Arial" w:hAnsi="Arial" w:cs="Arial"/>
          <w:sz w:val="22"/>
          <w:szCs w:val="22"/>
        </w:rPr>
        <w:t>n</w:t>
      </w:r>
      <w:r w:rsidRPr="00BD17CA">
        <w:rPr>
          <w:rFonts w:ascii="Arial" w:eastAsia="Arial" w:hAnsi="Arial" w:cs="Arial"/>
          <w:sz w:val="22"/>
          <w:szCs w:val="22"/>
        </w:rPr>
        <w:t>d</w:t>
      </w:r>
      <w:r w:rsidRPr="00A039E1">
        <w:rPr>
          <w:rFonts w:ascii="Arial" w:eastAsia="Arial" w:hAnsi="Arial" w:cs="Arial"/>
          <w:sz w:val="22"/>
          <w:szCs w:val="22"/>
        </w:rPr>
        <w:t xml:space="preserve"> p</w:t>
      </w:r>
      <w:r w:rsidRPr="00BD17CA">
        <w:rPr>
          <w:rFonts w:ascii="Arial" w:eastAsia="Arial" w:hAnsi="Arial" w:cs="Arial"/>
          <w:sz w:val="22"/>
          <w:szCs w:val="22"/>
        </w:rPr>
        <w:t>ur</w:t>
      </w:r>
      <w:r w:rsidRPr="00A039E1">
        <w:rPr>
          <w:rFonts w:ascii="Arial" w:eastAsia="Arial" w:hAnsi="Arial" w:cs="Arial"/>
          <w:sz w:val="22"/>
          <w:szCs w:val="22"/>
        </w:rPr>
        <w:t>c</w:t>
      </w:r>
      <w:r w:rsidRPr="00BD17CA">
        <w:rPr>
          <w:rFonts w:ascii="Arial" w:eastAsia="Arial" w:hAnsi="Arial" w:cs="Arial"/>
          <w:sz w:val="22"/>
          <w:szCs w:val="22"/>
        </w:rPr>
        <w:t>h</w:t>
      </w:r>
      <w:r w:rsidRPr="00A039E1">
        <w:rPr>
          <w:rFonts w:ascii="Arial" w:eastAsia="Arial" w:hAnsi="Arial" w:cs="Arial"/>
          <w:sz w:val="22"/>
          <w:szCs w:val="22"/>
        </w:rPr>
        <w:t>as</w:t>
      </w:r>
      <w:r w:rsidRPr="00BD17CA">
        <w:rPr>
          <w:rFonts w:ascii="Arial" w:eastAsia="Arial" w:hAnsi="Arial" w:cs="Arial"/>
          <w:sz w:val="22"/>
          <w:szCs w:val="22"/>
        </w:rPr>
        <w:t xml:space="preserve">ed </w:t>
      </w:r>
      <w:r w:rsidRPr="00A039E1">
        <w:rPr>
          <w:rFonts w:ascii="Arial" w:eastAsia="Arial" w:hAnsi="Arial" w:cs="Arial"/>
          <w:sz w:val="22"/>
          <w:szCs w:val="22"/>
        </w:rPr>
        <w:t>inv</w:t>
      </w:r>
      <w:r w:rsidRPr="00BD17CA">
        <w:rPr>
          <w:rFonts w:ascii="Arial" w:eastAsia="Arial" w:hAnsi="Arial" w:cs="Arial"/>
          <w:sz w:val="22"/>
          <w:szCs w:val="22"/>
        </w:rPr>
        <w:t>e</w:t>
      </w:r>
      <w:r w:rsidRPr="00A039E1">
        <w:rPr>
          <w:rFonts w:ascii="Arial" w:eastAsia="Arial" w:hAnsi="Arial" w:cs="Arial"/>
          <w:sz w:val="22"/>
          <w:szCs w:val="22"/>
        </w:rPr>
        <w:t>s</w:t>
      </w:r>
      <w:r w:rsidRPr="00BD17CA">
        <w:rPr>
          <w:rFonts w:ascii="Arial" w:eastAsia="Arial" w:hAnsi="Arial" w:cs="Arial"/>
          <w:sz w:val="22"/>
          <w:szCs w:val="22"/>
        </w:rPr>
        <w:t>t</w:t>
      </w:r>
      <w:r w:rsidRPr="00A039E1">
        <w:rPr>
          <w:rFonts w:ascii="Arial" w:eastAsia="Arial" w:hAnsi="Arial" w:cs="Arial"/>
          <w:sz w:val="22"/>
          <w:szCs w:val="22"/>
        </w:rPr>
        <w:t>m</w:t>
      </w:r>
      <w:r w:rsidRPr="00BD17CA">
        <w:rPr>
          <w:rFonts w:ascii="Arial" w:eastAsia="Arial" w:hAnsi="Arial" w:cs="Arial"/>
          <w:sz w:val="22"/>
          <w:szCs w:val="22"/>
        </w:rPr>
        <w:t>e</w:t>
      </w:r>
      <w:r w:rsidRPr="00A039E1">
        <w:rPr>
          <w:rFonts w:ascii="Arial" w:eastAsia="Arial" w:hAnsi="Arial" w:cs="Arial"/>
          <w:sz w:val="22"/>
          <w:szCs w:val="22"/>
        </w:rPr>
        <w:t>n</w:t>
      </w:r>
      <w:r w:rsidRPr="00BD17CA">
        <w:rPr>
          <w:rFonts w:ascii="Arial" w:eastAsia="Arial" w:hAnsi="Arial" w:cs="Arial"/>
          <w:sz w:val="22"/>
          <w:szCs w:val="22"/>
        </w:rPr>
        <w:t>t a</w:t>
      </w:r>
      <w:r w:rsidRPr="00A039E1">
        <w:rPr>
          <w:rFonts w:ascii="Arial" w:eastAsia="Arial" w:hAnsi="Arial" w:cs="Arial"/>
          <w:sz w:val="22"/>
          <w:szCs w:val="22"/>
        </w:rPr>
        <w:t>ss</w:t>
      </w:r>
      <w:r w:rsidRPr="00BD17CA">
        <w:rPr>
          <w:rFonts w:ascii="Arial" w:eastAsia="Arial" w:hAnsi="Arial" w:cs="Arial"/>
          <w:sz w:val="22"/>
          <w:szCs w:val="22"/>
        </w:rPr>
        <w:t>e</w:t>
      </w:r>
      <w:r w:rsidRPr="00A039E1">
        <w:rPr>
          <w:rFonts w:ascii="Arial" w:eastAsia="Arial" w:hAnsi="Arial" w:cs="Arial"/>
          <w:sz w:val="22"/>
          <w:szCs w:val="22"/>
        </w:rPr>
        <w:t>t</w:t>
      </w:r>
      <w:r w:rsidRPr="00BD17CA">
        <w:rPr>
          <w:rFonts w:ascii="Arial" w:eastAsia="Arial" w:hAnsi="Arial" w:cs="Arial"/>
          <w:sz w:val="22"/>
          <w:szCs w:val="22"/>
        </w:rPr>
        <w:t>s</w:t>
      </w:r>
      <w:r w:rsidRPr="00A039E1">
        <w:rPr>
          <w:rFonts w:ascii="Arial" w:eastAsia="Arial" w:hAnsi="Arial" w:cs="Arial"/>
          <w:sz w:val="22"/>
          <w:szCs w:val="22"/>
        </w:rPr>
        <w:t xml:space="preserve"> </w:t>
      </w:r>
      <w:r w:rsidRPr="00BD17CA">
        <w:rPr>
          <w:rFonts w:ascii="Arial" w:eastAsia="Arial" w:hAnsi="Arial" w:cs="Arial"/>
          <w:sz w:val="22"/>
          <w:szCs w:val="22"/>
        </w:rPr>
        <w:t>to</w:t>
      </w:r>
      <w:r w:rsidRPr="00A039E1">
        <w:rPr>
          <w:rFonts w:ascii="Arial" w:eastAsia="Arial" w:hAnsi="Arial" w:cs="Arial"/>
          <w:sz w:val="22"/>
          <w:szCs w:val="22"/>
        </w:rPr>
        <w:t>t</w:t>
      </w:r>
      <w:r w:rsidRPr="00BD17CA">
        <w:rPr>
          <w:rFonts w:ascii="Arial" w:eastAsia="Arial" w:hAnsi="Arial" w:cs="Arial"/>
          <w:sz w:val="22"/>
          <w:szCs w:val="22"/>
        </w:rPr>
        <w:t>a</w:t>
      </w:r>
      <w:r w:rsidRPr="00A039E1">
        <w:rPr>
          <w:rFonts w:ascii="Arial" w:eastAsia="Arial" w:hAnsi="Arial" w:cs="Arial"/>
          <w:sz w:val="22"/>
          <w:szCs w:val="22"/>
        </w:rPr>
        <w:t>li</w:t>
      </w:r>
      <w:r w:rsidRPr="00BD17CA">
        <w:rPr>
          <w:rFonts w:ascii="Arial" w:eastAsia="Arial" w:hAnsi="Arial" w:cs="Arial"/>
          <w:sz w:val="22"/>
          <w:szCs w:val="22"/>
        </w:rPr>
        <w:t>ng</w:t>
      </w:r>
      <w:r w:rsidRPr="00A039E1">
        <w:rPr>
          <w:rFonts w:ascii="Arial" w:eastAsia="Arial" w:hAnsi="Arial" w:cs="Arial"/>
          <w:sz w:val="22"/>
          <w:szCs w:val="22"/>
        </w:rPr>
        <w:t xml:space="preserve"> £</w:t>
      </w:r>
      <w:r w:rsidR="009A2FE4">
        <w:rPr>
          <w:rFonts w:ascii="Arial" w:eastAsia="Arial" w:hAnsi="Arial" w:cs="Arial"/>
          <w:sz w:val="22"/>
          <w:szCs w:val="22"/>
        </w:rPr>
        <w:t>194.0</w:t>
      </w:r>
      <w:r w:rsidRPr="00A039E1">
        <w:rPr>
          <w:rFonts w:ascii="Arial" w:eastAsia="Arial" w:hAnsi="Arial" w:cs="Arial"/>
          <w:sz w:val="22"/>
          <w:szCs w:val="22"/>
        </w:rPr>
        <w:t xml:space="preserve"> millio</w:t>
      </w:r>
      <w:r w:rsidRPr="00BD17CA">
        <w:rPr>
          <w:rFonts w:ascii="Arial" w:eastAsia="Arial" w:hAnsi="Arial" w:cs="Arial"/>
          <w:sz w:val="22"/>
          <w:szCs w:val="22"/>
        </w:rPr>
        <w:t>n</w:t>
      </w:r>
      <w:r w:rsidRPr="00A039E1">
        <w:rPr>
          <w:rFonts w:ascii="Arial" w:eastAsia="Arial" w:hAnsi="Arial" w:cs="Arial"/>
          <w:sz w:val="22"/>
          <w:szCs w:val="22"/>
        </w:rPr>
        <w:t xml:space="preserve"> (£</w:t>
      </w:r>
      <w:r w:rsidR="009A2FE4">
        <w:rPr>
          <w:rFonts w:ascii="Arial" w:eastAsia="Arial" w:hAnsi="Arial" w:cs="Arial"/>
          <w:sz w:val="22"/>
          <w:szCs w:val="22"/>
        </w:rPr>
        <w:t>418.0</w:t>
      </w:r>
      <w:r w:rsidR="009A2FE4" w:rsidRPr="00A039E1">
        <w:rPr>
          <w:rFonts w:ascii="Arial" w:eastAsia="Arial" w:hAnsi="Arial" w:cs="Arial"/>
          <w:sz w:val="22"/>
          <w:szCs w:val="22"/>
        </w:rPr>
        <w:t xml:space="preserve"> </w:t>
      </w:r>
      <w:r w:rsidRPr="00A039E1">
        <w:rPr>
          <w:rFonts w:ascii="Arial" w:eastAsia="Arial" w:hAnsi="Arial" w:cs="Arial"/>
          <w:sz w:val="22"/>
          <w:szCs w:val="22"/>
        </w:rPr>
        <w:t>milli</w:t>
      </w:r>
      <w:r w:rsidRPr="00BD17CA">
        <w:rPr>
          <w:rFonts w:ascii="Arial" w:eastAsia="Arial" w:hAnsi="Arial" w:cs="Arial"/>
          <w:sz w:val="22"/>
          <w:szCs w:val="22"/>
        </w:rPr>
        <w:t>on</w:t>
      </w:r>
      <w:r w:rsidRPr="00A039E1">
        <w:rPr>
          <w:rFonts w:ascii="Arial" w:eastAsia="Arial" w:hAnsi="Arial" w:cs="Arial"/>
          <w:sz w:val="22"/>
          <w:szCs w:val="22"/>
        </w:rPr>
        <w:t xml:space="preserve"> i</w:t>
      </w:r>
      <w:r w:rsidRPr="00BD17CA">
        <w:rPr>
          <w:rFonts w:ascii="Arial" w:eastAsia="Arial" w:hAnsi="Arial" w:cs="Arial"/>
          <w:sz w:val="22"/>
          <w:szCs w:val="22"/>
        </w:rPr>
        <w:t>n</w:t>
      </w:r>
      <w:r w:rsidRPr="00A039E1">
        <w:rPr>
          <w:rFonts w:ascii="Arial" w:eastAsia="Arial" w:hAnsi="Arial" w:cs="Arial"/>
          <w:sz w:val="22"/>
          <w:szCs w:val="22"/>
        </w:rPr>
        <w:t xml:space="preserve"> </w:t>
      </w:r>
      <w:r w:rsidRPr="00BD17CA">
        <w:rPr>
          <w:rFonts w:ascii="Arial" w:eastAsia="Arial" w:hAnsi="Arial" w:cs="Arial"/>
          <w:sz w:val="22"/>
          <w:szCs w:val="22"/>
        </w:rPr>
        <w:t>2</w:t>
      </w:r>
      <w:r w:rsidRPr="00A039E1">
        <w:rPr>
          <w:rFonts w:ascii="Arial" w:eastAsia="Arial" w:hAnsi="Arial" w:cs="Arial"/>
          <w:sz w:val="22"/>
          <w:szCs w:val="22"/>
        </w:rPr>
        <w:t>0</w:t>
      </w:r>
      <w:r w:rsidRPr="00BD17CA">
        <w:rPr>
          <w:rFonts w:ascii="Arial" w:eastAsia="Arial" w:hAnsi="Arial" w:cs="Arial"/>
          <w:sz w:val="22"/>
          <w:szCs w:val="22"/>
        </w:rPr>
        <w:t>1</w:t>
      </w:r>
      <w:r w:rsidR="009A2FE4">
        <w:rPr>
          <w:rFonts w:ascii="Arial" w:eastAsia="Arial" w:hAnsi="Arial" w:cs="Arial"/>
          <w:sz w:val="22"/>
          <w:szCs w:val="22"/>
        </w:rPr>
        <w:t>8</w:t>
      </w:r>
      <w:r w:rsidRPr="00BD17CA">
        <w:rPr>
          <w:rFonts w:ascii="Arial" w:eastAsia="Arial" w:hAnsi="Arial" w:cs="Arial"/>
          <w:sz w:val="22"/>
          <w:szCs w:val="22"/>
        </w:rPr>
        <w:t>/</w:t>
      </w:r>
      <w:r w:rsidRPr="00A039E1">
        <w:rPr>
          <w:rFonts w:ascii="Arial" w:eastAsia="Arial" w:hAnsi="Arial" w:cs="Arial"/>
          <w:sz w:val="22"/>
          <w:szCs w:val="22"/>
        </w:rPr>
        <w:t>1</w:t>
      </w:r>
      <w:r w:rsidR="009A2FE4">
        <w:rPr>
          <w:rFonts w:ascii="Arial" w:eastAsia="Arial" w:hAnsi="Arial" w:cs="Arial"/>
          <w:sz w:val="22"/>
          <w:szCs w:val="22"/>
        </w:rPr>
        <w:t>9</w:t>
      </w:r>
      <w:r w:rsidRPr="00BD17CA">
        <w:rPr>
          <w:rFonts w:ascii="Arial" w:eastAsia="Arial" w:hAnsi="Arial" w:cs="Arial"/>
          <w:sz w:val="22"/>
          <w:szCs w:val="22"/>
        </w:rPr>
        <w:t>)</w:t>
      </w:r>
      <w:r w:rsidRPr="00A039E1">
        <w:rPr>
          <w:rFonts w:ascii="Arial" w:eastAsia="Arial" w:hAnsi="Arial" w:cs="Arial"/>
          <w:sz w:val="22"/>
          <w:szCs w:val="22"/>
        </w:rPr>
        <w:t xml:space="preserve"> </w:t>
      </w:r>
      <w:r w:rsidRPr="00BD17CA">
        <w:rPr>
          <w:rFonts w:ascii="Arial" w:eastAsia="Arial" w:hAnsi="Arial" w:cs="Arial"/>
          <w:sz w:val="22"/>
          <w:szCs w:val="22"/>
        </w:rPr>
        <w:t>a</w:t>
      </w:r>
      <w:r w:rsidRPr="00A039E1">
        <w:rPr>
          <w:rFonts w:ascii="Arial" w:eastAsia="Arial" w:hAnsi="Arial" w:cs="Arial"/>
          <w:sz w:val="22"/>
          <w:szCs w:val="22"/>
        </w:rPr>
        <w:t>n</w:t>
      </w:r>
      <w:r w:rsidRPr="00BD17CA">
        <w:rPr>
          <w:rFonts w:ascii="Arial" w:eastAsia="Arial" w:hAnsi="Arial" w:cs="Arial"/>
          <w:sz w:val="22"/>
          <w:szCs w:val="22"/>
        </w:rPr>
        <w:t xml:space="preserve">d </w:t>
      </w:r>
      <w:r w:rsidRPr="00A039E1">
        <w:rPr>
          <w:rFonts w:ascii="Arial" w:eastAsia="Arial" w:hAnsi="Arial" w:cs="Arial"/>
          <w:sz w:val="22"/>
          <w:szCs w:val="22"/>
        </w:rPr>
        <w:t>s</w:t>
      </w:r>
      <w:r w:rsidRPr="00BD17CA">
        <w:rPr>
          <w:rFonts w:ascii="Arial" w:eastAsia="Arial" w:hAnsi="Arial" w:cs="Arial"/>
          <w:sz w:val="22"/>
          <w:szCs w:val="22"/>
        </w:rPr>
        <w:t>o</w:t>
      </w:r>
      <w:r w:rsidRPr="00A039E1">
        <w:rPr>
          <w:rFonts w:ascii="Arial" w:eastAsia="Arial" w:hAnsi="Arial" w:cs="Arial"/>
          <w:sz w:val="22"/>
          <w:szCs w:val="22"/>
        </w:rPr>
        <w:t>l</w:t>
      </w:r>
      <w:r w:rsidRPr="00BD17CA">
        <w:rPr>
          <w:rFonts w:ascii="Arial" w:eastAsia="Arial" w:hAnsi="Arial" w:cs="Arial"/>
          <w:sz w:val="22"/>
          <w:szCs w:val="22"/>
        </w:rPr>
        <w:t>d</w:t>
      </w:r>
      <w:r w:rsidRPr="00A039E1">
        <w:rPr>
          <w:rFonts w:ascii="Arial" w:eastAsia="Arial" w:hAnsi="Arial" w:cs="Arial"/>
          <w:sz w:val="22"/>
          <w:szCs w:val="22"/>
        </w:rPr>
        <w:t xml:space="preserve"> inv</w:t>
      </w:r>
      <w:r w:rsidRPr="00BD17CA">
        <w:rPr>
          <w:rFonts w:ascii="Arial" w:eastAsia="Arial" w:hAnsi="Arial" w:cs="Arial"/>
          <w:sz w:val="22"/>
          <w:szCs w:val="22"/>
        </w:rPr>
        <w:t>e</w:t>
      </w:r>
      <w:r w:rsidRPr="00A039E1">
        <w:rPr>
          <w:rFonts w:ascii="Arial" w:eastAsia="Arial" w:hAnsi="Arial" w:cs="Arial"/>
          <w:sz w:val="22"/>
          <w:szCs w:val="22"/>
        </w:rPr>
        <w:t>s</w:t>
      </w:r>
      <w:r w:rsidRPr="00BD17CA">
        <w:rPr>
          <w:rFonts w:ascii="Arial" w:eastAsia="Arial" w:hAnsi="Arial" w:cs="Arial"/>
          <w:sz w:val="22"/>
          <w:szCs w:val="22"/>
        </w:rPr>
        <w:t>t</w:t>
      </w:r>
      <w:r w:rsidRPr="00A039E1">
        <w:rPr>
          <w:rFonts w:ascii="Arial" w:eastAsia="Arial" w:hAnsi="Arial" w:cs="Arial"/>
          <w:sz w:val="22"/>
          <w:szCs w:val="22"/>
        </w:rPr>
        <w:t>m</w:t>
      </w:r>
      <w:r w:rsidRPr="00BD17CA">
        <w:rPr>
          <w:rFonts w:ascii="Arial" w:eastAsia="Arial" w:hAnsi="Arial" w:cs="Arial"/>
          <w:sz w:val="22"/>
          <w:szCs w:val="22"/>
        </w:rPr>
        <w:t>e</w:t>
      </w:r>
      <w:r w:rsidRPr="00A039E1">
        <w:rPr>
          <w:rFonts w:ascii="Arial" w:eastAsia="Arial" w:hAnsi="Arial" w:cs="Arial"/>
          <w:sz w:val="22"/>
          <w:szCs w:val="22"/>
        </w:rPr>
        <w:t>n</w:t>
      </w:r>
      <w:r w:rsidRPr="00BD17CA">
        <w:rPr>
          <w:rFonts w:ascii="Arial" w:eastAsia="Arial" w:hAnsi="Arial" w:cs="Arial"/>
          <w:sz w:val="22"/>
          <w:szCs w:val="22"/>
        </w:rPr>
        <w:t>t</w:t>
      </w:r>
      <w:r w:rsidRPr="00A039E1">
        <w:rPr>
          <w:rFonts w:ascii="Arial" w:eastAsia="Arial" w:hAnsi="Arial" w:cs="Arial"/>
          <w:sz w:val="22"/>
          <w:szCs w:val="22"/>
        </w:rPr>
        <w:t xml:space="preserve"> </w:t>
      </w:r>
      <w:r w:rsidRPr="00BD17CA">
        <w:rPr>
          <w:rFonts w:ascii="Arial" w:eastAsia="Arial" w:hAnsi="Arial" w:cs="Arial"/>
          <w:sz w:val="22"/>
          <w:szCs w:val="22"/>
        </w:rPr>
        <w:t>a</w:t>
      </w:r>
      <w:r w:rsidRPr="00A039E1">
        <w:rPr>
          <w:rFonts w:ascii="Arial" w:eastAsia="Arial" w:hAnsi="Arial" w:cs="Arial"/>
          <w:sz w:val="22"/>
          <w:szCs w:val="22"/>
        </w:rPr>
        <w:t>ss</w:t>
      </w:r>
      <w:r w:rsidRPr="00BD17CA">
        <w:rPr>
          <w:rFonts w:ascii="Arial" w:eastAsia="Arial" w:hAnsi="Arial" w:cs="Arial"/>
          <w:sz w:val="22"/>
          <w:szCs w:val="22"/>
        </w:rPr>
        <w:t>ets</w:t>
      </w:r>
      <w:r w:rsidRPr="00A039E1">
        <w:rPr>
          <w:rFonts w:ascii="Arial" w:eastAsia="Arial" w:hAnsi="Arial" w:cs="Arial"/>
          <w:sz w:val="22"/>
          <w:szCs w:val="22"/>
        </w:rPr>
        <w:t xml:space="preserve"> </w:t>
      </w:r>
      <w:r w:rsidRPr="00BD17CA">
        <w:rPr>
          <w:rFonts w:ascii="Arial" w:eastAsia="Arial" w:hAnsi="Arial" w:cs="Arial"/>
          <w:sz w:val="22"/>
          <w:szCs w:val="22"/>
        </w:rPr>
        <w:t>at</w:t>
      </w:r>
      <w:r w:rsidRPr="00A039E1">
        <w:rPr>
          <w:rFonts w:ascii="Arial" w:eastAsia="Arial" w:hAnsi="Arial" w:cs="Arial"/>
          <w:sz w:val="22"/>
          <w:szCs w:val="22"/>
        </w:rPr>
        <w:t xml:space="preserve"> </w:t>
      </w:r>
      <w:r w:rsidRPr="00BD17CA">
        <w:rPr>
          <w:rFonts w:ascii="Arial" w:eastAsia="Arial" w:hAnsi="Arial" w:cs="Arial"/>
          <w:sz w:val="22"/>
          <w:szCs w:val="22"/>
        </w:rPr>
        <w:t>a</w:t>
      </w:r>
      <w:r w:rsidRPr="00A039E1">
        <w:rPr>
          <w:rFonts w:ascii="Arial" w:eastAsia="Arial" w:hAnsi="Arial" w:cs="Arial"/>
          <w:sz w:val="22"/>
          <w:szCs w:val="22"/>
        </w:rPr>
        <w:t xml:space="preserve"> val</w:t>
      </w:r>
      <w:r w:rsidRPr="00BD17CA">
        <w:rPr>
          <w:rFonts w:ascii="Arial" w:eastAsia="Arial" w:hAnsi="Arial" w:cs="Arial"/>
          <w:sz w:val="22"/>
          <w:szCs w:val="22"/>
        </w:rPr>
        <w:t>ue</w:t>
      </w:r>
      <w:r w:rsidRPr="00A039E1">
        <w:rPr>
          <w:rFonts w:ascii="Arial" w:eastAsia="Arial" w:hAnsi="Arial" w:cs="Arial"/>
          <w:sz w:val="22"/>
          <w:szCs w:val="22"/>
        </w:rPr>
        <w:t xml:space="preserve"> </w:t>
      </w:r>
      <w:r w:rsidRPr="00BD17CA">
        <w:rPr>
          <w:rFonts w:ascii="Arial" w:eastAsia="Arial" w:hAnsi="Arial" w:cs="Arial"/>
          <w:sz w:val="22"/>
          <w:szCs w:val="22"/>
        </w:rPr>
        <w:t>of</w:t>
      </w:r>
      <w:r w:rsidRPr="00A039E1">
        <w:rPr>
          <w:rFonts w:ascii="Arial" w:eastAsia="Arial" w:hAnsi="Arial" w:cs="Arial"/>
          <w:sz w:val="22"/>
          <w:szCs w:val="22"/>
        </w:rPr>
        <w:t xml:space="preserve"> </w:t>
      </w:r>
      <w:r w:rsidRPr="00BD17CA">
        <w:rPr>
          <w:rFonts w:ascii="Arial" w:eastAsia="Arial" w:hAnsi="Arial" w:cs="Arial"/>
          <w:sz w:val="22"/>
          <w:szCs w:val="22"/>
        </w:rPr>
        <w:t>£</w:t>
      </w:r>
      <w:r w:rsidR="009A2FE4">
        <w:rPr>
          <w:rFonts w:ascii="Arial" w:eastAsia="Arial" w:hAnsi="Arial" w:cs="Arial"/>
          <w:sz w:val="22"/>
          <w:szCs w:val="22"/>
        </w:rPr>
        <w:t>150</w:t>
      </w:r>
      <w:r w:rsidR="009A2FE4" w:rsidRPr="00A039E1">
        <w:rPr>
          <w:rFonts w:ascii="Arial" w:eastAsia="Arial" w:hAnsi="Arial" w:cs="Arial"/>
          <w:sz w:val="22"/>
          <w:szCs w:val="22"/>
        </w:rPr>
        <w:t xml:space="preserve"> </w:t>
      </w:r>
      <w:r w:rsidRPr="00A039E1">
        <w:rPr>
          <w:rFonts w:ascii="Arial" w:eastAsia="Arial" w:hAnsi="Arial" w:cs="Arial"/>
          <w:sz w:val="22"/>
          <w:szCs w:val="22"/>
        </w:rPr>
        <w:t>milli</w:t>
      </w:r>
      <w:r w:rsidRPr="00BD17CA">
        <w:rPr>
          <w:rFonts w:ascii="Arial" w:eastAsia="Arial" w:hAnsi="Arial" w:cs="Arial"/>
          <w:sz w:val="22"/>
          <w:szCs w:val="22"/>
        </w:rPr>
        <w:t>on</w:t>
      </w:r>
      <w:r w:rsidRPr="00A039E1">
        <w:rPr>
          <w:rFonts w:ascii="Arial" w:eastAsia="Arial" w:hAnsi="Arial" w:cs="Arial"/>
          <w:sz w:val="22"/>
          <w:szCs w:val="22"/>
        </w:rPr>
        <w:t xml:space="preserve"> (£</w:t>
      </w:r>
      <w:r w:rsidR="009A2FE4">
        <w:rPr>
          <w:rFonts w:ascii="Arial" w:eastAsia="Arial" w:hAnsi="Arial" w:cs="Arial"/>
          <w:sz w:val="22"/>
          <w:szCs w:val="22"/>
        </w:rPr>
        <w:t>419</w:t>
      </w:r>
      <w:r w:rsidR="009A2FE4" w:rsidRPr="00A039E1">
        <w:rPr>
          <w:rFonts w:ascii="Arial" w:eastAsia="Arial" w:hAnsi="Arial" w:cs="Arial"/>
          <w:sz w:val="22"/>
          <w:szCs w:val="22"/>
        </w:rPr>
        <w:t xml:space="preserve"> </w:t>
      </w:r>
      <w:r w:rsidRPr="00A039E1">
        <w:rPr>
          <w:rFonts w:ascii="Arial" w:eastAsia="Arial" w:hAnsi="Arial" w:cs="Arial"/>
          <w:sz w:val="22"/>
          <w:szCs w:val="22"/>
        </w:rPr>
        <w:t>milli</w:t>
      </w:r>
      <w:r w:rsidRPr="00BD17CA">
        <w:rPr>
          <w:rFonts w:ascii="Arial" w:eastAsia="Arial" w:hAnsi="Arial" w:cs="Arial"/>
          <w:sz w:val="22"/>
          <w:szCs w:val="22"/>
        </w:rPr>
        <w:t>on</w:t>
      </w:r>
      <w:r w:rsidRPr="00A039E1">
        <w:rPr>
          <w:rFonts w:ascii="Arial" w:eastAsia="Arial" w:hAnsi="Arial" w:cs="Arial"/>
          <w:sz w:val="22"/>
          <w:szCs w:val="22"/>
        </w:rPr>
        <w:t xml:space="preserve"> i</w:t>
      </w:r>
      <w:r w:rsidRPr="00BD17CA">
        <w:rPr>
          <w:rFonts w:ascii="Arial" w:eastAsia="Arial" w:hAnsi="Arial" w:cs="Arial"/>
          <w:sz w:val="22"/>
          <w:szCs w:val="22"/>
        </w:rPr>
        <w:t>n</w:t>
      </w:r>
      <w:r w:rsidRPr="00A039E1">
        <w:rPr>
          <w:rFonts w:ascii="Arial" w:eastAsia="Arial" w:hAnsi="Arial" w:cs="Arial"/>
          <w:sz w:val="22"/>
          <w:szCs w:val="22"/>
        </w:rPr>
        <w:t xml:space="preserve"> </w:t>
      </w:r>
      <w:r w:rsidR="009A2FE4">
        <w:rPr>
          <w:rFonts w:ascii="Arial" w:eastAsia="Arial" w:hAnsi="Arial" w:cs="Arial"/>
          <w:sz w:val="22"/>
          <w:szCs w:val="22"/>
        </w:rPr>
        <w:t>2018/19</w:t>
      </w:r>
      <w:r w:rsidRPr="00BD17CA">
        <w:rPr>
          <w:rFonts w:ascii="Arial" w:eastAsia="Arial" w:hAnsi="Arial" w:cs="Arial"/>
          <w:sz w:val="22"/>
          <w:szCs w:val="22"/>
        </w:rPr>
        <w:t>).</w:t>
      </w:r>
      <w:r w:rsidRPr="00A039E1">
        <w:rPr>
          <w:rFonts w:ascii="Arial" w:eastAsia="Arial" w:hAnsi="Arial" w:cs="Arial"/>
          <w:sz w:val="22"/>
          <w:szCs w:val="22"/>
        </w:rPr>
        <w:t xml:space="preserve"> </w:t>
      </w:r>
      <w:r w:rsidRPr="00BD17CA">
        <w:rPr>
          <w:rFonts w:ascii="Arial" w:eastAsia="Arial" w:hAnsi="Arial" w:cs="Arial"/>
          <w:sz w:val="22"/>
          <w:szCs w:val="22"/>
        </w:rPr>
        <w:t>Du</w:t>
      </w:r>
      <w:r w:rsidRPr="00A039E1">
        <w:rPr>
          <w:rFonts w:ascii="Arial" w:eastAsia="Arial" w:hAnsi="Arial" w:cs="Arial"/>
          <w:sz w:val="22"/>
          <w:szCs w:val="22"/>
        </w:rPr>
        <w:t>ri</w:t>
      </w:r>
      <w:r w:rsidRPr="00BD17CA">
        <w:rPr>
          <w:rFonts w:ascii="Arial" w:eastAsia="Arial" w:hAnsi="Arial" w:cs="Arial"/>
          <w:sz w:val="22"/>
          <w:szCs w:val="22"/>
        </w:rPr>
        <w:t>ng</w:t>
      </w:r>
      <w:r w:rsidRPr="00A039E1">
        <w:rPr>
          <w:rFonts w:ascii="Arial" w:eastAsia="Arial" w:hAnsi="Arial" w:cs="Arial"/>
          <w:sz w:val="22"/>
          <w:szCs w:val="22"/>
        </w:rPr>
        <w:t xml:space="preserve"> </w:t>
      </w:r>
      <w:r w:rsidRPr="00BD17CA">
        <w:rPr>
          <w:rFonts w:ascii="Arial" w:eastAsia="Arial" w:hAnsi="Arial" w:cs="Arial"/>
          <w:sz w:val="22"/>
          <w:szCs w:val="22"/>
        </w:rPr>
        <w:t>the</w:t>
      </w:r>
      <w:r w:rsidRPr="00A039E1">
        <w:rPr>
          <w:rFonts w:ascii="Arial" w:eastAsia="Arial" w:hAnsi="Arial" w:cs="Arial"/>
          <w:sz w:val="22"/>
          <w:szCs w:val="22"/>
        </w:rPr>
        <w:t xml:space="preserve"> y</w:t>
      </w:r>
      <w:r w:rsidRPr="00BD17CA">
        <w:rPr>
          <w:rFonts w:ascii="Arial" w:eastAsia="Arial" w:hAnsi="Arial" w:cs="Arial"/>
          <w:sz w:val="22"/>
          <w:szCs w:val="22"/>
        </w:rPr>
        <w:t>e</w:t>
      </w:r>
      <w:r w:rsidRPr="00A039E1">
        <w:rPr>
          <w:rFonts w:ascii="Arial" w:eastAsia="Arial" w:hAnsi="Arial" w:cs="Arial"/>
          <w:sz w:val="22"/>
          <w:szCs w:val="22"/>
        </w:rPr>
        <w:t>a</w:t>
      </w:r>
      <w:r w:rsidRPr="00BD17CA">
        <w:rPr>
          <w:rFonts w:ascii="Arial" w:eastAsia="Arial" w:hAnsi="Arial" w:cs="Arial"/>
          <w:sz w:val="22"/>
          <w:szCs w:val="22"/>
        </w:rPr>
        <w:t>r</w:t>
      </w:r>
      <w:r w:rsidRPr="00A039E1">
        <w:rPr>
          <w:rFonts w:ascii="Arial" w:eastAsia="Arial" w:hAnsi="Arial" w:cs="Arial"/>
          <w:sz w:val="22"/>
          <w:szCs w:val="22"/>
        </w:rPr>
        <w:t xml:space="preserve"> </w:t>
      </w:r>
      <w:r w:rsidRPr="00BD17CA">
        <w:rPr>
          <w:rFonts w:ascii="Arial" w:eastAsia="Arial" w:hAnsi="Arial" w:cs="Arial"/>
          <w:sz w:val="22"/>
          <w:szCs w:val="22"/>
        </w:rPr>
        <w:t>a</w:t>
      </w:r>
      <w:r w:rsidRPr="00A039E1">
        <w:rPr>
          <w:rFonts w:ascii="Arial" w:eastAsia="Arial" w:hAnsi="Arial" w:cs="Arial"/>
          <w:sz w:val="22"/>
          <w:szCs w:val="22"/>
        </w:rPr>
        <w:t xml:space="preserve"> t</w:t>
      </w:r>
      <w:r w:rsidRPr="00BD17CA">
        <w:rPr>
          <w:rFonts w:ascii="Arial" w:eastAsia="Arial" w:hAnsi="Arial" w:cs="Arial"/>
          <w:sz w:val="22"/>
          <w:szCs w:val="22"/>
        </w:rPr>
        <w:t>ot</w:t>
      </w:r>
      <w:r w:rsidRPr="00A039E1">
        <w:rPr>
          <w:rFonts w:ascii="Arial" w:eastAsia="Arial" w:hAnsi="Arial" w:cs="Arial"/>
          <w:sz w:val="22"/>
          <w:szCs w:val="22"/>
        </w:rPr>
        <w:t>a</w:t>
      </w:r>
      <w:r w:rsidRPr="00BD17CA">
        <w:rPr>
          <w:rFonts w:ascii="Arial" w:eastAsia="Arial" w:hAnsi="Arial" w:cs="Arial"/>
          <w:sz w:val="22"/>
          <w:szCs w:val="22"/>
        </w:rPr>
        <w:t>l</w:t>
      </w:r>
      <w:r w:rsidRPr="00A039E1">
        <w:rPr>
          <w:rFonts w:ascii="Arial" w:eastAsia="Arial" w:hAnsi="Arial" w:cs="Arial"/>
          <w:sz w:val="22"/>
          <w:szCs w:val="22"/>
        </w:rPr>
        <w:t xml:space="preserve"> </w:t>
      </w:r>
      <w:r w:rsidRPr="00BD17CA">
        <w:rPr>
          <w:rFonts w:ascii="Arial" w:eastAsia="Arial" w:hAnsi="Arial" w:cs="Arial"/>
          <w:sz w:val="22"/>
          <w:szCs w:val="22"/>
        </w:rPr>
        <w:t>of</w:t>
      </w:r>
      <w:r w:rsidRPr="00A039E1">
        <w:rPr>
          <w:rFonts w:ascii="Arial" w:eastAsia="Arial" w:hAnsi="Arial" w:cs="Arial"/>
          <w:sz w:val="22"/>
          <w:szCs w:val="22"/>
        </w:rPr>
        <w:t xml:space="preserve"> </w:t>
      </w:r>
      <w:r w:rsidRPr="00BD17CA">
        <w:rPr>
          <w:rFonts w:ascii="Arial" w:eastAsia="Arial" w:hAnsi="Arial" w:cs="Arial"/>
          <w:sz w:val="22"/>
          <w:szCs w:val="22"/>
        </w:rPr>
        <w:t>£</w:t>
      </w:r>
      <w:r w:rsidR="005A4D7C">
        <w:rPr>
          <w:rFonts w:ascii="Arial" w:eastAsia="Arial" w:hAnsi="Arial" w:cs="Arial"/>
          <w:sz w:val="22"/>
          <w:szCs w:val="22"/>
        </w:rPr>
        <w:t>1.7</w:t>
      </w:r>
      <w:r w:rsidRPr="00A039E1">
        <w:rPr>
          <w:rFonts w:ascii="Arial" w:eastAsia="Arial" w:hAnsi="Arial" w:cs="Arial"/>
          <w:sz w:val="22"/>
          <w:szCs w:val="22"/>
        </w:rPr>
        <w:t xml:space="preserve"> milli</w:t>
      </w:r>
      <w:r w:rsidRPr="00BD17CA">
        <w:rPr>
          <w:rFonts w:ascii="Arial" w:eastAsia="Arial" w:hAnsi="Arial" w:cs="Arial"/>
          <w:sz w:val="22"/>
          <w:szCs w:val="22"/>
        </w:rPr>
        <w:t>on</w:t>
      </w:r>
      <w:r w:rsidRPr="00A039E1">
        <w:rPr>
          <w:rFonts w:ascii="Arial" w:eastAsia="Arial" w:hAnsi="Arial" w:cs="Arial"/>
          <w:sz w:val="22"/>
          <w:szCs w:val="22"/>
        </w:rPr>
        <w:t xml:space="preserve"> </w:t>
      </w:r>
      <w:r w:rsidRPr="00BD17CA">
        <w:rPr>
          <w:rFonts w:ascii="Arial" w:eastAsia="Arial" w:hAnsi="Arial" w:cs="Arial"/>
          <w:sz w:val="22"/>
          <w:szCs w:val="22"/>
        </w:rPr>
        <w:t>was</w:t>
      </w:r>
      <w:r w:rsidRPr="00A039E1">
        <w:rPr>
          <w:rFonts w:ascii="Arial" w:eastAsia="Arial" w:hAnsi="Arial" w:cs="Arial"/>
          <w:sz w:val="22"/>
          <w:szCs w:val="22"/>
        </w:rPr>
        <w:t xml:space="preserve"> </w:t>
      </w:r>
      <w:r w:rsidRPr="00BD17CA">
        <w:rPr>
          <w:rFonts w:ascii="Arial" w:eastAsia="Arial" w:hAnsi="Arial" w:cs="Arial"/>
          <w:sz w:val="22"/>
          <w:szCs w:val="22"/>
        </w:rPr>
        <w:t>dr</w:t>
      </w:r>
      <w:r w:rsidRPr="00A039E1">
        <w:rPr>
          <w:rFonts w:ascii="Arial" w:eastAsia="Arial" w:hAnsi="Arial" w:cs="Arial"/>
          <w:sz w:val="22"/>
          <w:szCs w:val="22"/>
        </w:rPr>
        <w:t>aw</w:t>
      </w:r>
      <w:r w:rsidRPr="00BD17CA">
        <w:rPr>
          <w:rFonts w:ascii="Arial" w:eastAsia="Arial" w:hAnsi="Arial" w:cs="Arial"/>
          <w:sz w:val="22"/>
          <w:szCs w:val="22"/>
        </w:rPr>
        <w:t>n</w:t>
      </w:r>
      <w:r w:rsidRPr="00A039E1">
        <w:rPr>
          <w:rFonts w:ascii="Arial" w:eastAsia="Arial" w:hAnsi="Arial" w:cs="Arial"/>
          <w:sz w:val="22"/>
          <w:szCs w:val="22"/>
        </w:rPr>
        <w:t xml:space="preserve"> </w:t>
      </w:r>
      <w:r w:rsidRPr="00BD17CA">
        <w:rPr>
          <w:rFonts w:ascii="Arial" w:eastAsia="Arial" w:hAnsi="Arial" w:cs="Arial"/>
          <w:sz w:val="22"/>
          <w:szCs w:val="22"/>
        </w:rPr>
        <w:t>d</w:t>
      </w:r>
      <w:r w:rsidRPr="00A039E1">
        <w:rPr>
          <w:rFonts w:ascii="Arial" w:eastAsia="Arial" w:hAnsi="Arial" w:cs="Arial"/>
          <w:sz w:val="22"/>
          <w:szCs w:val="22"/>
        </w:rPr>
        <w:t>o</w:t>
      </w:r>
      <w:r w:rsidRPr="00BD17CA">
        <w:rPr>
          <w:rFonts w:ascii="Arial" w:eastAsia="Arial" w:hAnsi="Arial" w:cs="Arial"/>
          <w:sz w:val="22"/>
          <w:szCs w:val="22"/>
        </w:rPr>
        <w:t>wn</w:t>
      </w:r>
      <w:r w:rsidRPr="00A039E1">
        <w:rPr>
          <w:rFonts w:ascii="Arial" w:eastAsia="Arial" w:hAnsi="Arial" w:cs="Arial"/>
          <w:sz w:val="22"/>
          <w:szCs w:val="22"/>
        </w:rPr>
        <w:t xml:space="preserve"> </w:t>
      </w:r>
      <w:r w:rsidRPr="00BD17CA">
        <w:rPr>
          <w:rFonts w:ascii="Arial" w:eastAsia="Arial" w:hAnsi="Arial" w:cs="Arial"/>
          <w:sz w:val="22"/>
          <w:szCs w:val="22"/>
        </w:rPr>
        <w:t>as</w:t>
      </w:r>
      <w:r w:rsidRPr="00A039E1">
        <w:rPr>
          <w:rFonts w:ascii="Arial" w:eastAsia="Arial" w:hAnsi="Arial" w:cs="Arial"/>
          <w:sz w:val="22"/>
          <w:szCs w:val="22"/>
        </w:rPr>
        <w:t xml:space="preserve"> </w:t>
      </w:r>
      <w:r w:rsidRPr="00BD17CA">
        <w:rPr>
          <w:rFonts w:ascii="Arial" w:eastAsia="Arial" w:hAnsi="Arial" w:cs="Arial"/>
          <w:sz w:val="22"/>
          <w:szCs w:val="22"/>
        </w:rPr>
        <w:t>p</w:t>
      </w:r>
      <w:r w:rsidRPr="00A039E1">
        <w:rPr>
          <w:rFonts w:ascii="Arial" w:eastAsia="Arial" w:hAnsi="Arial" w:cs="Arial"/>
          <w:sz w:val="22"/>
          <w:szCs w:val="22"/>
        </w:rPr>
        <w:t>ar</w:t>
      </w:r>
      <w:r w:rsidRPr="00BD17CA">
        <w:rPr>
          <w:rFonts w:ascii="Arial" w:eastAsia="Arial" w:hAnsi="Arial" w:cs="Arial"/>
          <w:sz w:val="22"/>
          <w:szCs w:val="22"/>
        </w:rPr>
        <w:t>t</w:t>
      </w:r>
      <w:r w:rsidRPr="00A039E1">
        <w:rPr>
          <w:rFonts w:ascii="Arial" w:eastAsia="Arial" w:hAnsi="Arial" w:cs="Arial"/>
          <w:sz w:val="22"/>
          <w:szCs w:val="22"/>
        </w:rPr>
        <w:t xml:space="preserve"> </w:t>
      </w:r>
      <w:r w:rsidRPr="00BD17CA">
        <w:rPr>
          <w:rFonts w:ascii="Arial" w:eastAsia="Arial" w:hAnsi="Arial" w:cs="Arial"/>
          <w:sz w:val="22"/>
          <w:szCs w:val="22"/>
        </w:rPr>
        <w:t>of</w:t>
      </w:r>
      <w:r w:rsidRPr="00A039E1">
        <w:rPr>
          <w:rFonts w:ascii="Arial" w:eastAsia="Arial" w:hAnsi="Arial" w:cs="Arial"/>
          <w:sz w:val="22"/>
          <w:szCs w:val="22"/>
        </w:rPr>
        <w:t xml:space="preserve"> commitm</w:t>
      </w:r>
      <w:r w:rsidRPr="00BD17CA">
        <w:rPr>
          <w:rFonts w:ascii="Arial" w:eastAsia="Arial" w:hAnsi="Arial" w:cs="Arial"/>
          <w:sz w:val="22"/>
          <w:szCs w:val="22"/>
        </w:rPr>
        <w:t>e</w:t>
      </w:r>
      <w:r w:rsidRPr="00A039E1">
        <w:rPr>
          <w:rFonts w:ascii="Arial" w:eastAsia="Arial" w:hAnsi="Arial" w:cs="Arial"/>
          <w:sz w:val="22"/>
          <w:szCs w:val="22"/>
        </w:rPr>
        <w:t>n</w:t>
      </w:r>
      <w:r w:rsidRPr="00BD17CA">
        <w:rPr>
          <w:rFonts w:ascii="Arial" w:eastAsia="Arial" w:hAnsi="Arial" w:cs="Arial"/>
          <w:sz w:val="22"/>
          <w:szCs w:val="22"/>
        </w:rPr>
        <w:t>ts to</w:t>
      </w:r>
      <w:r w:rsidRPr="00A039E1">
        <w:rPr>
          <w:rFonts w:ascii="Arial" w:eastAsia="Arial" w:hAnsi="Arial" w:cs="Arial"/>
          <w:sz w:val="22"/>
          <w:szCs w:val="22"/>
        </w:rPr>
        <w:t xml:space="preserve"> </w:t>
      </w:r>
      <w:r w:rsidRPr="00BD17CA">
        <w:rPr>
          <w:rFonts w:ascii="Arial" w:eastAsia="Arial" w:hAnsi="Arial" w:cs="Arial"/>
          <w:sz w:val="22"/>
          <w:szCs w:val="22"/>
        </w:rPr>
        <w:t>t</w:t>
      </w:r>
      <w:r w:rsidRPr="00A039E1">
        <w:rPr>
          <w:rFonts w:ascii="Arial" w:eastAsia="Arial" w:hAnsi="Arial" w:cs="Arial"/>
          <w:sz w:val="22"/>
          <w:szCs w:val="22"/>
        </w:rPr>
        <w:t>h</w:t>
      </w:r>
      <w:r w:rsidRPr="00BD17CA">
        <w:rPr>
          <w:rFonts w:ascii="Arial" w:eastAsia="Arial" w:hAnsi="Arial" w:cs="Arial"/>
          <w:sz w:val="22"/>
          <w:szCs w:val="22"/>
        </w:rPr>
        <w:t>e</w:t>
      </w:r>
      <w:r w:rsidRPr="00A039E1">
        <w:rPr>
          <w:rFonts w:ascii="Arial" w:eastAsia="Arial" w:hAnsi="Arial" w:cs="Arial"/>
          <w:sz w:val="22"/>
          <w:szCs w:val="22"/>
        </w:rPr>
        <w:t xml:space="preserve"> Gl</w:t>
      </w:r>
      <w:r w:rsidRPr="00BD17CA">
        <w:rPr>
          <w:rFonts w:ascii="Arial" w:eastAsia="Arial" w:hAnsi="Arial" w:cs="Arial"/>
          <w:sz w:val="22"/>
          <w:szCs w:val="22"/>
        </w:rPr>
        <w:t>o</w:t>
      </w:r>
      <w:r w:rsidRPr="00A039E1">
        <w:rPr>
          <w:rFonts w:ascii="Arial" w:eastAsia="Arial" w:hAnsi="Arial" w:cs="Arial"/>
          <w:sz w:val="22"/>
          <w:szCs w:val="22"/>
        </w:rPr>
        <w:t>b</w:t>
      </w:r>
      <w:r w:rsidRPr="00BD17CA">
        <w:rPr>
          <w:rFonts w:ascii="Arial" w:eastAsia="Arial" w:hAnsi="Arial" w:cs="Arial"/>
          <w:sz w:val="22"/>
          <w:szCs w:val="22"/>
        </w:rPr>
        <w:t xml:space="preserve">al </w:t>
      </w:r>
      <w:r w:rsidRPr="00A039E1">
        <w:rPr>
          <w:rFonts w:ascii="Arial" w:eastAsia="Arial" w:hAnsi="Arial" w:cs="Arial"/>
          <w:sz w:val="22"/>
          <w:szCs w:val="22"/>
        </w:rPr>
        <w:t>Infrastructure P</w:t>
      </w:r>
      <w:r w:rsidRPr="00BD17CA">
        <w:rPr>
          <w:rFonts w:ascii="Arial" w:eastAsia="Arial" w:hAnsi="Arial" w:cs="Arial"/>
          <w:sz w:val="22"/>
          <w:szCs w:val="22"/>
        </w:rPr>
        <w:t>art</w:t>
      </w:r>
      <w:r w:rsidRPr="00A039E1">
        <w:rPr>
          <w:rFonts w:ascii="Arial" w:eastAsia="Arial" w:hAnsi="Arial" w:cs="Arial"/>
          <w:sz w:val="22"/>
          <w:szCs w:val="22"/>
        </w:rPr>
        <w:t>n</w:t>
      </w:r>
      <w:r w:rsidRPr="00BD17CA">
        <w:rPr>
          <w:rFonts w:ascii="Arial" w:eastAsia="Arial" w:hAnsi="Arial" w:cs="Arial"/>
          <w:sz w:val="22"/>
          <w:szCs w:val="22"/>
        </w:rPr>
        <w:t>ers</w:t>
      </w:r>
      <w:r w:rsidRPr="00A039E1">
        <w:rPr>
          <w:rFonts w:ascii="Arial" w:eastAsia="Arial" w:hAnsi="Arial" w:cs="Arial"/>
          <w:sz w:val="22"/>
          <w:szCs w:val="22"/>
        </w:rPr>
        <w:t xml:space="preserve"> Infrastructure </w:t>
      </w:r>
      <w:r w:rsidRPr="00BD17CA">
        <w:rPr>
          <w:rFonts w:ascii="Arial" w:eastAsia="Arial" w:hAnsi="Arial" w:cs="Arial"/>
          <w:sz w:val="22"/>
          <w:szCs w:val="22"/>
        </w:rPr>
        <w:t>Fu</w:t>
      </w:r>
      <w:r w:rsidRPr="00A039E1">
        <w:rPr>
          <w:rFonts w:ascii="Arial" w:eastAsia="Arial" w:hAnsi="Arial" w:cs="Arial"/>
          <w:sz w:val="22"/>
          <w:szCs w:val="22"/>
        </w:rPr>
        <w:t>n</w:t>
      </w:r>
      <w:r w:rsidRPr="00BD17CA">
        <w:rPr>
          <w:rFonts w:ascii="Arial" w:eastAsia="Arial" w:hAnsi="Arial" w:cs="Arial"/>
          <w:sz w:val="22"/>
          <w:szCs w:val="22"/>
        </w:rPr>
        <w:t>d</w:t>
      </w:r>
      <w:r w:rsidRPr="00A039E1">
        <w:rPr>
          <w:rFonts w:ascii="Arial" w:eastAsia="Arial" w:hAnsi="Arial" w:cs="Arial"/>
          <w:sz w:val="22"/>
          <w:szCs w:val="22"/>
        </w:rPr>
        <w:t>s</w:t>
      </w:r>
      <w:r w:rsidRPr="00BD17CA">
        <w:rPr>
          <w:rFonts w:ascii="Arial" w:eastAsia="Arial" w:hAnsi="Arial" w:cs="Arial"/>
          <w:sz w:val="22"/>
          <w:szCs w:val="22"/>
        </w:rPr>
        <w:t>,</w:t>
      </w:r>
      <w:r w:rsidRPr="00A039E1">
        <w:rPr>
          <w:rFonts w:ascii="Arial" w:eastAsia="Arial" w:hAnsi="Arial" w:cs="Arial"/>
          <w:sz w:val="22"/>
          <w:szCs w:val="22"/>
        </w:rPr>
        <w:t xml:space="preserve"> </w:t>
      </w:r>
      <w:r w:rsidRPr="00BD17CA">
        <w:rPr>
          <w:rFonts w:ascii="Arial" w:eastAsia="Arial" w:hAnsi="Arial" w:cs="Arial"/>
          <w:sz w:val="22"/>
          <w:szCs w:val="22"/>
        </w:rPr>
        <w:t>t</w:t>
      </w:r>
      <w:r w:rsidRPr="00A039E1">
        <w:rPr>
          <w:rFonts w:ascii="Arial" w:eastAsia="Arial" w:hAnsi="Arial" w:cs="Arial"/>
          <w:sz w:val="22"/>
          <w:szCs w:val="22"/>
        </w:rPr>
        <w:t>h</w:t>
      </w:r>
      <w:r w:rsidRPr="00BD17CA">
        <w:rPr>
          <w:rFonts w:ascii="Arial" w:eastAsia="Arial" w:hAnsi="Arial" w:cs="Arial"/>
          <w:sz w:val="22"/>
          <w:szCs w:val="22"/>
        </w:rPr>
        <w:t>ere</w:t>
      </w:r>
      <w:r w:rsidRPr="00A039E1">
        <w:rPr>
          <w:rFonts w:ascii="Arial" w:eastAsia="Arial" w:hAnsi="Arial" w:cs="Arial"/>
          <w:sz w:val="22"/>
          <w:szCs w:val="22"/>
        </w:rPr>
        <w:t xml:space="preserve"> w</w:t>
      </w:r>
      <w:r w:rsidRPr="00BD17CA">
        <w:rPr>
          <w:rFonts w:ascii="Arial" w:eastAsia="Arial" w:hAnsi="Arial" w:cs="Arial"/>
          <w:sz w:val="22"/>
          <w:szCs w:val="22"/>
        </w:rPr>
        <w:t>e</w:t>
      </w:r>
      <w:r w:rsidRPr="00A039E1">
        <w:rPr>
          <w:rFonts w:ascii="Arial" w:eastAsia="Arial" w:hAnsi="Arial" w:cs="Arial"/>
          <w:sz w:val="22"/>
          <w:szCs w:val="22"/>
        </w:rPr>
        <w:t>r</w:t>
      </w:r>
      <w:r w:rsidRPr="00BD17CA">
        <w:rPr>
          <w:rFonts w:ascii="Arial" w:eastAsia="Arial" w:hAnsi="Arial" w:cs="Arial"/>
          <w:sz w:val="22"/>
          <w:szCs w:val="22"/>
        </w:rPr>
        <w:t>e</w:t>
      </w:r>
      <w:r w:rsidRPr="00A039E1">
        <w:rPr>
          <w:rFonts w:ascii="Arial" w:eastAsia="Arial" w:hAnsi="Arial" w:cs="Arial"/>
          <w:sz w:val="22"/>
          <w:szCs w:val="22"/>
        </w:rPr>
        <w:t xml:space="preserve"> </w:t>
      </w:r>
      <w:r w:rsidRPr="00BD17CA">
        <w:rPr>
          <w:rFonts w:ascii="Arial" w:eastAsia="Arial" w:hAnsi="Arial" w:cs="Arial"/>
          <w:sz w:val="22"/>
          <w:szCs w:val="22"/>
        </w:rPr>
        <w:t>no</w:t>
      </w:r>
      <w:r w:rsidRPr="00A039E1">
        <w:rPr>
          <w:rFonts w:ascii="Arial" w:eastAsia="Arial" w:hAnsi="Arial" w:cs="Arial"/>
          <w:sz w:val="22"/>
          <w:szCs w:val="22"/>
        </w:rPr>
        <w:t xml:space="preserve"> </w:t>
      </w:r>
      <w:r w:rsidRPr="00BD17CA">
        <w:rPr>
          <w:rFonts w:ascii="Arial" w:eastAsia="Arial" w:hAnsi="Arial" w:cs="Arial"/>
          <w:sz w:val="22"/>
          <w:szCs w:val="22"/>
        </w:rPr>
        <w:t>dr</w:t>
      </w:r>
      <w:r w:rsidRPr="00A039E1">
        <w:rPr>
          <w:rFonts w:ascii="Arial" w:eastAsia="Arial" w:hAnsi="Arial" w:cs="Arial"/>
          <w:sz w:val="22"/>
          <w:szCs w:val="22"/>
        </w:rPr>
        <w:t>a</w:t>
      </w:r>
      <w:r w:rsidRPr="00BD17CA">
        <w:rPr>
          <w:rFonts w:ascii="Arial" w:eastAsia="Arial" w:hAnsi="Arial" w:cs="Arial"/>
          <w:sz w:val="22"/>
          <w:szCs w:val="22"/>
        </w:rPr>
        <w:t>wd</w:t>
      </w:r>
      <w:r w:rsidRPr="00A039E1">
        <w:rPr>
          <w:rFonts w:ascii="Arial" w:eastAsia="Arial" w:hAnsi="Arial" w:cs="Arial"/>
          <w:sz w:val="22"/>
          <w:szCs w:val="22"/>
        </w:rPr>
        <w:t>o</w:t>
      </w:r>
      <w:r w:rsidRPr="00BD17CA">
        <w:rPr>
          <w:rFonts w:ascii="Arial" w:eastAsia="Arial" w:hAnsi="Arial" w:cs="Arial"/>
          <w:sz w:val="22"/>
          <w:szCs w:val="22"/>
        </w:rPr>
        <w:t>wns</w:t>
      </w:r>
      <w:r w:rsidRPr="00A039E1">
        <w:rPr>
          <w:rFonts w:ascii="Arial" w:eastAsia="Arial" w:hAnsi="Arial" w:cs="Arial"/>
          <w:sz w:val="22"/>
          <w:szCs w:val="22"/>
        </w:rPr>
        <w:t xml:space="preserve"> </w:t>
      </w:r>
      <w:r w:rsidRPr="00BD17CA">
        <w:rPr>
          <w:rFonts w:ascii="Arial" w:eastAsia="Arial" w:hAnsi="Arial" w:cs="Arial"/>
          <w:sz w:val="22"/>
          <w:szCs w:val="22"/>
        </w:rPr>
        <w:t>to</w:t>
      </w:r>
      <w:r w:rsidRPr="00A039E1">
        <w:rPr>
          <w:rFonts w:ascii="Arial" w:eastAsia="Arial" w:hAnsi="Arial" w:cs="Arial"/>
          <w:sz w:val="22"/>
          <w:szCs w:val="22"/>
        </w:rPr>
        <w:t xml:space="preserve"> </w:t>
      </w:r>
      <w:r w:rsidRPr="00BD17CA">
        <w:rPr>
          <w:rFonts w:ascii="Arial" w:eastAsia="Arial" w:hAnsi="Arial" w:cs="Arial"/>
          <w:sz w:val="22"/>
          <w:szCs w:val="22"/>
        </w:rPr>
        <w:t>C</w:t>
      </w:r>
      <w:r w:rsidRPr="00A039E1">
        <w:rPr>
          <w:rFonts w:ascii="Arial" w:eastAsia="Arial" w:hAnsi="Arial" w:cs="Arial"/>
          <w:sz w:val="22"/>
          <w:szCs w:val="22"/>
        </w:rPr>
        <w:t>a</w:t>
      </w:r>
      <w:r w:rsidRPr="00BD17CA">
        <w:rPr>
          <w:rFonts w:ascii="Arial" w:eastAsia="Arial" w:hAnsi="Arial" w:cs="Arial"/>
          <w:sz w:val="22"/>
          <w:szCs w:val="22"/>
        </w:rPr>
        <w:t>p</w:t>
      </w:r>
      <w:r w:rsidRPr="00A039E1">
        <w:rPr>
          <w:rFonts w:ascii="Arial" w:eastAsia="Arial" w:hAnsi="Arial" w:cs="Arial"/>
          <w:sz w:val="22"/>
          <w:szCs w:val="22"/>
        </w:rPr>
        <w:t>it</w:t>
      </w:r>
      <w:r w:rsidRPr="00BD17CA">
        <w:rPr>
          <w:rFonts w:ascii="Arial" w:eastAsia="Arial" w:hAnsi="Arial" w:cs="Arial"/>
          <w:sz w:val="22"/>
          <w:szCs w:val="22"/>
        </w:rPr>
        <w:t>al</w:t>
      </w:r>
      <w:r w:rsidRPr="00A039E1">
        <w:rPr>
          <w:rFonts w:ascii="Arial" w:eastAsia="Arial" w:hAnsi="Arial" w:cs="Arial"/>
          <w:sz w:val="22"/>
          <w:szCs w:val="22"/>
        </w:rPr>
        <w:t xml:space="preserve"> Dy</w:t>
      </w:r>
      <w:r w:rsidRPr="00BD17CA">
        <w:rPr>
          <w:rFonts w:ascii="Arial" w:eastAsia="Arial" w:hAnsi="Arial" w:cs="Arial"/>
          <w:sz w:val="22"/>
          <w:szCs w:val="22"/>
        </w:rPr>
        <w:t>n</w:t>
      </w:r>
      <w:r w:rsidRPr="00A039E1">
        <w:rPr>
          <w:rFonts w:ascii="Arial" w:eastAsia="Arial" w:hAnsi="Arial" w:cs="Arial"/>
          <w:sz w:val="22"/>
          <w:szCs w:val="22"/>
        </w:rPr>
        <w:t>amic</w:t>
      </w:r>
      <w:r w:rsidRPr="00BD17CA">
        <w:rPr>
          <w:rFonts w:ascii="Arial" w:eastAsia="Arial" w:hAnsi="Arial" w:cs="Arial"/>
          <w:sz w:val="22"/>
          <w:szCs w:val="22"/>
        </w:rPr>
        <w:t>s</w:t>
      </w:r>
      <w:r w:rsidRPr="00A039E1">
        <w:rPr>
          <w:rFonts w:ascii="Arial" w:eastAsia="Arial" w:hAnsi="Arial" w:cs="Arial"/>
          <w:sz w:val="22"/>
          <w:szCs w:val="22"/>
        </w:rPr>
        <w:t xml:space="preserve"> </w:t>
      </w:r>
      <w:r w:rsidRPr="00BD17CA">
        <w:rPr>
          <w:rFonts w:ascii="Arial" w:eastAsia="Arial" w:hAnsi="Arial" w:cs="Arial"/>
          <w:sz w:val="22"/>
          <w:szCs w:val="22"/>
        </w:rPr>
        <w:t>C</w:t>
      </w:r>
      <w:r w:rsidRPr="00A039E1">
        <w:rPr>
          <w:rFonts w:ascii="Arial" w:eastAsia="Arial" w:hAnsi="Arial" w:cs="Arial"/>
          <w:sz w:val="22"/>
          <w:szCs w:val="22"/>
        </w:rPr>
        <w:t>l</w:t>
      </w:r>
      <w:r w:rsidRPr="00BD17CA">
        <w:rPr>
          <w:rFonts w:ascii="Arial" w:eastAsia="Arial" w:hAnsi="Arial" w:cs="Arial"/>
          <w:sz w:val="22"/>
          <w:szCs w:val="22"/>
        </w:rPr>
        <w:t>e</w:t>
      </w:r>
      <w:r w:rsidRPr="00A039E1">
        <w:rPr>
          <w:rFonts w:ascii="Arial" w:eastAsia="Arial" w:hAnsi="Arial" w:cs="Arial"/>
          <w:sz w:val="22"/>
          <w:szCs w:val="22"/>
        </w:rPr>
        <w:t>a</w:t>
      </w:r>
      <w:r w:rsidRPr="00BD17CA">
        <w:rPr>
          <w:rFonts w:ascii="Arial" w:eastAsia="Arial" w:hAnsi="Arial" w:cs="Arial"/>
          <w:sz w:val="22"/>
          <w:szCs w:val="22"/>
        </w:rPr>
        <w:t>n</w:t>
      </w:r>
      <w:r w:rsidRPr="00A039E1">
        <w:rPr>
          <w:rFonts w:ascii="Arial" w:eastAsia="Arial" w:hAnsi="Arial" w:cs="Arial"/>
          <w:sz w:val="22"/>
          <w:szCs w:val="22"/>
        </w:rPr>
        <w:t xml:space="preserve"> </w:t>
      </w:r>
      <w:r w:rsidRPr="00BD17CA">
        <w:rPr>
          <w:rFonts w:ascii="Arial" w:eastAsia="Arial" w:hAnsi="Arial" w:cs="Arial"/>
          <w:sz w:val="22"/>
          <w:szCs w:val="22"/>
        </w:rPr>
        <w:t>e</w:t>
      </w:r>
      <w:r w:rsidRPr="00A039E1">
        <w:rPr>
          <w:rFonts w:ascii="Arial" w:eastAsia="Arial" w:hAnsi="Arial" w:cs="Arial"/>
          <w:sz w:val="22"/>
          <w:szCs w:val="22"/>
        </w:rPr>
        <w:t>n</w:t>
      </w:r>
      <w:r w:rsidRPr="00BD17CA">
        <w:rPr>
          <w:rFonts w:ascii="Arial" w:eastAsia="Arial" w:hAnsi="Arial" w:cs="Arial"/>
          <w:sz w:val="22"/>
          <w:szCs w:val="22"/>
        </w:rPr>
        <w:t>er</w:t>
      </w:r>
      <w:r w:rsidRPr="00A039E1">
        <w:rPr>
          <w:rFonts w:ascii="Arial" w:eastAsia="Arial" w:hAnsi="Arial" w:cs="Arial"/>
          <w:sz w:val="22"/>
          <w:szCs w:val="22"/>
        </w:rPr>
        <w:t>g</w:t>
      </w:r>
      <w:r w:rsidRPr="00BD17CA">
        <w:rPr>
          <w:rFonts w:ascii="Arial" w:eastAsia="Arial" w:hAnsi="Arial" w:cs="Arial"/>
          <w:sz w:val="22"/>
          <w:szCs w:val="22"/>
        </w:rPr>
        <w:t>y</w:t>
      </w:r>
      <w:r w:rsidRPr="00A039E1">
        <w:rPr>
          <w:rFonts w:ascii="Arial" w:eastAsia="Arial" w:hAnsi="Arial" w:cs="Arial"/>
          <w:sz w:val="22"/>
          <w:szCs w:val="22"/>
        </w:rPr>
        <w:t xml:space="preserve"> </w:t>
      </w:r>
      <w:r w:rsidRPr="00BD17CA">
        <w:rPr>
          <w:rFonts w:ascii="Arial" w:eastAsia="Arial" w:hAnsi="Arial" w:cs="Arial"/>
          <w:sz w:val="22"/>
          <w:szCs w:val="22"/>
        </w:rPr>
        <w:t>Fu</w:t>
      </w:r>
      <w:r w:rsidRPr="00A039E1">
        <w:rPr>
          <w:rFonts w:ascii="Arial" w:eastAsia="Arial" w:hAnsi="Arial" w:cs="Arial"/>
          <w:sz w:val="22"/>
          <w:szCs w:val="22"/>
        </w:rPr>
        <w:t>n</w:t>
      </w:r>
      <w:r w:rsidRPr="00BD17CA">
        <w:rPr>
          <w:rFonts w:ascii="Arial" w:eastAsia="Arial" w:hAnsi="Arial" w:cs="Arial"/>
          <w:sz w:val="22"/>
          <w:szCs w:val="22"/>
        </w:rPr>
        <w:t>ds a</w:t>
      </w:r>
      <w:r w:rsidRPr="00A039E1">
        <w:rPr>
          <w:rFonts w:ascii="Arial" w:eastAsia="Arial" w:hAnsi="Arial" w:cs="Arial"/>
          <w:sz w:val="22"/>
          <w:szCs w:val="22"/>
        </w:rPr>
        <w:t>n</w:t>
      </w:r>
      <w:r w:rsidRPr="00BD17CA">
        <w:rPr>
          <w:rFonts w:ascii="Arial" w:eastAsia="Arial" w:hAnsi="Arial" w:cs="Arial"/>
          <w:sz w:val="22"/>
          <w:szCs w:val="22"/>
        </w:rPr>
        <w:t>d</w:t>
      </w:r>
      <w:r w:rsidRPr="00A039E1">
        <w:rPr>
          <w:rFonts w:ascii="Arial" w:eastAsia="Arial" w:hAnsi="Arial" w:cs="Arial"/>
          <w:sz w:val="22"/>
          <w:szCs w:val="22"/>
        </w:rPr>
        <w:t xml:space="preserve"> </w:t>
      </w:r>
      <w:r w:rsidRPr="00BD17CA">
        <w:rPr>
          <w:rFonts w:ascii="Arial" w:eastAsia="Arial" w:hAnsi="Arial" w:cs="Arial"/>
          <w:sz w:val="22"/>
          <w:szCs w:val="22"/>
        </w:rPr>
        <w:t>£</w:t>
      </w:r>
      <w:r w:rsidR="005A4D7C">
        <w:rPr>
          <w:rFonts w:ascii="Arial" w:eastAsia="Arial" w:hAnsi="Arial" w:cs="Arial"/>
          <w:sz w:val="22"/>
          <w:szCs w:val="22"/>
        </w:rPr>
        <w:t>0.6</w:t>
      </w:r>
      <w:r w:rsidRPr="00A039E1">
        <w:rPr>
          <w:rFonts w:ascii="Arial" w:eastAsia="Arial" w:hAnsi="Arial" w:cs="Arial"/>
          <w:sz w:val="22"/>
          <w:szCs w:val="22"/>
        </w:rPr>
        <w:t xml:space="preserve"> milli</w:t>
      </w:r>
      <w:r w:rsidRPr="00BD17CA">
        <w:rPr>
          <w:rFonts w:ascii="Arial" w:eastAsia="Arial" w:hAnsi="Arial" w:cs="Arial"/>
          <w:sz w:val="22"/>
          <w:szCs w:val="22"/>
        </w:rPr>
        <w:t>on</w:t>
      </w:r>
      <w:r w:rsidRPr="00A039E1">
        <w:rPr>
          <w:rFonts w:ascii="Arial" w:eastAsia="Arial" w:hAnsi="Arial" w:cs="Arial"/>
          <w:sz w:val="22"/>
          <w:szCs w:val="22"/>
        </w:rPr>
        <w:t xml:space="preserve"> </w:t>
      </w:r>
      <w:r w:rsidRPr="00BD17CA">
        <w:rPr>
          <w:rFonts w:ascii="Arial" w:eastAsia="Arial" w:hAnsi="Arial" w:cs="Arial"/>
          <w:sz w:val="22"/>
          <w:szCs w:val="22"/>
        </w:rPr>
        <w:t>to</w:t>
      </w:r>
      <w:r w:rsidRPr="00A039E1">
        <w:rPr>
          <w:rFonts w:ascii="Arial" w:eastAsia="Arial" w:hAnsi="Arial" w:cs="Arial"/>
          <w:sz w:val="22"/>
          <w:szCs w:val="22"/>
        </w:rPr>
        <w:t xml:space="preserve"> </w:t>
      </w:r>
      <w:r w:rsidRPr="00BD17CA">
        <w:rPr>
          <w:rFonts w:ascii="Arial" w:eastAsia="Arial" w:hAnsi="Arial" w:cs="Arial"/>
          <w:sz w:val="22"/>
          <w:szCs w:val="22"/>
        </w:rPr>
        <w:t>I</w:t>
      </w:r>
      <w:r w:rsidRPr="00A039E1">
        <w:rPr>
          <w:rFonts w:ascii="Arial" w:eastAsia="Arial" w:hAnsi="Arial" w:cs="Arial"/>
          <w:sz w:val="22"/>
          <w:szCs w:val="22"/>
        </w:rPr>
        <w:t>m</w:t>
      </w:r>
      <w:r w:rsidRPr="00BD17CA">
        <w:rPr>
          <w:rFonts w:ascii="Arial" w:eastAsia="Arial" w:hAnsi="Arial" w:cs="Arial"/>
          <w:sz w:val="22"/>
          <w:szCs w:val="22"/>
        </w:rPr>
        <w:t>p</w:t>
      </w:r>
      <w:r w:rsidRPr="00A039E1">
        <w:rPr>
          <w:rFonts w:ascii="Arial" w:eastAsia="Arial" w:hAnsi="Arial" w:cs="Arial"/>
          <w:sz w:val="22"/>
          <w:szCs w:val="22"/>
        </w:rPr>
        <w:t>ac</w:t>
      </w:r>
      <w:r w:rsidRPr="00BD17CA">
        <w:rPr>
          <w:rFonts w:ascii="Arial" w:eastAsia="Arial" w:hAnsi="Arial" w:cs="Arial"/>
          <w:sz w:val="22"/>
          <w:szCs w:val="22"/>
        </w:rPr>
        <w:t>t</w:t>
      </w:r>
      <w:r w:rsidRPr="00A039E1">
        <w:rPr>
          <w:rFonts w:ascii="Arial" w:eastAsia="Arial" w:hAnsi="Arial" w:cs="Arial"/>
          <w:sz w:val="22"/>
          <w:szCs w:val="22"/>
        </w:rPr>
        <w:t xml:space="preserve"> Ve</w:t>
      </w:r>
      <w:r w:rsidRPr="00BD17CA">
        <w:rPr>
          <w:rFonts w:ascii="Arial" w:eastAsia="Arial" w:hAnsi="Arial" w:cs="Arial"/>
          <w:sz w:val="22"/>
          <w:szCs w:val="22"/>
        </w:rPr>
        <w:t>nt</w:t>
      </w:r>
      <w:r w:rsidRPr="00A039E1">
        <w:rPr>
          <w:rFonts w:ascii="Arial" w:eastAsia="Arial" w:hAnsi="Arial" w:cs="Arial"/>
          <w:sz w:val="22"/>
          <w:szCs w:val="22"/>
        </w:rPr>
        <w:t>ur</w:t>
      </w:r>
      <w:r w:rsidRPr="00BD17CA">
        <w:rPr>
          <w:rFonts w:ascii="Arial" w:eastAsia="Arial" w:hAnsi="Arial" w:cs="Arial"/>
          <w:sz w:val="22"/>
          <w:szCs w:val="22"/>
        </w:rPr>
        <w:t>es</w:t>
      </w:r>
      <w:r w:rsidRPr="00A039E1">
        <w:rPr>
          <w:rFonts w:ascii="Arial" w:eastAsia="Arial" w:hAnsi="Arial" w:cs="Arial"/>
          <w:sz w:val="22"/>
          <w:szCs w:val="22"/>
        </w:rPr>
        <w:t xml:space="preserve"> </w:t>
      </w:r>
      <w:r w:rsidRPr="00BD17CA">
        <w:rPr>
          <w:rFonts w:ascii="Arial" w:eastAsia="Arial" w:hAnsi="Arial" w:cs="Arial"/>
          <w:sz w:val="22"/>
          <w:szCs w:val="22"/>
        </w:rPr>
        <w:t>UK</w:t>
      </w:r>
      <w:r w:rsidRPr="00A039E1">
        <w:rPr>
          <w:rFonts w:ascii="Arial" w:eastAsia="Arial" w:hAnsi="Arial" w:cs="Arial"/>
          <w:sz w:val="22"/>
          <w:szCs w:val="22"/>
        </w:rPr>
        <w:t xml:space="preserve"> f</w:t>
      </w:r>
      <w:r w:rsidRPr="00BD17CA">
        <w:rPr>
          <w:rFonts w:ascii="Arial" w:eastAsia="Arial" w:hAnsi="Arial" w:cs="Arial"/>
          <w:sz w:val="22"/>
          <w:szCs w:val="22"/>
        </w:rPr>
        <w:t>u</w:t>
      </w:r>
      <w:r w:rsidRPr="00A039E1">
        <w:rPr>
          <w:rFonts w:ascii="Arial" w:eastAsia="Arial" w:hAnsi="Arial" w:cs="Arial"/>
          <w:sz w:val="22"/>
          <w:szCs w:val="22"/>
        </w:rPr>
        <w:t>n</w:t>
      </w:r>
      <w:r w:rsidRPr="00BD17CA">
        <w:rPr>
          <w:rFonts w:ascii="Arial" w:eastAsia="Arial" w:hAnsi="Arial" w:cs="Arial"/>
          <w:sz w:val="22"/>
          <w:szCs w:val="22"/>
        </w:rPr>
        <w:t>d.</w:t>
      </w:r>
      <w:r w:rsidRPr="00A039E1">
        <w:rPr>
          <w:rFonts w:ascii="Arial" w:eastAsia="Arial" w:hAnsi="Arial" w:cs="Arial"/>
          <w:sz w:val="22"/>
          <w:szCs w:val="22"/>
        </w:rPr>
        <w:t xml:space="preserve"> </w:t>
      </w:r>
      <w:r w:rsidR="005A4D7C" w:rsidRPr="005A4D7C">
        <w:rPr>
          <w:rFonts w:ascii="Arial" w:eastAsia="Arial" w:hAnsi="Arial" w:cs="Arial"/>
          <w:sz w:val="22"/>
          <w:szCs w:val="22"/>
        </w:rPr>
        <w:t>Purchases also included £59.6m in assets managed by the London CIV and acquisition of a new mandate in equity protection managed by Legal and General of £130.0m.</w:t>
      </w:r>
      <w:r w:rsidR="005A4D7C">
        <w:rPr>
          <w:rFonts w:ascii="Arial" w:eastAsia="Arial" w:hAnsi="Arial" w:cs="Arial"/>
          <w:sz w:val="22"/>
          <w:szCs w:val="22"/>
        </w:rPr>
        <w:t xml:space="preserve"> </w:t>
      </w:r>
      <w:r w:rsidRPr="00A039E1">
        <w:rPr>
          <w:rFonts w:ascii="Arial" w:eastAsia="Arial" w:hAnsi="Arial" w:cs="Arial"/>
          <w:sz w:val="22"/>
          <w:szCs w:val="22"/>
        </w:rPr>
        <w:t>P</w:t>
      </w:r>
      <w:r w:rsidRPr="00BD17CA">
        <w:rPr>
          <w:rFonts w:ascii="Arial" w:eastAsia="Arial" w:hAnsi="Arial" w:cs="Arial"/>
          <w:sz w:val="22"/>
          <w:szCs w:val="22"/>
        </w:rPr>
        <w:t>ur</w:t>
      </w:r>
      <w:r w:rsidRPr="00A039E1">
        <w:rPr>
          <w:rFonts w:ascii="Arial" w:eastAsia="Arial" w:hAnsi="Arial" w:cs="Arial"/>
          <w:sz w:val="22"/>
          <w:szCs w:val="22"/>
        </w:rPr>
        <w:t>c</w:t>
      </w:r>
      <w:r w:rsidRPr="00BD17CA">
        <w:rPr>
          <w:rFonts w:ascii="Arial" w:eastAsia="Arial" w:hAnsi="Arial" w:cs="Arial"/>
          <w:sz w:val="22"/>
          <w:szCs w:val="22"/>
        </w:rPr>
        <w:t>h</w:t>
      </w:r>
      <w:r w:rsidRPr="00A039E1">
        <w:rPr>
          <w:rFonts w:ascii="Arial" w:eastAsia="Arial" w:hAnsi="Arial" w:cs="Arial"/>
          <w:sz w:val="22"/>
          <w:szCs w:val="22"/>
        </w:rPr>
        <w:t>as</w:t>
      </w:r>
      <w:r w:rsidRPr="00BD17CA">
        <w:rPr>
          <w:rFonts w:ascii="Arial" w:eastAsia="Arial" w:hAnsi="Arial" w:cs="Arial"/>
          <w:sz w:val="22"/>
          <w:szCs w:val="22"/>
        </w:rPr>
        <w:t>es of</w:t>
      </w:r>
      <w:r w:rsidRPr="00A039E1">
        <w:rPr>
          <w:rFonts w:ascii="Arial" w:eastAsia="Arial" w:hAnsi="Arial" w:cs="Arial"/>
          <w:sz w:val="22"/>
          <w:szCs w:val="22"/>
        </w:rPr>
        <w:t xml:space="preserve"> </w:t>
      </w:r>
      <w:r w:rsidRPr="00BD17CA">
        <w:rPr>
          <w:rFonts w:ascii="Arial" w:eastAsia="Arial" w:hAnsi="Arial" w:cs="Arial"/>
          <w:sz w:val="22"/>
          <w:szCs w:val="22"/>
        </w:rPr>
        <w:t>£</w:t>
      </w:r>
      <w:r w:rsidR="005A4D7C">
        <w:rPr>
          <w:rFonts w:ascii="Arial" w:eastAsia="Arial" w:hAnsi="Arial" w:cs="Arial"/>
          <w:sz w:val="22"/>
          <w:szCs w:val="22"/>
        </w:rPr>
        <w:t>3.9</w:t>
      </w:r>
      <w:r w:rsidRPr="00A039E1">
        <w:rPr>
          <w:rFonts w:ascii="Arial" w:eastAsia="Arial" w:hAnsi="Arial" w:cs="Arial"/>
          <w:sz w:val="22"/>
          <w:szCs w:val="22"/>
        </w:rPr>
        <w:t xml:space="preserve"> millio</w:t>
      </w:r>
      <w:r w:rsidRPr="00BD17CA">
        <w:rPr>
          <w:rFonts w:ascii="Arial" w:eastAsia="Arial" w:hAnsi="Arial" w:cs="Arial"/>
          <w:sz w:val="22"/>
          <w:szCs w:val="22"/>
        </w:rPr>
        <w:t>n</w:t>
      </w:r>
      <w:r w:rsidRPr="00A039E1">
        <w:rPr>
          <w:rFonts w:ascii="Arial" w:eastAsia="Arial" w:hAnsi="Arial" w:cs="Arial"/>
          <w:sz w:val="22"/>
          <w:szCs w:val="22"/>
        </w:rPr>
        <w:t xml:space="preserve"> </w:t>
      </w:r>
      <w:r w:rsidRPr="00BD17CA">
        <w:rPr>
          <w:rFonts w:ascii="Arial" w:eastAsia="Arial" w:hAnsi="Arial" w:cs="Arial"/>
          <w:sz w:val="22"/>
          <w:szCs w:val="22"/>
        </w:rPr>
        <w:t>w</w:t>
      </w:r>
      <w:r w:rsidRPr="00A039E1">
        <w:rPr>
          <w:rFonts w:ascii="Arial" w:eastAsia="Arial" w:hAnsi="Arial" w:cs="Arial"/>
          <w:sz w:val="22"/>
          <w:szCs w:val="22"/>
        </w:rPr>
        <w:t>er</w:t>
      </w:r>
      <w:r w:rsidRPr="00BD17CA">
        <w:rPr>
          <w:rFonts w:ascii="Arial" w:eastAsia="Arial" w:hAnsi="Arial" w:cs="Arial"/>
          <w:sz w:val="22"/>
          <w:szCs w:val="22"/>
        </w:rPr>
        <w:t>e</w:t>
      </w:r>
      <w:r w:rsidRPr="00A039E1">
        <w:rPr>
          <w:rFonts w:ascii="Arial" w:eastAsia="Arial" w:hAnsi="Arial" w:cs="Arial"/>
          <w:sz w:val="22"/>
          <w:szCs w:val="22"/>
        </w:rPr>
        <w:t xml:space="preserve"> m</w:t>
      </w:r>
      <w:r w:rsidRPr="00BD17CA">
        <w:rPr>
          <w:rFonts w:ascii="Arial" w:eastAsia="Arial" w:hAnsi="Arial" w:cs="Arial"/>
          <w:sz w:val="22"/>
          <w:szCs w:val="22"/>
        </w:rPr>
        <w:t>a</w:t>
      </w:r>
      <w:r w:rsidRPr="00A039E1">
        <w:rPr>
          <w:rFonts w:ascii="Arial" w:eastAsia="Arial" w:hAnsi="Arial" w:cs="Arial"/>
          <w:sz w:val="22"/>
          <w:szCs w:val="22"/>
        </w:rPr>
        <w:t>d</w:t>
      </w:r>
      <w:r w:rsidRPr="00BD17CA">
        <w:rPr>
          <w:rFonts w:ascii="Arial" w:eastAsia="Arial" w:hAnsi="Arial" w:cs="Arial"/>
          <w:sz w:val="22"/>
          <w:szCs w:val="22"/>
        </w:rPr>
        <w:t>e</w:t>
      </w:r>
      <w:r w:rsidRPr="00A039E1">
        <w:rPr>
          <w:rFonts w:ascii="Arial" w:eastAsia="Arial" w:hAnsi="Arial" w:cs="Arial"/>
          <w:sz w:val="22"/>
          <w:szCs w:val="22"/>
        </w:rPr>
        <w:t xml:space="preserve"> </w:t>
      </w:r>
      <w:r w:rsidRPr="00BD17CA">
        <w:rPr>
          <w:rFonts w:ascii="Arial" w:eastAsia="Arial" w:hAnsi="Arial" w:cs="Arial"/>
          <w:sz w:val="22"/>
          <w:szCs w:val="22"/>
        </w:rPr>
        <w:t>to</w:t>
      </w:r>
      <w:r w:rsidRPr="00A039E1">
        <w:rPr>
          <w:rFonts w:ascii="Arial" w:eastAsia="Arial" w:hAnsi="Arial" w:cs="Arial"/>
          <w:sz w:val="22"/>
          <w:szCs w:val="22"/>
        </w:rPr>
        <w:t xml:space="preserve"> c</w:t>
      </w:r>
      <w:r w:rsidRPr="00BD17CA">
        <w:rPr>
          <w:rFonts w:ascii="Arial" w:eastAsia="Arial" w:hAnsi="Arial" w:cs="Arial"/>
          <w:sz w:val="22"/>
          <w:szCs w:val="22"/>
        </w:rPr>
        <w:t>a</w:t>
      </w:r>
      <w:r w:rsidRPr="00A039E1">
        <w:rPr>
          <w:rFonts w:ascii="Arial" w:eastAsia="Arial" w:hAnsi="Arial" w:cs="Arial"/>
          <w:sz w:val="22"/>
          <w:szCs w:val="22"/>
        </w:rPr>
        <w:t>s</w:t>
      </w:r>
      <w:r w:rsidRPr="00BD17CA">
        <w:rPr>
          <w:rFonts w:ascii="Arial" w:eastAsia="Arial" w:hAnsi="Arial" w:cs="Arial"/>
          <w:sz w:val="22"/>
          <w:szCs w:val="22"/>
        </w:rPr>
        <w:t>h</w:t>
      </w:r>
      <w:r w:rsidRPr="00A039E1">
        <w:rPr>
          <w:rFonts w:ascii="Arial" w:eastAsia="Arial" w:hAnsi="Arial" w:cs="Arial"/>
          <w:sz w:val="22"/>
          <w:szCs w:val="22"/>
        </w:rPr>
        <w:t xml:space="preserve"> </w:t>
      </w:r>
      <w:r w:rsidRPr="00BD17CA">
        <w:rPr>
          <w:rFonts w:ascii="Arial" w:eastAsia="Arial" w:hAnsi="Arial" w:cs="Arial"/>
          <w:sz w:val="22"/>
          <w:szCs w:val="22"/>
        </w:rPr>
        <w:t>a</w:t>
      </w:r>
      <w:r w:rsidRPr="00A039E1">
        <w:rPr>
          <w:rFonts w:ascii="Arial" w:eastAsia="Arial" w:hAnsi="Arial" w:cs="Arial"/>
          <w:sz w:val="22"/>
          <w:szCs w:val="22"/>
        </w:rPr>
        <w:t>n</w:t>
      </w:r>
      <w:r w:rsidRPr="00BD17CA">
        <w:rPr>
          <w:rFonts w:ascii="Arial" w:eastAsia="Arial" w:hAnsi="Arial" w:cs="Arial"/>
          <w:sz w:val="22"/>
          <w:szCs w:val="22"/>
        </w:rPr>
        <w:t>d</w:t>
      </w:r>
      <w:r w:rsidRPr="00A039E1">
        <w:rPr>
          <w:rFonts w:ascii="Arial" w:eastAsia="Arial" w:hAnsi="Arial" w:cs="Arial"/>
          <w:sz w:val="22"/>
          <w:szCs w:val="22"/>
        </w:rPr>
        <w:t xml:space="preserve"> c</w:t>
      </w:r>
      <w:r w:rsidRPr="00BD17CA">
        <w:rPr>
          <w:rFonts w:ascii="Arial" w:eastAsia="Arial" w:hAnsi="Arial" w:cs="Arial"/>
          <w:sz w:val="22"/>
          <w:szCs w:val="22"/>
        </w:rPr>
        <w:t>a</w:t>
      </w:r>
      <w:r w:rsidRPr="00A039E1">
        <w:rPr>
          <w:rFonts w:ascii="Arial" w:eastAsia="Arial" w:hAnsi="Arial" w:cs="Arial"/>
          <w:sz w:val="22"/>
          <w:szCs w:val="22"/>
        </w:rPr>
        <w:t>s</w:t>
      </w:r>
      <w:r w:rsidRPr="00BD17CA">
        <w:rPr>
          <w:rFonts w:ascii="Arial" w:eastAsia="Arial" w:hAnsi="Arial" w:cs="Arial"/>
          <w:sz w:val="22"/>
          <w:szCs w:val="22"/>
        </w:rPr>
        <w:t>h e</w:t>
      </w:r>
      <w:r w:rsidRPr="00A039E1">
        <w:rPr>
          <w:rFonts w:ascii="Arial" w:eastAsia="Arial" w:hAnsi="Arial" w:cs="Arial"/>
          <w:sz w:val="22"/>
          <w:szCs w:val="22"/>
        </w:rPr>
        <w:t>quiv</w:t>
      </w:r>
      <w:r w:rsidRPr="00BD17CA">
        <w:rPr>
          <w:rFonts w:ascii="Arial" w:eastAsia="Arial" w:hAnsi="Arial" w:cs="Arial"/>
          <w:sz w:val="22"/>
          <w:szCs w:val="22"/>
        </w:rPr>
        <w:t>a</w:t>
      </w:r>
      <w:r w:rsidRPr="00A039E1">
        <w:rPr>
          <w:rFonts w:ascii="Arial" w:eastAsia="Arial" w:hAnsi="Arial" w:cs="Arial"/>
          <w:sz w:val="22"/>
          <w:szCs w:val="22"/>
        </w:rPr>
        <w:t>len</w:t>
      </w:r>
      <w:r w:rsidRPr="00BD17CA">
        <w:rPr>
          <w:rFonts w:ascii="Arial" w:eastAsia="Arial" w:hAnsi="Arial" w:cs="Arial"/>
          <w:sz w:val="22"/>
          <w:szCs w:val="22"/>
        </w:rPr>
        <w:t>ts</w:t>
      </w:r>
      <w:r w:rsidRPr="00A039E1">
        <w:rPr>
          <w:rFonts w:ascii="Arial" w:eastAsia="Arial" w:hAnsi="Arial" w:cs="Arial"/>
          <w:sz w:val="22"/>
          <w:szCs w:val="22"/>
        </w:rPr>
        <w:t xml:space="preserve"> </w:t>
      </w:r>
      <w:r w:rsidRPr="00BD17CA">
        <w:rPr>
          <w:rFonts w:ascii="Arial" w:eastAsia="Arial" w:hAnsi="Arial" w:cs="Arial"/>
          <w:sz w:val="22"/>
          <w:szCs w:val="22"/>
        </w:rPr>
        <w:t>to</w:t>
      </w:r>
      <w:r w:rsidRPr="00A039E1">
        <w:rPr>
          <w:rFonts w:ascii="Arial" w:eastAsia="Arial" w:hAnsi="Arial" w:cs="Arial"/>
          <w:sz w:val="22"/>
          <w:szCs w:val="22"/>
        </w:rPr>
        <w:t xml:space="preserve"> </w:t>
      </w:r>
      <w:r w:rsidRPr="00BD17CA">
        <w:rPr>
          <w:rFonts w:ascii="Arial" w:eastAsia="Arial" w:hAnsi="Arial" w:cs="Arial"/>
          <w:sz w:val="22"/>
          <w:szCs w:val="22"/>
        </w:rPr>
        <w:t>M</w:t>
      </w:r>
      <w:r w:rsidRPr="00A039E1">
        <w:rPr>
          <w:rFonts w:ascii="Arial" w:eastAsia="Arial" w:hAnsi="Arial" w:cs="Arial"/>
          <w:sz w:val="22"/>
          <w:szCs w:val="22"/>
        </w:rPr>
        <w:t>one</w:t>
      </w:r>
      <w:r w:rsidRPr="00BD17CA">
        <w:rPr>
          <w:rFonts w:ascii="Arial" w:eastAsia="Arial" w:hAnsi="Arial" w:cs="Arial"/>
          <w:sz w:val="22"/>
          <w:szCs w:val="22"/>
        </w:rPr>
        <w:t>y</w:t>
      </w:r>
      <w:r w:rsidRPr="00A039E1">
        <w:rPr>
          <w:rFonts w:ascii="Arial" w:eastAsia="Arial" w:hAnsi="Arial" w:cs="Arial"/>
          <w:sz w:val="22"/>
          <w:szCs w:val="22"/>
        </w:rPr>
        <w:t xml:space="preserve"> </w:t>
      </w:r>
      <w:r w:rsidRPr="00BD17CA">
        <w:rPr>
          <w:rFonts w:ascii="Arial" w:eastAsia="Arial" w:hAnsi="Arial" w:cs="Arial"/>
          <w:sz w:val="22"/>
          <w:szCs w:val="22"/>
        </w:rPr>
        <w:t>M</w:t>
      </w:r>
      <w:r w:rsidRPr="00A039E1">
        <w:rPr>
          <w:rFonts w:ascii="Arial" w:eastAsia="Arial" w:hAnsi="Arial" w:cs="Arial"/>
          <w:sz w:val="22"/>
          <w:szCs w:val="22"/>
        </w:rPr>
        <w:t>ark</w:t>
      </w:r>
      <w:r w:rsidRPr="00BD17CA">
        <w:rPr>
          <w:rFonts w:ascii="Arial" w:eastAsia="Arial" w:hAnsi="Arial" w:cs="Arial"/>
          <w:sz w:val="22"/>
          <w:szCs w:val="22"/>
        </w:rPr>
        <w:t>et</w:t>
      </w:r>
      <w:r w:rsidRPr="00A039E1">
        <w:rPr>
          <w:rFonts w:ascii="Arial" w:eastAsia="Arial" w:hAnsi="Arial" w:cs="Arial"/>
          <w:sz w:val="22"/>
          <w:szCs w:val="22"/>
        </w:rPr>
        <w:t xml:space="preserve"> </w:t>
      </w:r>
      <w:r w:rsidRPr="00BD17CA">
        <w:rPr>
          <w:rFonts w:ascii="Arial" w:eastAsia="Arial" w:hAnsi="Arial" w:cs="Arial"/>
          <w:sz w:val="22"/>
          <w:szCs w:val="22"/>
        </w:rPr>
        <w:t>Fu</w:t>
      </w:r>
      <w:r w:rsidRPr="00A039E1">
        <w:rPr>
          <w:rFonts w:ascii="Arial" w:eastAsia="Arial" w:hAnsi="Arial" w:cs="Arial"/>
          <w:sz w:val="22"/>
          <w:szCs w:val="22"/>
        </w:rPr>
        <w:t>n</w:t>
      </w:r>
      <w:r w:rsidRPr="00BD17CA">
        <w:rPr>
          <w:rFonts w:ascii="Arial" w:eastAsia="Arial" w:hAnsi="Arial" w:cs="Arial"/>
          <w:sz w:val="22"/>
          <w:szCs w:val="22"/>
        </w:rPr>
        <w:t>d</w:t>
      </w:r>
      <w:r w:rsidRPr="00A039E1">
        <w:rPr>
          <w:rFonts w:ascii="Arial" w:eastAsia="Arial" w:hAnsi="Arial" w:cs="Arial"/>
          <w:sz w:val="22"/>
          <w:szCs w:val="22"/>
        </w:rPr>
        <w:t>s</w:t>
      </w:r>
      <w:r w:rsidRPr="00BD17CA">
        <w:rPr>
          <w:rFonts w:ascii="Arial" w:eastAsia="Arial" w:hAnsi="Arial" w:cs="Arial"/>
          <w:sz w:val="22"/>
          <w:szCs w:val="22"/>
        </w:rPr>
        <w:t>.</w:t>
      </w:r>
      <w:r w:rsidRPr="00A039E1">
        <w:rPr>
          <w:rFonts w:ascii="Arial" w:eastAsia="Arial" w:hAnsi="Arial" w:cs="Arial"/>
          <w:sz w:val="22"/>
          <w:szCs w:val="22"/>
        </w:rPr>
        <w:t xml:space="preserve"> T</w:t>
      </w:r>
      <w:r w:rsidRPr="00BD17CA">
        <w:rPr>
          <w:rFonts w:ascii="Arial" w:eastAsia="Arial" w:hAnsi="Arial" w:cs="Arial"/>
          <w:sz w:val="22"/>
          <w:szCs w:val="22"/>
        </w:rPr>
        <w:t>he</w:t>
      </w:r>
      <w:r w:rsidRPr="00A039E1">
        <w:rPr>
          <w:rFonts w:ascii="Arial" w:eastAsia="Arial" w:hAnsi="Arial" w:cs="Arial"/>
          <w:sz w:val="22"/>
          <w:szCs w:val="22"/>
        </w:rPr>
        <w:t xml:space="preserve"> s</w:t>
      </w:r>
      <w:r w:rsidRPr="00BD17CA">
        <w:rPr>
          <w:rFonts w:ascii="Arial" w:eastAsia="Arial" w:hAnsi="Arial" w:cs="Arial"/>
          <w:sz w:val="22"/>
          <w:szCs w:val="22"/>
        </w:rPr>
        <w:t>a</w:t>
      </w:r>
      <w:r w:rsidRPr="00A039E1">
        <w:rPr>
          <w:rFonts w:ascii="Arial" w:eastAsia="Arial" w:hAnsi="Arial" w:cs="Arial"/>
          <w:sz w:val="22"/>
          <w:szCs w:val="22"/>
        </w:rPr>
        <w:t>l</w:t>
      </w:r>
      <w:r w:rsidRPr="00BD17CA">
        <w:rPr>
          <w:rFonts w:ascii="Arial" w:eastAsia="Arial" w:hAnsi="Arial" w:cs="Arial"/>
          <w:sz w:val="22"/>
          <w:szCs w:val="22"/>
        </w:rPr>
        <w:t>e</w:t>
      </w:r>
      <w:r w:rsidRPr="00A039E1">
        <w:rPr>
          <w:rFonts w:ascii="Arial" w:eastAsia="Arial" w:hAnsi="Arial" w:cs="Arial"/>
          <w:sz w:val="22"/>
          <w:szCs w:val="22"/>
        </w:rPr>
        <w:t xml:space="preserve"> </w:t>
      </w:r>
      <w:r w:rsidRPr="00BD17CA">
        <w:rPr>
          <w:rFonts w:ascii="Arial" w:eastAsia="Arial" w:hAnsi="Arial" w:cs="Arial"/>
          <w:sz w:val="22"/>
          <w:szCs w:val="22"/>
        </w:rPr>
        <w:t>of</w:t>
      </w:r>
      <w:r w:rsidRPr="00A039E1">
        <w:rPr>
          <w:rFonts w:ascii="Arial" w:eastAsia="Arial" w:hAnsi="Arial" w:cs="Arial"/>
          <w:sz w:val="22"/>
          <w:szCs w:val="22"/>
        </w:rPr>
        <w:t xml:space="preserve"> inv</w:t>
      </w:r>
      <w:r w:rsidRPr="00BD17CA">
        <w:rPr>
          <w:rFonts w:ascii="Arial" w:eastAsia="Arial" w:hAnsi="Arial" w:cs="Arial"/>
          <w:sz w:val="22"/>
          <w:szCs w:val="22"/>
        </w:rPr>
        <w:t>e</w:t>
      </w:r>
      <w:r w:rsidRPr="00A039E1">
        <w:rPr>
          <w:rFonts w:ascii="Arial" w:eastAsia="Arial" w:hAnsi="Arial" w:cs="Arial"/>
          <w:sz w:val="22"/>
          <w:szCs w:val="22"/>
        </w:rPr>
        <w:t>stm</w:t>
      </w:r>
      <w:r w:rsidRPr="00BD17CA">
        <w:rPr>
          <w:rFonts w:ascii="Arial" w:eastAsia="Arial" w:hAnsi="Arial" w:cs="Arial"/>
          <w:sz w:val="22"/>
          <w:szCs w:val="22"/>
        </w:rPr>
        <w:t>e</w:t>
      </w:r>
      <w:r w:rsidRPr="00A039E1">
        <w:rPr>
          <w:rFonts w:ascii="Arial" w:eastAsia="Arial" w:hAnsi="Arial" w:cs="Arial"/>
          <w:sz w:val="22"/>
          <w:szCs w:val="22"/>
        </w:rPr>
        <w:t>n</w:t>
      </w:r>
      <w:r w:rsidRPr="00BD17CA">
        <w:rPr>
          <w:rFonts w:ascii="Arial" w:eastAsia="Arial" w:hAnsi="Arial" w:cs="Arial"/>
          <w:sz w:val="22"/>
          <w:szCs w:val="22"/>
        </w:rPr>
        <w:t>ts</w:t>
      </w:r>
      <w:r w:rsidRPr="00A039E1">
        <w:rPr>
          <w:rFonts w:ascii="Arial" w:eastAsia="Arial" w:hAnsi="Arial" w:cs="Arial"/>
          <w:sz w:val="22"/>
          <w:szCs w:val="22"/>
        </w:rPr>
        <w:t xml:space="preserve"> com</w:t>
      </w:r>
      <w:r w:rsidRPr="00BD17CA">
        <w:rPr>
          <w:rFonts w:ascii="Arial" w:eastAsia="Arial" w:hAnsi="Arial" w:cs="Arial"/>
          <w:sz w:val="22"/>
          <w:szCs w:val="22"/>
        </w:rPr>
        <w:t>prised</w:t>
      </w:r>
      <w:r w:rsidRPr="00A039E1">
        <w:rPr>
          <w:rFonts w:ascii="Arial" w:eastAsia="Arial" w:hAnsi="Arial" w:cs="Arial"/>
          <w:sz w:val="22"/>
          <w:szCs w:val="22"/>
        </w:rPr>
        <w:t xml:space="preserve"> </w:t>
      </w:r>
      <w:r w:rsidRPr="00BD17CA">
        <w:rPr>
          <w:rFonts w:ascii="Arial" w:eastAsia="Arial" w:hAnsi="Arial" w:cs="Arial"/>
          <w:sz w:val="22"/>
          <w:szCs w:val="22"/>
        </w:rPr>
        <w:t>the</w:t>
      </w:r>
      <w:r w:rsidRPr="00A039E1">
        <w:rPr>
          <w:rFonts w:ascii="Arial" w:eastAsia="Arial" w:hAnsi="Arial" w:cs="Arial"/>
          <w:sz w:val="22"/>
          <w:szCs w:val="22"/>
        </w:rPr>
        <w:t xml:space="preserve"> r</w:t>
      </w:r>
      <w:r w:rsidRPr="00BD17CA">
        <w:rPr>
          <w:rFonts w:ascii="Arial" w:eastAsia="Arial" w:hAnsi="Arial" w:cs="Arial"/>
          <w:sz w:val="22"/>
          <w:szCs w:val="22"/>
        </w:rPr>
        <w:t>et</w:t>
      </w:r>
      <w:r w:rsidRPr="00A039E1">
        <w:rPr>
          <w:rFonts w:ascii="Arial" w:eastAsia="Arial" w:hAnsi="Arial" w:cs="Arial"/>
          <w:sz w:val="22"/>
          <w:szCs w:val="22"/>
        </w:rPr>
        <w:t>ur</w:t>
      </w:r>
      <w:r w:rsidRPr="00BD17CA">
        <w:rPr>
          <w:rFonts w:ascii="Arial" w:eastAsia="Arial" w:hAnsi="Arial" w:cs="Arial"/>
          <w:sz w:val="22"/>
          <w:szCs w:val="22"/>
        </w:rPr>
        <w:t>n</w:t>
      </w:r>
      <w:r w:rsidRPr="00A039E1">
        <w:rPr>
          <w:rFonts w:ascii="Arial" w:eastAsia="Arial" w:hAnsi="Arial" w:cs="Arial"/>
          <w:sz w:val="22"/>
          <w:szCs w:val="22"/>
        </w:rPr>
        <w:t>e</w:t>
      </w:r>
      <w:r w:rsidRPr="00BD17CA">
        <w:rPr>
          <w:rFonts w:ascii="Arial" w:eastAsia="Arial" w:hAnsi="Arial" w:cs="Arial"/>
          <w:sz w:val="22"/>
          <w:szCs w:val="22"/>
        </w:rPr>
        <w:t>d</w:t>
      </w:r>
      <w:r w:rsidRPr="00A039E1">
        <w:rPr>
          <w:rFonts w:ascii="Arial" w:eastAsia="Arial" w:hAnsi="Arial" w:cs="Arial"/>
          <w:sz w:val="22"/>
          <w:szCs w:val="22"/>
        </w:rPr>
        <w:t xml:space="preserve"> ca</w:t>
      </w:r>
      <w:r w:rsidRPr="00BD17CA">
        <w:rPr>
          <w:rFonts w:ascii="Arial" w:eastAsia="Arial" w:hAnsi="Arial" w:cs="Arial"/>
          <w:sz w:val="22"/>
          <w:szCs w:val="22"/>
        </w:rPr>
        <w:t>p</w:t>
      </w:r>
      <w:r w:rsidRPr="00A039E1">
        <w:rPr>
          <w:rFonts w:ascii="Arial" w:eastAsia="Arial" w:hAnsi="Arial" w:cs="Arial"/>
          <w:sz w:val="22"/>
          <w:szCs w:val="22"/>
        </w:rPr>
        <w:t>it</w:t>
      </w:r>
      <w:r w:rsidRPr="00BD17CA">
        <w:rPr>
          <w:rFonts w:ascii="Arial" w:eastAsia="Arial" w:hAnsi="Arial" w:cs="Arial"/>
          <w:sz w:val="22"/>
          <w:szCs w:val="22"/>
        </w:rPr>
        <w:t>a</w:t>
      </w:r>
      <w:r w:rsidRPr="00A039E1">
        <w:rPr>
          <w:rFonts w:ascii="Arial" w:eastAsia="Arial" w:hAnsi="Arial" w:cs="Arial"/>
          <w:sz w:val="22"/>
          <w:szCs w:val="22"/>
        </w:rPr>
        <w:t>l/</w:t>
      </w:r>
      <w:r w:rsidRPr="00BD17CA">
        <w:rPr>
          <w:rFonts w:ascii="Arial" w:eastAsia="Arial" w:hAnsi="Arial" w:cs="Arial"/>
          <w:sz w:val="22"/>
          <w:szCs w:val="22"/>
        </w:rPr>
        <w:t>d</w:t>
      </w:r>
      <w:r w:rsidRPr="00A039E1">
        <w:rPr>
          <w:rFonts w:ascii="Arial" w:eastAsia="Arial" w:hAnsi="Arial" w:cs="Arial"/>
          <w:sz w:val="22"/>
          <w:szCs w:val="22"/>
        </w:rPr>
        <w:t>iv</w:t>
      </w:r>
      <w:r w:rsidRPr="00BD17CA">
        <w:rPr>
          <w:rFonts w:ascii="Arial" w:eastAsia="Arial" w:hAnsi="Arial" w:cs="Arial"/>
          <w:sz w:val="22"/>
          <w:szCs w:val="22"/>
        </w:rPr>
        <w:t>e</w:t>
      </w:r>
      <w:r w:rsidRPr="00A039E1">
        <w:rPr>
          <w:rFonts w:ascii="Arial" w:eastAsia="Arial" w:hAnsi="Arial" w:cs="Arial"/>
          <w:sz w:val="22"/>
          <w:szCs w:val="22"/>
        </w:rPr>
        <w:t>s</w:t>
      </w:r>
      <w:r w:rsidRPr="00BD17CA">
        <w:rPr>
          <w:rFonts w:ascii="Arial" w:eastAsia="Arial" w:hAnsi="Arial" w:cs="Arial"/>
          <w:sz w:val="22"/>
          <w:szCs w:val="22"/>
        </w:rPr>
        <w:t>t</w:t>
      </w:r>
      <w:r w:rsidRPr="00A039E1">
        <w:rPr>
          <w:rFonts w:ascii="Arial" w:eastAsia="Arial" w:hAnsi="Arial" w:cs="Arial"/>
          <w:sz w:val="22"/>
          <w:szCs w:val="22"/>
        </w:rPr>
        <w:t>m</w:t>
      </w:r>
      <w:r w:rsidRPr="00BD17CA">
        <w:rPr>
          <w:rFonts w:ascii="Arial" w:eastAsia="Arial" w:hAnsi="Arial" w:cs="Arial"/>
          <w:sz w:val="22"/>
          <w:szCs w:val="22"/>
        </w:rPr>
        <w:t>e</w:t>
      </w:r>
      <w:r w:rsidRPr="00A039E1">
        <w:rPr>
          <w:rFonts w:ascii="Arial" w:eastAsia="Arial" w:hAnsi="Arial" w:cs="Arial"/>
          <w:sz w:val="22"/>
          <w:szCs w:val="22"/>
        </w:rPr>
        <w:t>n</w:t>
      </w:r>
      <w:r w:rsidRPr="00BD17CA">
        <w:rPr>
          <w:rFonts w:ascii="Arial" w:eastAsia="Arial" w:hAnsi="Arial" w:cs="Arial"/>
          <w:sz w:val="22"/>
          <w:szCs w:val="22"/>
        </w:rPr>
        <w:t>t</w:t>
      </w:r>
      <w:r w:rsidRPr="00A039E1">
        <w:rPr>
          <w:rFonts w:ascii="Arial" w:eastAsia="Arial" w:hAnsi="Arial" w:cs="Arial"/>
          <w:sz w:val="22"/>
          <w:szCs w:val="22"/>
        </w:rPr>
        <w:t xml:space="preserve"> fro</w:t>
      </w:r>
      <w:r w:rsidRPr="00BD17CA">
        <w:rPr>
          <w:rFonts w:ascii="Arial" w:eastAsia="Arial" w:hAnsi="Arial" w:cs="Arial"/>
          <w:sz w:val="22"/>
          <w:szCs w:val="22"/>
        </w:rPr>
        <w:t>m w</w:t>
      </w:r>
      <w:r w:rsidRPr="00A039E1">
        <w:rPr>
          <w:rFonts w:ascii="Arial" w:eastAsia="Arial" w:hAnsi="Arial" w:cs="Arial"/>
          <w:sz w:val="22"/>
          <w:szCs w:val="22"/>
        </w:rPr>
        <w:t>i</w:t>
      </w:r>
      <w:r w:rsidRPr="00BD17CA">
        <w:rPr>
          <w:rFonts w:ascii="Arial" w:eastAsia="Arial" w:hAnsi="Arial" w:cs="Arial"/>
          <w:sz w:val="22"/>
          <w:szCs w:val="22"/>
        </w:rPr>
        <w:t>nd</w:t>
      </w:r>
      <w:r w:rsidRPr="00A039E1">
        <w:rPr>
          <w:rFonts w:ascii="Arial" w:eastAsia="Arial" w:hAnsi="Arial" w:cs="Arial"/>
          <w:sz w:val="22"/>
          <w:szCs w:val="22"/>
        </w:rPr>
        <w:t xml:space="preserve"> </w:t>
      </w:r>
      <w:r w:rsidRPr="00BD17CA">
        <w:rPr>
          <w:rFonts w:ascii="Arial" w:eastAsia="Arial" w:hAnsi="Arial" w:cs="Arial"/>
          <w:sz w:val="22"/>
          <w:szCs w:val="22"/>
        </w:rPr>
        <w:t>up</w:t>
      </w:r>
      <w:r w:rsidRPr="00A039E1">
        <w:rPr>
          <w:rFonts w:ascii="Arial" w:eastAsia="Arial" w:hAnsi="Arial" w:cs="Arial"/>
          <w:sz w:val="22"/>
          <w:szCs w:val="22"/>
        </w:rPr>
        <w:t xml:space="preserve"> </w:t>
      </w:r>
      <w:r w:rsidRPr="00BD17CA">
        <w:rPr>
          <w:rFonts w:ascii="Arial" w:eastAsia="Arial" w:hAnsi="Arial" w:cs="Arial"/>
          <w:sz w:val="22"/>
          <w:szCs w:val="22"/>
        </w:rPr>
        <w:t>of</w:t>
      </w:r>
      <w:r w:rsidRPr="00A039E1">
        <w:rPr>
          <w:rFonts w:ascii="Arial" w:eastAsia="Arial" w:hAnsi="Arial" w:cs="Arial"/>
          <w:sz w:val="22"/>
          <w:szCs w:val="22"/>
        </w:rPr>
        <w:t xml:space="preserve"> </w:t>
      </w:r>
      <w:r w:rsidRPr="00BD17CA">
        <w:rPr>
          <w:rFonts w:ascii="Arial" w:eastAsia="Arial" w:hAnsi="Arial" w:cs="Arial"/>
          <w:sz w:val="22"/>
          <w:szCs w:val="22"/>
        </w:rPr>
        <w:t>a</w:t>
      </w:r>
      <w:r w:rsidRPr="00A039E1">
        <w:rPr>
          <w:rFonts w:ascii="Arial" w:eastAsia="Arial" w:hAnsi="Arial" w:cs="Arial"/>
          <w:sz w:val="22"/>
          <w:szCs w:val="22"/>
        </w:rPr>
        <w:t>ss</w:t>
      </w:r>
      <w:r w:rsidRPr="00BD17CA">
        <w:rPr>
          <w:rFonts w:ascii="Arial" w:eastAsia="Arial" w:hAnsi="Arial" w:cs="Arial"/>
          <w:sz w:val="22"/>
          <w:szCs w:val="22"/>
        </w:rPr>
        <w:t>ets,</w:t>
      </w:r>
      <w:r w:rsidRPr="00A039E1">
        <w:rPr>
          <w:rFonts w:ascii="Arial" w:eastAsia="Arial" w:hAnsi="Arial" w:cs="Arial"/>
          <w:sz w:val="22"/>
          <w:szCs w:val="22"/>
        </w:rPr>
        <w:t xml:space="preserve"> fro</w:t>
      </w:r>
      <w:r w:rsidRPr="00BD17CA">
        <w:rPr>
          <w:rFonts w:ascii="Arial" w:eastAsia="Arial" w:hAnsi="Arial" w:cs="Arial"/>
          <w:sz w:val="22"/>
          <w:szCs w:val="22"/>
        </w:rPr>
        <w:t>m</w:t>
      </w:r>
      <w:r w:rsidRPr="00A039E1">
        <w:rPr>
          <w:rFonts w:ascii="Arial" w:eastAsia="Arial" w:hAnsi="Arial" w:cs="Arial"/>
          <w:sz w:val="22"/>
          <w:szCs w:val="22"/>
        </w:rPr>
        <w:t xml:space="preserve"> C</w:t>
      </w:r>
      <w:r w:rsidRPr="00BD17CA">
        <w:rPr>
          <w:rFonts w:ascii="Arial" w:eastAsia="Arial" w:hAnsi="Arial" w:cs="Arial"/>
          <w:sz w:val="22"/>
          <w:szCs w:val="22"/>
        </w:rPr>
        <w:t>a</w:t>
      </w:r>
      <w:r w:rsidRPr="00A039E1">
        <w:rPr>
          <w:rFonts w:ascii="Arial" w:eastAsia="Arial" w:hAnsi="Arial" w:cs="Arial"/>
          <w:sz w:val="22"/>
          <w:szCs w:val="22"/>
        </w:rPr>
        <w:t>pit</w:t>
      </w:r>
      <w:r w:rsidRPr="00BD17CA">
        <w:rPr>
          <w:rFonts w:ascii="Arial" w:eastAsia="Arial" w:hAnsi="Arial" w:cs="Arial"/>
          <w:sz w:val="22"/>
          <w:szCs w:val="22"/>
        </w:rPr>
        <w:t>al</w:t>
      </w:r>
      <w:r w:rsidRPr="00A039E1">
        <w:rPr>
          <w:rFonts w:ascii="Arial" w:eastAsia="Arial" w:hAnsi="Arial" w:cs="Arial"/>
          <w:sz w:val="22"/>
          <w:szCs w:val="22"/>
        </w:rPr>
        <w:t xml:space="preserve"> Dyn</w:t>
      </w:r>
      <w:r w:rsidRPr="00BD17CA">
        <w:rPr>
          <w:rFonts w:ascii="Arial" w:eastAsia="Arial" w:hAnsi="Arial" w:cs="Arial"/>
          <w:sz w:val="22"/>
          <w:szCs w:val="22"/>
        </w:rPr>
        <w:t>a</w:t>
      </w:r>
      <w:r w:rsidRPr="00A039E1">
        <w:rPr>
          <w:rFonts w:ascii="Arial" w:eastAsia="Arial" w:hAnsi="Arial" w:cs="Arial"/>
          <w:sz w:val="22"/>
          <w:szCs w:val="22"/>
        </w:rPr>
        <w:t>mic</w:t>
      </w:r>
      <w:r w:rsidRPr="00BD17CA">
        <w:rPr>
          <w:rFonts w:ascii="Arial" w:eastAsia="Arial" w:hAnsi="Arial" w:cs="Arial"/>
          <w:sz w:val="22"/>
          <w:szCs w:val="22"/>
        </w:rPr>
        <w:t>s</w:t>
      </w:r>
      <w:r w:rsidRPr="00A039E1">
        <w:rPr>
          <w:rFonts w:ascii="Arial" w:eastAsia="Arial" w:hAnsi="Arial" w:cs="Arial"/>
          <w:sz w:val="22"/>
          <w:szCs w:val="22"/>
        </w:rPr>
        <w:t xml:space="preserve"> </w:t>
      </w:r>
      <w:r w:rsidRPr="00BD17CA">
        <w:rPr>
          <w:rFonts w:ascii="Arial" w:eastAsia="Arial" w:hAnsi="Arial" w:cs="Arial"/>
          <w:sz w:val="22"/>
          <w:szCs w:val="22"/>
        </w:rPr>
        <w:t>C</w:t>
      </w:r>
      <w:r w:rsidRPr="00A039E1">
        <w:rPr>
          <w:rFonts w:ascii="Arial" w:eastAsia="Arial" w:hAnsi="Arial" w:cs="Arial"/>
          <w:sz w:val="22"/>
          <w:szCs w:val="22"/>
        </w:rPr>
        <w:t>l</w:t>
      </w:r>
      <w:r w:rsidRPr="00BD17CA">
        <w:rPr>
          <w:rFonts w:ascii="Arial" w:eastAsia="Arial" w:hAnsi="Arial" w:cs="Arial"/>
          <w:sz w:val="22"/>
          <w:szCs w:val="22"/>
        </w:rPr>
        <w:t>e</w:t>
      </w:r>
      <w:r w:rsidRPr="00A039E1">
        <w:rPr>
          <w:rFonts w:ascii="Arial" w:eastAsia="Arial" w:hAnsi="Arial" w:cs="Arial"/>
          <w:sz w:val="22"/>
          <w:szCs w:val="22"/>
        </w:rPr>
        <w:t>a</w:t>
      </w:r>
      <w:r w:rsidRPr="00BD17CA">
        <w:rPr>
          <w:rFonts w:ascii="Arial" w:eastAsia="Arial" w:hAnsi="Arial" w:cs="Arial"/>
          <w:sz w:val="22"/>
          <w:szCs w:val="22"/>
        </w:rPr>
        <w:t>n</w:t>
      </w:r>
      <w:r w:rsidRPr="00A039E1">
        <w:rPr>
          <w:rFonts w:ascii="Arial" w:eastAsia="Arial" w:hAnsi="Arial" w:cs="Arial"/>
          <w:sz w:val="22"/>
          <w:szCs w:val="22"/>
        </w:rPr>
        <w:t xml:space="preserve"> En</w:t>
      </w:r>
      <w:r w:rsidRPr="00BD17CA">
        <w:rPr>
          <w:rFonts w:ascii="Arial" w:eastAsia="Arial" w:hAnsi="Arial" w:cs="Arial"/>
          <w:sz w:val="22"/>
          <w:szCs w:val="22"/>
        </w:rPr>
        <w:t>er</w:t>
      </w:r>
      <w:r w:rsidRPr="00A039E1">
        <w:rPr>
          <w:rFonts w:ascii="Arial" w:eastAsia="Arial" w:hAnsi="Arial" w:cs="Arial"/>
          <w:sz w:val="22"/>
          <w:szCs w:val="22"/>
        </w:rPr>
        <w:t>g</w:t>
      </w:r>
      <w:r w:rsidRPr="00BD17CA">
        <w:rPr>
          <w:rFonts w:ascii="Arial" w:eastAsia="Arial" w:hAnsi="Arial" w:cs="Arial"/>
          <w:sz w:val="22"/>
          <w:szCs w:val="22"/>
        </w:rPr>
        <w:t>y</w:t>
      </w:r>
      <w:r w:rsidRPr="00A039E1">
        <w:rPr>
          <w:rFonts w:ascii="Arial" w:eastAsia="Arial" w:hAnsi="Arial" w:cs="Arial"/>
          <w:sz w:val="22"/>
          <w:szCs w:val="22"/>
        </w:rPr>
        <w:t xml:space="preserve"> </w:t>
      </w:r>
      <w:r w:rsidRPr="00BD17CA">
        <w:rPr>
          <w:rFonts w:ascii="Arial" w:eastAsia="Arial" w:hAnsi="Arial" w:cs="Arial"/>
          <w:sz w:val="22"/>
          <w:szCs w:val="22"/>
        </w:rPr>
        <w:t>£</w:t>
      </w:r>
      <w:r w:rsidR="005A4D7C">
        <w:rPr>
          <w:rFonts w:ascii="Arial" w:eastAsia="Arial" w:hAnsi="Arial" w:cs="Arial"/>
          <w:sz w:val="22"/>
          <w:szCs w:val="22"/>
        </w:rPr>
        <w:t>0.7 million</w:t>
      </w:r>
      <w:r w:rsidRPr="00BD17CA">
        <w:rPr>
          <w:rFonts w:ascii="Arial" w:eastAsia="Arial" w:hAnsi="Arial" w:cs="Arial"/>
          <w:sz w:val="22"/>
          <w:szCs w:val="22"/>
        </w:rPr>
        <w:t>,</w:t>
      </w:r>
      <w:r w:rsidRPr="00A039E1">
        <w:rPr>
          <w:rFonts w:ascii="Arial" w:eastAsia="Arial" w:hAnsi="Arial" w:cs="Arial"/>
          <w:sz w:val="22"/>
          <w:szCs w:val="22"/>
        </w:rPr>
        <w:t xml:space="preserve"> Gl</w:t>
      </w:r>
      <w:r w:rsidRPr="00BD17CA">
        <w:rPr>
          <w:rFonts w:ascii="Arial" w:eastAsia="Arial" w:hAnsi="Arial" w:cs="Arial"/>
          <w:sz w:val="22"/>
          <w:szCs w:val="22"/>
        </w:rPr>
        <w:t>o</w:t>
      </w:r>
      <w:r w:rsidRPr="00A039E1">
        <w:rPr>
          <w:rFonts w:ascii="Arial" w:eastAsia="Arial" w:hAnsi="Arial" w:cs="Arial"/>
          <w:sz w:val="22"/>
          <w:szCs w:val="22"/>
        </w:rPr>
        <w:t>b</w:t>
      </w:r>
      <w:r w:rsidRPr="00BD17CA">
        <w:rPr>
          <w:rFonts w:ascii="Arial" w:eastAsia="Arial" w:hAnsi="Arial" w:cs="Arial"/>
          <w:sz w:val="22"/>
          <w:szCs w:val="22"/>
        </w:rPr>
        <w:t>al</w:t>
      </w:r>
      <w:r w:rsidRPr="00A039E1">
        <w:rPr>
          <w:rFonts w:ascii="Arial" w:eastAsia="Arial" w:hAnsi="Arial" w:cs="Arial"/>
          <w:sz w:val="22"/>
          <w:szCs w:val="22"/>
        </w:rPr>
        <w:t xml:space="preserve"> </w:t>
      </w:r>
      <w:r w:rsidRPr="00BD17CA">
        <w:rPr>
          <w:rFonts w:ascii="Arial" w:eastAsia="Arial" w:hAnsi="Arial" w:cs="Arial"/>
          <w:sz w:val="22"/>
          <w:szCs w:val="22"/>
        </w:rPr>
        <w:t>In</w:t>
      </w:r>
      <w:r w:rsidRPr="00A039E1">
        <w:rPr>
          <w:rFonts w:ascii="Arial" w:eastAsia="Arial" w:hAnsi="Arial" w:cs="Arial"/>
          <w:sz w:val="22"/>
          <w:szCs w:val="22"/>
        </w:rPr>
        <w:t>fr</w:t>
      </w:r>
      <w:r w:rsidRPr="00BD17CA">
        <w:rPr>
          <w:rFonts w:ascii="Arial" w:eastAsia="Arial" w:hAnsi="Arial" w:cs="Arial"/>
          <w:sz w:val="22"/>
          <w:szCs w:val="22"/>
        </w:rPr>
        <w:t>a</w:t>
      </w:r>
      <w:r w:rsidRPr="00A039E1">
        <w:rPr>
          <w:rFonts w:ascii="Arial" w:eastAsia="Arial" w:hAnsi="Arial" w:cs="Arial"/>
          <w:sz w:val="22"/>
          <w:szCs w:val="22"/>
        </w:rPr>
        <w:t>s</w:t>
      </w:r>
      <w:r w:rsidRPr="00BD17CA">
        <w:rPr>
          <w:rFonts w:ascii="Arial" w:eastAsia="Arial" w:hAnsi="Arial" w:cs="Arial"/>
          <w:sz w:val="22"/>
          <w:szCs w:val="22"/>
        </w:rPr>
        <w:t>tru</w:t>
      </w:r>
      <w:r w:rsidRPr="00A039E1">
        <w:rPr>
          <w:rFonts w:ascii="Arial" w:eastAsia="Arial" w:hAnsi="Arial" w:cs="Arial"/>
          <w:sz w:val="22"/>
          <w:szCs w:val="22"/>
        </w:rPr>
        <w:t>c</w:t>
      </w:r>
      <w:r w:rsidRPr="00BD17CA">
        <w:rPr>
          <w:rFonts w:ascii="Arial" w:eastAsia="Arial" w:hAnsi="Arial" w:cs="Arial"/>
          <w:sz w:val="22"/>
          <w:szCs w:val="22"/>
        </w:rPr>
        <w:t xml:space="preserve">ture </w:t>
      </w:r>
      <w:r w:rsidRPr="00A039E1">
        <w:rPr>
          <w:rFonts w:ascii="Arial" w:eastAsia="Arial" w:hAnsi="Arial" w:cs="Arial"/>
          <w:sz w:val="22"/>
          <w:szCs w:val="22"/>
        </w:rPr>
        <w:t>P</w:t>
      </w:r>
      <w:r w:rsidRPr="00BD17CA">
        <w:rPr>
          <w:rFonts w:ascii="Arial" w:eastAsia="Arial" w:hAnsi="Arial" w:cs="Arial"/>
          <w:sz w:val="22"/>
          <w:szCs w:val="22"/>
        </w:rPr>
        <w:t>ar</w:t>
      </w:r>
      <w:r w:rsidRPr="00A039E1">
        <w:rPr>
          <w:rFonts w:ascii="Arial" w:eastAsia="Arial" w:hAnsi="Arial" w:cs="Arial"/>
          <w:sz w:val="22"/>
          <w:szCs w:val="22"/>
        </w:rPr>
        <w:t>t</w:t>
      </w:r>
      <w:r w:rsidRPr="00BD17CA">
        <w:rPr>
          <w:rFonts w:ascii="Arial" w:eastAsia="Arial" w:hAnsi="Arial" w:cs="Arial"/>
          <w:sz w:val="22"/>
          <w:szCs w:val="22"/>
        </w:rPr>
        <w:t>n</w:t>
      </w:r>
      <w:r w:rsidRPr="00A039E1">
        <w:rPr>
          <w:rFonts w:ascii="Arial" w:eastAsia="Arial" w:hAnsi="Arial" w:cs="Arial"/>
          <w:sz w:val="22"/>
          <w:szCs w:val="22"/>
        </w:rPr>
        <w:t>er</w:t>
      </w:r>
      <w:r w:rsidRPr="00BD17CA">
        <w:rPr>
          <w:rFonts w:ascii="Arial" w:eastAsia="Arial" w:hAnsi="Arial" w:cs="Arial"/>
          <w:sz w:val="22"/>
          <w:szCs w:val="22"/>
        </w:rPr>
        <w:t>s</w:t>
      </w:r>
      <w:r w:rsidRPr="00A039E1">
        <w:rPr>
          <w:rFonts w:ascii="Arial" w:eastAsia="Arial" w:hAnsi="Arial" w:cs="Arial"/>
          <w:sz w:val="22"/>
          <w:szCs w:val="22"/>
        </w:rPr>
        <w:t xml:space="preserve"> </w:t>
      </w:r>
      <w:r w:rsidRPr="00BD17CA">
        <w:rPr>
          <w:rFonts w:ascii="Arial" w:eastAsia="Arial" w:hAnsi="Arial" w:cs="Arial"/>
          <w:sz w:val="22"/>
          <w:szCs w:val="22"/>
        </w:rPr>
        <w:t>Fu</w:t>
      </w:r>
      <w:r w:rsidRPr="00A039E1">
        <w:rPr>
          <w:rFonts w:ascii="Arial" w:eastAsia="Arial" w:hAnsi="Arial" w:cs="Arial"/>
          <w:sz w:val="22"/>
          <w:szCs w:val="22"/>
        </w:rPr>
        <w:t>n</w:t>
      </w:r>
      <w:r w:rsidRPr="00BD17CA">
        <w:rPr>
          <w:rFonts w:ascii="Arial" w:eastAsia="Arial" w:hAnsi="Arial" w:cs="Arial"/>
          <w:sz w:val="22"/>
          <w:szCs w:val="22"/>
        </w:rPr>
        <w:t>ds</w:t>
      </w:r>
      <w:r w:rsidRPr="00A039E1">
        <w:rPr>
          <w:rFonts w:ascii="Arial" w:eastAsia="Arial" w:hAnsi="Arial" w:cs="Arial"/>
          <w:sz w:val="22"/>
          <w:szCs w:val="22"/>
        </w:rPr>
        <w:t xml:space="preserve"> </w:t>
      </w:r>
      <w:r w:rsidRPr="00BD17CA">
        <w:rPr>
          <w:rFonts w:ascii="Arial" w:eastAsia="Arial" w:hAnsi="Arial" w:cs="Arial"/>
          <w:sz w:val="22"/>
          <w:szCs w:val="22"/>
        </w:rPr>
        <w:t>£</w:t>
      </w:r>
      <w:r w:rsidRPr="00A039E1">
        <w:rPr>
          <w:rFonts w:ascii="Arial" w:eastAsia="Arial" w:hAnsi="Arial" w:cs="Arial"/>
          <w:sz w:val="22"/>
          <w:szCs w:val="22"/>
        </w:rPr>
        <w:t>4.</w:t>
      </w:r>
      <w:r w:rsidR="005A4D7C">
        <w:rPr>
          <w:rFonts w:ascii="Arial" w:eastAsia="Arial" w:hAnsi="Arial" w:cs="Arial"/>
          <w:sz w:val="22"/>
          <w:szCs w:val="22"/>
        </w:rPr>
        <w:t>7</w:t>
      </w:r>
      <w:r w:rsidR="005A4D7C" w:rsidRPr="00BD17CA">
        <w:rPr>
          <w:rFonts w:ascii="Arial" w:eastAsia="Arial" w:hAnsi="Arial" w:cs="Arial"/>
          <w:sz w:val="22"/>
          <w:szCs w:val="22"/>
        </w:rPr>
        <w:t xml:space="preserve"> </w:t>
      </w:r>
      <w:r w:rsidRPr="00A039E1">
        <w:rPr>
          <w:rFonts w:ascii="Arial" w:eastAsia="Arial" w:hAnsi="Arial" w:cs="Arial"/>
          <w:sz w:val="22"/>
          <w:szCs w:val="22"/>
        </w:rPr>
        <w:t>milli</w:t>
      </w:r>
      <w:r w:rsidRPr="00BD17CA">
        <w:rPr>
          <w:rFonts w:ascii="Arial" w:eastAsia="Arial" w:hAnsi="Arial" w:cs="Arial"/>
          <w:sz w:val="22"/>
          <w:szCs w:val="22"/>
        </w:rPr>
        <w:t>o</w:t>
      </w:r>
      <w:r w:rsidRPr="00A039E1">
        <w:rPr>
          <w:rFonts w:ascii="Arial" w:eastAsia="Arial" w:hAnsi="Arial" w:cs="Arial"/>
          <w:sz w:val="22"/>
          <w:szCs w:val="22"/>
        </w:rPr>
        <w:t>n</w:t>
      </w:r>
      <w:r w:rsidRPr="00BD17CA">
        <w:rPr>
          <w:rFonts w:ascii="Arial" w:eastAsia="Arial" w:hAnsi="Arial" w:cs="Arial"/>
          <w:sz w:val="22"/>
          <w:szCs w:val="22"/>
        </w:rPr>
        <w:t xml:space="preserve">, </w:t>
      </w:r>
      <w:r w:rsidRPr="00A039E1">
        <w:rPr>
          <w:rFonts w:ascii="Arial" w:eastAsia="Arial" w:hAnsi="Arial" w:cs="Arial"/>
          <w:sz w:val="22"/>
          <w:szCs w:val="22"/>
        </w:rPr>
        <w:t xml:space="preserve"> </w:t>
      </w:r>
      <w:r w:rsidR="005A4D7C" w:rsidRPr="005A4D7C">
        <w:rPr>
          <w:rFonts w:ascii="Arial" w:eastAsia="Arial" w:hAnsi="Arial" w:cs="Arial"/>
          <w:sz w:val="22"/>
          <w:szCs w:val="22"/>
        </w:rPr>
        <w:t>The fund disposed £79.0m of pooled equity assets managed by AXA Investment Managers and wholly disinvested assets of £102m in</w:t>
      </w:r>
      <w:r w:rsidR="005A4D7C">
        <w:rPr>
          <w:rFonts w:ascii="Arial" w:eastAsia="Arial" w:hAnsi="Arial" w:cs="Arial"/>
          <w:sz w:val="22"/>
          <w:szCs w:val="22"/>
        </w:rPr>
        <w:t xml:space="preserve"> the</w:t>
      </w:r>
      <w:r w:rsidR="005A4D7C" w:rsidRPr="005A4D7C">
        <w:rPr>
          <w:rFonts w:ascii="Arial" w:eastAsia="Arial" w:hAnsi="Arial" w:cs="Arial"/>
          <w:sz w:val="22"/>
          <w:szCs w:val="22"/>
        </w:rPr>
        <w:t xml:space="preserve"> pooled fixed interest mandate managed by Wellington Management Fund. Sale transactions in cash and cash equivalents from Money Market Funds </w:t>
      </w:r>
      <w:r w:rsidR="00FB39C3">
        <w:rPr>
          <w:rFonts w:ascii="Arial" w:eastAsia="Arial" w:hAnsi="Arial" w:cs="Arial"/>
          <w:sz w:val="22"/>
          <w:szCs w:val="22"/>
        </w:rPr>
        <w:t>was</w:t>
      </w:r>
      <w:r w:rsidR="005A4D7C" w:rsidRPr="005A4D7C">
        <w:rPr>
          <w:rFonts w:ascii="Arial" w:eastAsia="Arial" w:hAnsi="Arial" w:cs="Arial"/>
          <w:sz w:val="22"/>
          <w:szCs w:val="22"/>
        </w:rPr>
        <w:t xml:space="preserve"> £16.9m</w:t>
      </w:r>
      <w:r w:rsidR="005A4D7C">
        <w:rPr>
          <w:rFonts w:ascii="Arial" w:eastAsia="Arial" w:hAnsi="Arial" w:cs="Arial"/>
          <w:sz w:val="22"/>
          <w:szCs w:val="22"/>
        </w:rPr>
        <w:t xml:space="preserve">. </w:t>
      </w:r>
      <w:r w:rsidRPr="00A039E1">
        <w:rPr>
          <w:rFonts w:ascii="Arial" w:eastAsia="Arial" w:hAnsi="Arial" w:cs="Arial"/>
          <w:sz w:val="22"/>
          <w:szCs w:val="22"/>
        </w:rPr>
        <w:t>Al</w:t>
      </w:r>
      <w:r w:rsidRPr="00BD17CA">
        <w:rPr>
          <w:rFonts w:ascii="Arial" w:eastAsia="Arial" w:hAnsi="Arial" w:cs="Arial"/>
          <w:sz w:val="22"/>
          <w:szCs w:val="22"/>
        </w:rPr>
        <w:t>l</w:t>
      </w:r>
      <w:r w:rsidRPr="00A039E1">
        <w:rPr>
          <w:rFonts w:ascii="Arial" w:eastAsia="Arial" w:hAnsi="Arial" w:cs="Arial"/>
          <w:sz w:val="22"/>
          <w:szCs w:val="22"/>
        </w:rPr>
        <w:t xml:space="preserve"> </w:t>
      </w:r>
      <w:r w:rsidRPr="00BD17CA">
        <w:rPr>
          <w:rFonts w:ascii="Arial" w:eastAsia="Arial" w:hAnsi="Arial" w:cs="Arial"/>
          <w:sz w:val="22"/>
          <w:szCs w:val="22"/>
        </w:rPr>
        <w:t>ot</w:t>
      </w:r>
      <w:r w:rsidRPr="00A039E1">
        <w:rPr>
          <w:rFonts w:ascii="Arial" w:eastAsia="Arial" w:hAnsi="Arial" w:cs="Arial"/>
          <w:sz w:val="22"/>
          <w:szCs w:val="22"/>
        </w:rPr>
        <w:t>h</w:t>
      </w:r>
      <w:r w:rsidRPr="00BD17CA">
        <w:rPr>
          <w:rFonts w:ascii="Arial" w:eastAsia="Arial" w:hAnsi="Arial" w:cs="Arial"/>
          <w:sz w:val="22"/>
          <w:szCs w:val="22"/>
        </w:rPr>
        <w:t>er</w:t>
      </w:r>
      <w:r w:rsidRPr="00A039E1">
        <w:rPr>
          <w:rFonts w:ascii="Arial" w:eastAsia="Arial" w:hAnsi="Arial" w:cs="Arial"/>
          <w:sz w:val="22"/>
          <w:szCs w:val="22"/>
        </w:rPr>
        <w:t xml:space="preserve"> purc</w:t>
      </w:r>
      <w:r w:rsidRPr="00BD17CA">
        <w:rPr>
          <w:rFonts w:ascii="Arial" w:eastAsia="Arial" w:hAnsi="Arial" w:cs="Arial"/>
          <w:sz w:val="22"/>
          <w:szCs w:val="22"/>
        </w:rPr>
        <w:t>h</w:t>
      </w:r>
      <w:r w:rsidRPr="00A039E1">
        <w:rPr>
          <w:rFonts w:ascii="Arial" w:eastAsia="Arial" w:hAnsi="Arial" w:cs="Arial"/>
          <w:sz w:val="22"/>
          <w:szCs w:val="22"/>
        </w:rPr>
        <w:t>as</w:t>
      </w:r>
      <w:r w:rsidRPr="00BD17CA">
        <w:rPr>
          <w:rFonts w:ascii="Arial" w:eastAsia="Arial" w:hAnsi="Arial" w:cs="Arial"/>
          <w:sz w:val="22"/>
          <w:szCs w:val="22"/>
        </w:rPr>
        <w:t>es</w:t>
      </w:r>
      <w:r w:rsidRPr="00A039E1">
        <w:rPr>
          <w:rFonts w:ascii="Arial" w:eastAsia="Arial" w:hAnsi="Arial" w:cs="Arial"/>
          <w:sz w:val="22"/>
          <w:szCs w:val="22"/>
        </w:rPr>
        <w:t xml:space="preserve"> </w:t>
      </w:r>
      <w:r w:rsidRPr="00BD17CA">
        <w:rPr>
          <w:rFonts w:ascii="Arial" w:eastAsia="Arial" w:hAnsi="Arial" w:cs="Arial"/>
          <w:sz w:val="22"/>
          <w:szCs w:val="22"/>
        </w:rPr>
        <w:t>a</w:t>
      </w:r>
      <w:r w:rsidRPr="00A039E1">
        <w:rPr>
          <w:rFonts w:ascii="Arial" w:eastAsia="Arial" w:hAnsi="Arial" w:cs="Arial"/>
          <w:sz w:val="22"/>
          <w:szCs w:val="22"/>
        </w:rPr>
        <w:t>n</w:t>
      </w:r>
      <w:r w:rsidRPr="00BD17CA">
        <w:rPr>
          <w:rFonts w:ascii="Arial" w:eastAsia="Arial" w:hAnsi="Arial" w:cs="Arial"/>
          <w:sz w:val="22"/>
          <w:szCs w:val="22"/>
        </w:rPr>
        <w:t>d</w:t>
      </w:r>
      <w:r w:rsidRPr="00A039E1">
        <w:rPr>
          <w:rFonts w:ascii="Arial" w:eastAsia="Arial" w:hAnsi="Arial" w:cs="Arial"/>
          <w:sz w:val="22"/>
          <w:szCs w:val="22"/>
        </w:rPr>
        <w:t xml:space="preserve"> s</w:t>
      </w:r>
      <w:r w:rsidRPr="00BD17CA">
        <w:rPr>
          <w:rFonts w:ascii="Arial" w:eastAsia="Arial" w:hAnsi="Arial" w:cs="Arial"/>
          <w:sz w:val="22"/>
          <w:szCs w:val="22"/>
        </w:rPr>
        <w:t>a</w:t>
      </w:r>
      <w:r w:rsidRPr="00A039E1">
        <w:rPr>
          <w:rFonts w:ascii="Arial" w:eastAsia="Arial" w:hAnsi="Arial" w:cs="Arial"/>
          <w:sz w:val="22"/>
          <w:szCs w:val="22"/>
        </w:rPr>
        <w:t>l</w:t>
      </w:r>
      <w:r w:rsidRPr="00BD17CA">
        <w:rPr>
          <w:rFonts w:ascii="Arial" w:eastAsia="Arial" w:hAnsi="Arial" w:cs="Arial"/>
          <w:sz w:val="22"/>
          <w:szCs w:val="22"/>
        </w:rPr>
        <w:t>es</w:t>
      </w:r>
      <w:r w:rsidRPr="00A039E1">
        <w:rPr>
          <w:rFonts w:ascii="Arial" w:eastAsia="Arial" w:hAnsi="Arial" w:cs="Arial"/>
          <w:sz w:val="22"/>
          <w:szCs w:val="22"/>
        </w:rPr>
        <w:t xml:space="preserve"> r</w:t>
      </w:r>
      <w:r w:rsidRPr="00BD17CA">
        <w:rPr>
          <w:rFonts w:ascii="Arial" w:eastAsia="Arial" w:hAnsi="Arial" w:cs="Arial"/>
          <w:sz w:val="22"/>
          <w:szCs w:val="22"/>
        </w:rPr>
        <w:t>e</w:t>
      </w:r>
      <w:r w:rsidRPr="00A039E1">
        <w:rPr>
          <w:rFonts w:ascii="Arial" w:eastAsia="Arial" w:hAnsi="Arial" w:cs="Arial"/>
          <w:sz w:val="22"/>
          <w:szCs w:val="22"/>
        </w:rPr>
        <w:t>l</w:t>
      </w:r>
      <w:r w:rsidRPr="00BD17CA">
        <w:rPr>
          <w:rFonts w:ascii="Arial" w:eastAsia="Arial" w:hAnsi="Arial" w:cs="Arial"/>
          <w:sz w:val="22"/>
          <w:szCs w:val="22"/>
        </w:rPr>
        <w:t>ate</w:t>
      </w:r>
      <w:r w:rsidRPr="00A039E1">
        <w:rPr>
          <w:rFonts w:ascii="Arial" w:eastAsia="Arial" w:hAnsi="Arial" w:cs="Arial"/>
          <w:sz w:val="22"/>
          <w:szCs w:val="22"/>
        </w:rPr>
        <w:t xml:space="preserve"> </w:t>
      </w:r>
      <w:r w:rsidRPr="00BD17CA">
        <w:rPr>
          <w:rFonts w:ascii="Arial" w:eastAsia="Arial" w:hAnsi="Arial" w:cs="Arial"/>
          <w:sz w:val="22"/>
          <w:szCs w:val="22"/>
        </w:rPr>
        <w:t>to</w:t>
      </w:r>
      <w:r w:rsidRPr="00A039E1">
        <w:rPr>
          <w:rFonts w:ascii="Arial" w:eastAsia="Arial" w:hAnsi="Arial" w:cs="Arial"/>
          <w:sz w:val="22"/>
          <w:szCs w:val="22"/>
        </w:rPr>
        <w:t xml:space="preserve"> </w:t>
      </w:r>
      <w:r w:rsidRPr="00BD17CA">
        <w:rPr>
          <w:rFonts w:ascii="Arial" w:eastAsia="Arial" w:hAnsi="Arial" w:cs="Arial"/>
          <w:sz w:val="22"/>
          <w:szCs w:val="22"/>
        </w:rPr>
        <w:t>tra</w:t>
      </w:r>
      <w:r w:rsidRPr="00A039E1">
        <w:rPr>
          <w:rFonts w:ascii="Arial" w:eastAsia="Arial" w:hAnsi="Arial" w:cs="Arial"/>
          <w:sz w:val="22"/>
          <w:szCs w:val="22"/>
        </w:rPr>
        <w:t>ns</w:t>
      </w:r>
      <w:r w:rsidRPr="00BD17CA">
        <w:rPr>
          <w:rFonts w:ascii="Arial" w:eastAsia="Arial" w:hAnsi="Arial" w:cs="Arial"/>
          <w:sz w:val="22"/>
          <w:szCs w:val="22"/>
        </w:rPr>
        <w:t>a</w:t>
      </w:r>
      <w:r w:rsidRPr="00A039E1">
        <w:rPr>
          <w:rFonts w:ascii="Arial" w:eastAsia="Arial" w:hAnsi="Arial" w:cs="Arial"/>
          <w:sz w:val="22"/>
          <w:szCs w:val="22"/>
        </w:rPr>
        <w:t>c</w:t>
      </w:r>
      <w:r w:rsidRPr="00BD17CA">
        <w:rPr>
          <w:rFonts w:ascii="Arial" w:eastAsia="Arial" w:hAnsi="Arial" w:cs="Arial"/>
          <w:sz w:val="22"/>
          <w:szCs w:val="22"/>
        </w:rPr>
        <w:t>t</w:t>
      </w:r>
      <w:r w:rsidRPr="00A039E1">
        <w:rPr>
          <w:rFonts w:ascii="Arial" w:eastAsia="Arial" w:hAnsi="Arial" w:cs="Arial"/>
          <w:sz w:val="22"/>
          <w:szCs w:val="22"/>
        </w:rPr>
        <w:t>i</w:t>
      </w:r>
      <w:r w:rsidRPr="00BD17CA">
        <w:rPr>
          <w:rFonts w:ascii="Arial" w:eastAsia="Arial" w:hAnsi="Arial" w:cs="Arial"/>
          <w:sz w:val="22"/>
          <w:szCs w:val="22"/>
        </w:rPr>
        <w:t>o</w:t>
      </w:r>
      <w:r w:rsidRPr="00A039E1">
        <w:rPr>
          <w:rFonts w:ascii="Arial" w:eastAsia="Arial" w:hAnsi="Arial" w:cs="Arial"/>
          <w:sz w:val="22"/>
          <w:szCs w:val="22"/>
        </w:rPr>
        <w:t>n</w:t>
      </w:r>
      <w:r w:rsidRPr="00BD17CA">
        <w:rPr>
          <w:rFonts w:ascii="Arial" w:eastAsia="Arial" w:hAnsi="Arial" w:cs="Arial"/>
          <w:sz w:val="22"/>
          <w:szCs w:val="22"/>
        </w:rPr>
        <w:t>s</w:t>
      </w:r>
      <w:r w:rsidRPr="00A039E1">
        <w:rPr>
          <w:rFonts w:ascii="Arial" w:eastAsia="Arial" w:hAnsi="Arial" w:cs="Arial"/>
          <w:sz w:val="22"/>
          <w:szCs w:val="22"/>
        </w:rPr>
        <w:t xml:space="preserve"> m</w:t>
      </w:r>
      <w:r w:rsidRPr="00BD17CA">
        <w:rPr>
          <w:rFonts w:ascii="Arial" w:eastAsia="Arial" w:hAnsi="Arial" w:cs="Arial"/>
          <w:sz w:val="22"/>
          <w:szCs w:val="22"/>
        </w:rPr>
        <w:t>a</w:t>
      </w:r>
      <w:r w:rsidRPr="00A039E1">
        <w:rPr>
          <w:rFonts w:ascii="Arial" w:eastAsia="Arial" w:hAnsi="Arial" w:cs="Arial"/>
          <w:sz w:val="22"/>
          <w:szCs w:val="22"/>
        </w:rPr>
        <w:t>d</w:t>
      </w:r>
      <w:r w:rsidRPr="00BD17CA">
        <w:rPr>
          <w:rFonts w:ascii="Arial" w:eastAsia="Arial" w:hAnsi="Arial" w:cs="Arial"/>
          <w:sz w:val="22"/>
          <w:szCs w:val="22"/>
        </w:rPr>
        <w:t>e</w:t>
      </w:r>
      <w:r w:rsidRPr="00A039E1">
        <w:rPr>
          <w:rFonts w:ascii="Arial" w:eastAsia="Arial" w:hAnsi="Arial" w:cs="Arial"/>
          <w:sz w:val="22"/>
          <w:szCs w:val="22"/>
        </w:rPr>
        <w:t xml:space="preserve"> b</w:t>
      </w:r>
      <w:r w:rsidRPr="00BD17CA">
        <w:rPr>
          <w:rFonts w:ascii="Arial" w:eastAsia="Arial" w:hAnsi="Arial" w:cs="Arial"/>
          <w:sz w:val="22"/>
          <w:szCs w:val="22"/>
        </w:rPr>
        <w:t>y</w:t>
      </w:r>
      <w:r w:rsidRPr="00A039E1">
        <w:rPr>
          <w:rFonts w:ascii="Arial" w:eastAsia="Arial" w:hAnsi="Arial" w:cs="Arial"/>
          <w:sz w:val="22"/>
          <w:szCs w:val="22"/>
        </w:rPr>
        <w:t xml:space="preserve"> </w:t>
      </w:r>
      <w:r w:rsidRPr="00BD17CA">
        <w:rPr>
          <w:rFonts w:ascii="Arial" w:eastAsia="Arial" w:hAnsi="Arial" w:cs="Arial"/>
          <w:sz w:val="22"/>
          <w:szCs w:val="22"/>
        </w:rPr>
        <w:t>t</w:t>
      </w:r>
      <w:r w:rsidRPr="00A039E1">
        <w:rPr>
          <w:rFonts w:ascii="Arial" w:eastAsia="Arial" w:hAnsi="Arial" w:cs="Arial"/>
          <w:sz w:val="22"/>
          <w:szCs w:val="22"/>
        </w:rPr>
        <w:t>h</w:t>
      </w:r>
      <w:r w:rsidRPr="00BD17CA">
        <w:rPr>
          <w:rFonts w:ascii="Arial" w:eastAsia="Arial" w:hAnsi="Arial" w:cs="Arial"/>
          <w:sz w:val="22"/>
          <w:szCs w:val="22"/>
        </w:rPr>
        <w:t>e</w:t>
      </w:r>
      <w:r w:rsidRPr="00A039E1">
        <w:rPr>
          <w:rFonts w:ascii="Arial" w:eastAsia="Arial" w:hAnsi="Arial" w:cs="Arial"/>
          <w:sz w:val="22"/>
          <w:szCs w:val="22"/>
        </w:rPr>
        <w:t xml:space="preserve"> I</w:t>
      </w:r>
      <w:r w:rsidRPr="00BD17CA">
        <w:rPr>
          <w:rFonts w:ascii="Arial" w:eastAsia="Arial" w:hAnsi="Arial" w:cs="Arial"/>
          <w:sz w:val="22"/>
          <w:szCs w:val="22"/>
        </w:rPr>
        <w:t>n</w:t>
      </w:r>
      <w:r w:rsidRPr="00A039E1">
        <w:rPr>
          <w:rFonts w:ascii="Arial" w:eastAsia="Arial" w:hAnsi="Arial" w:cs="Arial"/>
          <w:sz w:val="22"/>
          <w:szCs w:val="22"/>
        </w:rPr>
        <w:t>v</w:t>
      </w:r>
      <w:r w:rsidRPr="00BD17CA">
        <w:rPr>
          <w:rFonts w:ascii="Arial" w:eastAsia="Arial" w:hAnsi="Arial" w:cs="Arial"/>
          <w:sz w:val="22"/>
          <w:szCs w:val="22"/>
        </w:rPr>
        <w:t>e</w:t>
      </w:r>
      <w:r w:rsidRPr="00A039E1">
        <w:rPr>
          <w:rFonts w:ascii="Arial" w:eastAsia="Arial" w:hAnsi="Arial" w:cs="Arial"/>
          <w:sz w:val="22"/>
          <w:szCs w:val="22"/>
        </w:rPr>
        <w:t>s</w:t>
      </w:r>
      <w:r w:rsidRPr="00BD17CA">
        <w:rPr>
          <w:rFonts w:ascii="Arial" w:eastAsia="Arial" w:hAnsi="Arial" w:cs="Arial"/>
          <w:sz w:val="22"/>
          <w:szCs w:val="22"/>
        </w:rPr>
        <w:t>t</w:t>
      </w:r>
      <w:r w:rsidRPr="00A039E1">
        <w:rPr>
          <w:rFonts w:ascii="Arial" w:eastAsia="Arial" w:hAnsi="Arial" w:cs="Arial"/>
          <w:sz w:val="22"/>
          <w:szCs w:val="22"/>
        </w:rPr>
        <w:t>m</w:t>
      </w:r>
      <w:r w:rsidRPr="00BD17CA">
        <w:rPr>
          <w:rFonts w:ascii="Arial" w:eastAsia="Arial" w:hAnsi="Arial" w:cs="Arial"/>
          <w:sz w:val="22"/>
          <w:szCs w:val="22"/>
        </w:rPr>
        <w:t>e</w:t>
      </w:r>
      <w:r w:rsidRPr="00A039E1">
        <w:rPr>
          <w:rFonts w:ascii="Arial" w:eastAsia="Arial" w:hAnsi="Arial" w:cs="Arial"/>
          <w:sz w:val="22"/>
          <w:szCs w:val="22"/>
        </w:rPr>
        <w:t>n</w:t>
      </w:r>
      <w:r w:rsidRPr="00BD17CA">
        <w:rPr>
          <w:rFonts w:ascii="Arial" w:eastAsia="Arial" w:hAnsi="Arial" w:cs="Arial"/>
          <w:sz w:val="22"/>
          <w:szCs w:val="22"/>
        </w:rPr>
        <w:t>t</w:t>
      </w:r>
      <w:r w:rsidRPr="00A039E1">
        <w:rPr>
          <w:rFonts w:ascii="Arial" w:eastAsia="Arial" w:hAnsi="Arial" w:cs="Arial"/>
          <w:sz w:val="22"/>
          <w:szCs w:val="22"/>
        </w:rPr>
        <w:t xml:space="preserve"> </w:t>
      </w:r>
      <w:r w:rsidRPr="00BD17CA">
        <w:rPr>
          <w:rFonts w:ascii="Arial" w:eastAsia="Arial" w:hAnsi="Arial" w:cs="Arial"/>
          <w:sz w:val="22"/>
          <w:szCs w:val="22"/>
        </w:rPr>
        <w:t>M</w:t>
      </w:r>
      <w:r w:rsidRPr="00A039E1">
        <w:rPr>
          <w:rFonts w:ascii="Arial" w:eastAsia="Arial" w:hAnsi="Arial" w:cs="Arial"/>
          <w:sz w:val="22"/>
          <w:szCs w:val="22"/>
        </w:rPr>
        <w:t>an</w:t>
      </w:r>
      <w:r w:rsidRPr="00BD17CA">
        <w:rPr>
          <w:rFonts w:ascii="Arial" w:eastAsia="Arial" w:hAnsi="Arial" w:cs="Arial"/>
          <w:sz w:val="22"/>
          <w:szCs w:val="22"/>
        </w:rPr>
        <w:t>a</w:t>
      </w:r>
      <w:r w:rsidRPr="00A039E1">
        <w:rPr>
          <w:rFonts w:ascii="Arial" w:eastAsia="Arial" w:hAnsi="Arial" w:cs="Arial"/>
          <w:sz w:val="22"/>
          <w:szCs w:val="22"/>
        </w:rPr>
        <w:t>g</w:t>
      </w:r>
      <w:r w:rsidRPr="00BD17CA">
        <w:rPr>
          <w:rFonts w:ascii="Arial" w:eastAsia="Arial" w:hAnsi="Arial" w:cs="Arial"/>
          <w:sz w:val="22"/>
          <w:szCs w:val="22"/>
        </w:rPr>
        <w:t>ers</w:t>
      </w:r>
      <w:r w:rsidRPr="00A039E1">
        <w:rPr>
          <w:rFonts w:ascii="Arial" w:eastAsia="Arial" w:hAnsi="Arial" w:cs="Arial"/>
          <w:sz w:val="22"/>
          <w:szCs w:val="22"/>
        </w:rPr>
        <w:t xml:space="preserve"> wit</w:t>
      </w:r>
      <w:r w:rsidRPr="00BD17CA">
        <w:rPr>
          <w:rFonts w:ascii="Arial" w:eastAsia="Arial" w:hAnsi="Arial" w:cs="Arial"/>
          <w:sz w:val="22"/>
          <w:szCs w:val="22"/>
        </w:rPr>
        <w:t>h</w:t>
      </w:r>
      <w:r w:rsidRPr="00A039E1">
        <w:rPr>
          <w:rFonts w:ascii="Arial" w:eastAsia="Arial" w:hAnsi="Arial" w:cs="Arial"/>
          <w:sz w:val="22"/>
          <w:szCs w:val="22"/>
        </w:rPr>
        <w:t>i</w:t>
      </w:r>
      <w:r w:rsidRPr="00BD17CA">
        <w:rPr>
          <w:rFonts w:ascii="Arial" w:eastAsia="Arial" w:hAnsi="Arial" w:cs="Arial"/>
          <w:sz w:val="22"/>
          <w:szCs w:val="22"/>
        </w:rPr>
        <w:t>n the</w:t>
      </w:r>
      <w:r w:rsidRPr="00A039E1">
        <w:rPr>
          <w:rFonts w:ascii="Arial" w:eastAsia="Arial" w:hAnsi="Arial" w:cs="Arial"/>
          <w:sz w:val="22"/>
          <w:szCs w:val="22"/>
        </w:rPr>
        <w:t xml:space="preserve"> p</w:t>
      </w:r>
      <w:r w:rsidRPr="00BD17CA">
        <w:rPr>
          <w:rFonts w:ascii="Arial" w:eastAsia="Arial" w:hAnsi="Arial" w:cs="Arial"/>
          <w:sz w:val="22"/>
          <w:szCs w:val="22"/>
        </w:rPr>
        <w:t>ort</w:t>
      </w:r>
      <w:r w:rsidRPr="00A039E1">
        <w:rPr>
          <w:rFonts w:ascii="Arial" w:eastAsia="Arial" w:hAnsi="Arial" w:cs="Arial"/>
          <w:sz w:val="22"/>
          <w:szCs w:val="22"/>
        </w:rPr>
        <w:t>f</w:t>
      </w:r>
      <w:r w:rsidRPr="00BD17CA">
        <w:rPr>
          <w:rFonts w:ascii="Arial" w:eastAsia="Arial" w:hAnsi="Arial" w:cs="Arial"/>
          <w:sz w:val="22"/>
          <w:szCs w:val="22"/>
        </w:rPr>
        <w:t>o</w:t>
      </w:r>
      <w:r w:rsidRPr="00A039E1">
        <w:rPr>
          <w:rFonts w:ascii="Arial" w:eastAsia="Arial" w:hAnsi="Arial" w:cs="Arial"/>
          <w:sz w:val="22"/>
          <w:szCs w:val="22"/>
        </w:rPr>
        <w:t>li</w:t>
      </w:r>
      <w:r w:rsidRPr="00BD17CA">
        <w:rPr>
          <w:rFonts w:ascii="Arial" w:eastAsia="Arial" w:hAnsi="Arial" w:cs="Arial"/>
          <w:sz w:val="22"/>
          <w:szCs w:val="22"/>
        </w:rPr>
        <w:t>os</w:t>
      </w:r>
      <w:r w:rsidRPr="00A039E1">
        <w:rPr>
          <w:rFonts w:ascii="Arial" w:eastAsia="Arial" w:hAnsi="Arial" w:cs="Arial"/>
          <w:sz w:val="22"/>
          <w:szCs w:val="22"/>
        </w:rPr>
        <w:t xml:space="preserve"> </w:t>
      </w:r>
      <w:r w:rsidRPr="00BD17CA">
        <w:rPr>
          <w:rFonts w:ascii="Arial" w:eastAsia="Arial" w:hAnsi="Arial" w:cs="Arial"/>
          <w:sz w:val="22"/>
          <w:szCs w:val="22"/>
        </w:rPr>
        <w:t>u</w:t>
      </w:r>
      <w:r w:rsidRPr="00A039E1">
        <w:rPr>
          <w:rFonts w:ascii="Arial" w:eastAsia="Arial" w:hAnsi="Arial" w:cs="Arial"/>
          <w:sz w:val="22"/>
          <w:szCs w:val="22"/>
        </w:rPr>
        <w:t>nd</w:t>
      </w:r>
      <w:r w:rsidRPr="00BD17CA">
        <w:rPr>
          <w:rFonts w:ascii="Arial" w:eastAsia="Arial" w:hAnsi="Arial" w:cs="Arial"/>
          <w:sz w:val="22"/>
          <w:szCs w:val="22"/>
        </w:rPr>
        <w:t>er</w:t>
      </w:r>
      <w:r w:rsidRPr="00A039E1">
        <w:rPr>
          <w:rFonts w:ascii="Arial" w:eastAsia="Arial" w:hAnsi="Arial" w:cs="Arial"/>
          <w:sz w:val="22"/>
          <w:szCs w:val="22"/>
        </w:rPr>
        <w:t xml:space="preserve"> </w:t>
      </w:r>
      <w:r w:rsidRPr="00BD17CA">
        <w:rPr>
          <w:rFonts w:ascii="Arial" w:eastAsia="Arial" w:hAnsi="Arial" w:cs="Arial"/>
          <w:sz w:val="22"/>
          <w:szCs w:val="22"/>
        </w:rPr>
        <w:t>th</w:t>
      </w:r>
      <w:r w:rsidRPr="00A039E1">
        <w:rPr>
          <w:rFonts w:ascii="Arial" w:eastAsia="Arial" w:hAnsi="Arial" w:cs="Arial"/>
          <w:sz w:val="22"/>
          <w:szCs w:val="22"/>
        </w:rPr>
        <w:t>ei</w:t>
      </w:r>
      <w:r w:rsidRPr="00BD17CA">
        <w:rPr>
          <w:rFonts w:ascii="Arial" w:eastAsia="Arial" w:hAnsi="Arial" w:cs="Arial"/>
          <w:sz w:val="22"/>
          <w:szCs w:val="22"/>
        </w:rPr>
        <w:t>r</w:t>
      </w:r>
      <w:r w:rsidRPr="00A039E1">
        <w:rPr>
          <w:rFonts w:ascii="Arial" w:eastAsia="Arial" w:hAnsi="Arial" w:cs="Arial"/>
          <w:sz w:val="22"/>
          <w:szCs w:val="22"/>
        </w:rPr>
        <w:t xml:space="preserve"> m</w:t>
      </w:r>
      <w:r w:rsidRPr="00BD17CA">
        <w:rPr>
          <w:rFonts w:ascii="Arial" w:eastAsia="Arial" w:hAnsi="Arial" w:cs="Arial"/>
          <w:sz w:val="22"/>
          <w:szCs w:val="22"/>
        </w:rPr>
        <w:t>a</w:t>
      </w:r>
      <w:r w:rsidRPr="00A039E1">
        <w:rPr>
          <w:rFonts w:ascii="Arial" w:eastAsia="Arial" w:hAnsi="Arial" w:cs="Arial"/>
          <w:sz w:val="22"/>
          <w:szCs w:val="22"/>
        </w:rPr>
        <w:t>n</w:t>
      </w:r>
      <w:r w:rsidRPr="00BD17CA">
        <w:rPr>
          <w:rFonts w:ascii="Arial" w:eastAsia="Arial" w:hAnsi="Arial" w:cs="Arial"/>
          <w:sz w:val="22"/>
          <w:szCs w:val="22"/>
        </w:rPr>
        <w:t>a</w:t>
      </w:r>
      <w:r w:rsidRPr="00A039E1">
        <w:rPr>
          <w:rFonts w:ascii="Arial" w:eastAsia="Arial" w:hAnsi="Arial" w:cs="Arial"/>
          <w:sz w:val="22"/>
          <w:szCs w:val="22"/>
        </w:rPr>
        <w:t>g</w:t>
      </w:r>
      <w:r w:rsidRPr="00BD17CA">
        <w:rPr>
          <w:rFonts w:ascii="Arial" w:eastAsia="Arial" w:hAnsi="Arial" w:cs="Arial"/>
          <w:sz w:val="22"/>
          <w:szCs w:val="22"/>
        </w:rPr>
        <w:t>e</w:t>
      </w:r>
      <w:r w:rsidRPr="00A039E1">
        <w:rPr>
          <w:rFonts w:ascii="Arial" w:eastAsia="Arial" w:hAnsi="Arial" w:cs="Arial"/>
          <w:sz w:val="22"/>
          <w:szCs w:val="22"/>
        </w:rPr>
        <w:t>m</w:t>
      </w:r>
      <w:r w:rsidRPr="00BD17CA">
        <w:rPr>
          <w:rFonts w:ascii="Arial" w:eastAsia="Arial" w:hAnsi="Arial" w:cs="Arial"/>
          <w:sz w:val="22"/>
          <w:szCs w:val="22"/>
        </w:rPr>
        <w:t>e</w:t>
      </w:r>
      <w:r w:rsidRPr="00A039E1">
        <w:rPr>
          <w:rFonts w:ascii="Arial" w:eastAsia="Arial" w:hAnsi="Arial" w:cs="Arial"/>
          <w:sz w:val="22"/>
          <w:szCs w:val="22"/>
        </w:rPr>
        <w:t>n</w:t>
      </w:r>
      <w:r w:rsidRPr="00BD17CA">
        <w:rPr>
          <w:rFonts w:ascii="Arial" w:eastAsia="Arial" w:hAnsi="Arial" w:cs="Arial"/>
          <w:sz w:val="22"/>
          <w:szCs w:val="22"/>
        </w:rPr>
        <w:t>t.</w:t>
      </w:r>
    </w:p>
    <w:p w14:paraId="391D0B89" w14:textId="77777777" w:rsidR="009C7422" w:rsidRPr="00A039E1" w:rsidRDefault="009C7422" w:rsidP="00A039E1">
      <w:pPr>
        <w:spacing w:after="200" w:line="276" w:lineRule="auto"/>
        <w:ind w:right="74"/>
        <w:jc w:val="both"/>
        <w:rPr>
          <w:rFonts w:ascii="Arial" w:eastAsia="Arial" w:hAnsi="Arial" w:cs="Arial"/>
          <w:sz w:val="22"/>
          <w:szCs w:val="22"/>
        </w:rPr>
      </w:pPr>
    </w:p>
    <w:p w14:paraId="23E8BCA3" w14:textId="77777777" w:rsidR="00A039E1" w:rsidRDefault="00A039E1">
      <w:pPr>
        <w:rPr>
          <w:rFonts w:ascii="Arial" w:eastAsia="Arial" w:hAnsi="Arial" w:cs="Arial"/>
          <w:b/>
          <w:bCs/>
          <w:sz w:val="22"/>
          <w:szCs w:val="22"/>
        </w:rPr>
      </w:pPr>
      <w:r>
        <w:rPr>
          <w:rFonts w:ascii="Arial" w:eastAsia="Arial" w:hAnsi="Arial" w:cs="Arial"/>
          <w:b/>
          <w:bCs/>
          <w:sz w:val="22"/>
          <w:szCs w:val="22"/>
        </w:rPr>
        <w:br w:type="page"/>
      </w:r>
    </w:p>
    <w:p w14:paraId="771AFE94" w14:textId="104E7776" w:rsidR="00A039E1" w:rsidRDefault="001706EB" w:rsidP="00A039E1">
      <w:pPr>
        <w:spacing w:after="200" w:line="276" w:lineRule="auto"/>
        <w:ind w:right="74"/>
        <w:jc w:val="both"/>
        <w:rPr>
          <w:rFonts w:ascii="Arial" w:eastAsia="Arial" w:hAnsi="Arial" w:cs="Arial"/>
          <w:b/>
          <w:bCs/>
          <w:sz w:val="22"/>
          <w:szCs w:val="22"/>
        </w:rPr>
      </w:pPr>
      <w:r w:rsidRPr="00A039E1">
        <w:rPr>
          <w:rFonts w:ascii="Arial" w:eastAsia="Arial" w:hAnsi="Arial" w:cs="Arial"/>
          <w:b/>
          <w:bCs/>
          <w:sz w:val="22"/>
          <w:szCs w:val="22"/>
        </w:rPr>
        <w:lastRenderedPageBreak/>
        <w:t>NOTE 1</w:t>
      </w:r>
      <w:r w:rsidR="00247116">
        <w:rPr>
          <w:rFonts w:ascii="Arial" w:eastAsia="Arial" w:hAnsi="Arial" w:cs="Arial"/>
          <w:b/>
          <w:bCs/>
          <w:sz w:val="22"/>
          <w:szCs w:val="22"/>
        </w:rPr>
        <w:t>4</w:t>
      </w:r>
      <w:r w:rsidRPr="00A039E1">
        <w:rPr>
          <w:rFonts w:ascii="Arial" w:eastAsia="Arial" w:hAnsi="Arial" w:cs="Arial"/>
          <w:b/>
          <w:bCs/>
          <w:sz w:val="22"/>
          <w:szCs w:val="22"/>
        </w:rPr>
        <w:t xml:space="preserve">: FAIR </w:t>
      </w:r>
      <w:r w:rsidR="00942374">
        <w:rPr>
          <w:rFonts w:ascii="Arial" w:eastAsia="Arial" w:hAnsi="Arial" w:cs="Arial"/>
          <w:b/>
          <w:bCs/>
          <w:sz w:val="22"/>
          <w:szCs w:val="22"/>
        </w:rPr>
        <w:t>V</w:t>
      </w:r>
      <w:r w:rsidRPr="00A039E1">
        <w:rPr>
          <w:rFonts w:ascii="Arial" w:eastAsia="Arial" w:hAnsi="Arial" w:cs="Arial"/>
          <w:b/>
          <w:bCs/>
          <w:sz w:val="22"/>
          <w:szCs w:val="22"/>
        </w:rPr>
        <w:t xml:space="preserve">ALUE </w:t>
      </w:r>
    </w:p>
    <w:p w14:paraId="6660F27B" w14:textId="7EA41087" w:rsidR="009C7422" w:rsidRPr="00A039E1" w:rsidRDefault="001706EB" w:rsidP="00A039E1">
      <w:pPr>
        <w:spacing w:after="200" w:line="276" w:lineRule="auto"/>
        <w:ind w:right="74"/>
        <w:jc w:val="both"/>
        <w:rPr>
          <w:rFonts w:ascii="Arial" w:eastAsia="Arial" w:hAnsi="Arial" w:cs="Arial"/>
          <w:b/>
          <w:bCs/>
          <w:sz w:val="22"/>
          <w:szCs w:val="22"/>
        </w:rPr>
      </w:pPr>
      <w:r w:rsidRPr="00A039E1">
        <w:rPr>
          <w:rFonts w:ascii="Arial" w:eastAsia="Arial" w:hAnsi="Arial" w:cs="Arial"/>
          <w:b/>
          <w:bCs/>
          <w:sz w:val="22"/>
          <w:szCs w:val="22"/>
        </w:rPr>
        <w:t>Basis of valuation</w:t>
      </w:r>
    </w:p>
    <w:p w14:paraId="22821077" w14:textId="610F1219" w:rsidR="00A039E1" w:rsidRDefault="00942374" w:rsidP="00A039E1">
      <w:pPr>
        <w:spacing w:after="200" w:line="276" w:lineRule="auto"/>
        <w:ind w:right="74"/>
        <w:jc w:val="both"/>
        <w:rPr>
          <w:rFonts w:ascii="Arial" w:eastAsia="Arial" w:hAnsi="Arial" w:cs="Arial"/>
          <w:sz w:val="22"/>
          <w:szCs w:val="22"/>
        </w:rPr>
      </w:pPr>
      <w:r w:rsidRPr="00942374">
        <w:rPr>
          <w:rFonts w:eastAsia="Arial"/>
          <w:noProof/>
        </w:rPr>
        <w:drawing>
          <wp:inline distT="0" distB="0" distL="0" distR="0" wp14:anchorId="55DC77E1" wp14:editId="0B7A5538">
            <wp:extent cx="6464300" cy="72345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4300" cy="7234555"/>
                    </a:xfrm>
                    <a:prstGeom prst="rect">
                      <a:avLst/>
                    </a:prstGeom>
                    <a:noFill/>
                    <a:ln>
                      <a:noFill/>
                    </a:ln>
                  </pic:spPr>
                </pic:pic>
              </a:graphicData>
            </a:graphic>
          </wp:inline>
        </w:drawing>
      </w:r>
    </w:p>
    <w:p w14:paraId="3F0E9527" w14:textId="2D7CDF39" w:rsidR="00A039E1" w:rsidRDefault="00A039E1" w:rsidP="00A039E1">
      <w:pPr>
        <w:spacing w:after="200" w:line="276" w:lineRule="auto"/>
        <w:ind w:right="74"/>
        <w:jc w:val="both"/>
        <w:rPr>
          <w:rFonts w:ascii="Arial" w:eastAsia="Arial" w:hAnsi="Arial" w:cs="Arial"/>
          <w:sz w:val="22"/>
          <w:szCs w:val="22"/>
        </w:rPr>
      </w:pPr>
    </w:p>
    <w:p w14:paraId="54046B54" w14:textId="77777777" w:rsidR="00942374" w:rsidRDefault="00942374">
      <w:pPr>
        <w:rPr>
          <w:rFonts w:ascii="Arial" w:eastAsia="Arial" w:hAnsi="Arial" w:cs="Arial"/>
          <w:b/>
          <w:bCs/>
          <w:sz w:val="22"/>
          <w:szCs w:val="22"/>
        </w:rPr>
      </w:pPr>
      <w:r>
        <w:rPr>
          <w:rFonts w:ascii="Arial" w:eastAsia="Arial" w:hAnsi="Arial" w:cs="Arial"/>
          <w:b/>
          <w:bCs/>
          <w:sz w:val="22"/>
          <w:szCs w:val="22"/>
        </w:rPr>
        <w:br w:type="page"/>
      </w:r>
    </w:p>
    <w:p w14:paraId="649BC6DA" w14:textId="746FAEB2" w:rsidR="00E64E96" w:rsidRDefault="00A039E1" w:rsidP="00A039E1">
      <w:pPr>
        <w:spacing w:after="200" w:line="276" w:lineRule="auto"/>
        <w:ind w:right="74"/>
        <w:jc w:val="both"/>
        <w:rPr>
          <w:rFonts w:ascii="Arial" w:eastAsia="Arial" w:hAnsi="Arial" w:cs="Arial"/>
          <w:b/>
          <w:bCs/>
          <w:sz w:val="22"/>
          <w:szCs w:val="22"/>
        </w:rPr>
      </w:pPr>
      <w:r>
        <w:rPr>
          <w:rFonts w:ascii="Arial" w:eastAsia="Arial" w:hAnsi="Arial" w:cs="Arial"/>
          <w:b/>
          <w:bCs/>
          <w:sz w:val="22"/>
          <w:szCs w:val="22"/>
        </w:rPr>
        <w:lastRenderedPageBreak/>
        <w:t xml:space="preserve">NOTE </w:t>
      </w:r>
      <w:r w:rsidR="00247116">
        <w:rPr>
          <w:rFonts w:ascii="Arial" w:eastAsia="Arial" w:hAnsi="Arial" w:cs="Arial"/>
          <w:b/>
          <w:bCs/>
          <w:sz w:val="22"/>
          <w:szCs w:val="22"/>
        </w:rPr>
        <w:t>14a</w:t>
      </w:r>
      <w:r>
        <w:rPr>
          <w:rFonts w:ascii="Arial" w:eastAsia="Arial" w:hAnsi="Arial" w:cs="Arial"/>
          <w:b/>
          <w:bCs/>
          <w:sz w:val="22"/>
          <w:szCs w:val="22"/>
        </w:rPr>
        <w:t xml:space="preserve">: </w:t>
      </w:r>
      <w:r w:rsidR="00942374" w:rsidRPr="00A039E1">
        <w:rPr>
          <w:rFonts w:ascii="Arial" w:eastAsia="Arial" w:hAnsi="Arial" w:cs="Arial"/>
          <w:b/>
          <w:bCs/>
          <w:sz w:val="22"/>
          <w:szCs w:val="22"/>
        </w:rPr>
        <w:t>SENSITIVITY OF ASSETS VALUED AT LEVEL 3</w:t>
      </w:r>
    </w:p>
    <w:tbl>
      <w:tblPr>
        <w:tblW w:w="7260" w:type="dxa"/>
        <w:tblLook w:val="04A0" w:firstRow="1" w:lastRow="0" w:firstColumn="1" w:lastColumn="0" w:noHBand="0" w:noVBand="1"/>
      </w:tblPr>
      <w:tblGrid>
        <w:gridCol w:w="2660"/>
        <w:gridCol w:w="1160"/>
        <w:gridCol w:w="1040"/>
        <w:gridCol w:w="1207"/>
        <w:gridCol w:w="1220"/>
      </w:tblGrid>
      <w:tr w:rsidR="00521147" w:rsidRPr="00521147" w14:paraId="536D7769" w14:textId="77777777" w:rsidTr="00521147">
        <w:trPr>
          <w:trHeight w:val="1200"/>
        </w:trPr>
        <w:tc>
          <w:tcPr>
            <w:tcW w:w="2660" w:type="dxa"/>
            <w:tcBorders>
              <w:top w:val="single" w:sz="4" w:space="0" w:color="auto"/>
              <w:left w:val="single" w:sz="4" w:space="0" w:color="auto"/>
              <w:bottom w:val="nil"/>
              <w:right w:val="nil"/>
            </w:tcBorders>
            <w:shd w:val="clear" w:color="000000" w:fill="00CC99"/>
            <w:noWrap/>
            <w:hideMark/>
          </w:tcPr>
          <w:p w14:paraId="75219473" w14:textId="77777777" w:rsidR="00521147" w:rsidRPr="00521147" w:rsidRDefault="00521147" w:rsidP="00521147">
            <w:pPr>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Level 3 Assets</w:t>
            </w:r>
          </w:p>
        </w:tc>
        <w:tc>
          <w:tcPr>
            <w:tcW w:w="1160" w:type="dxa"/>
            <w:tcBorders>
              <w:top w:val="single" w:sz="4" w:space="0" w:color="auto"/>
              <w:left w:val="nil"/>
              <w:bottom w:val="nil"/>
              <w:right w:val="nil"/>
            </w:tcBorders>
            <w:shd w:val="clear" w:color="000000" w:fill="00CC99"/>
            <w:hideMark/>
          </w:tcPr>
          <w:p w14:paraId="244901EE" w14:textId="77777777" w:rsidR="00521147" w:rsidRPr="00521147" w:rsidRDefault="00521147" w:rsidP="00521147">
            <w:pPr>
              <w:jc w:val="right"/>
              <w:rPr>
                <w:rFonts w:ascii="Calibri" w:hAnsi="Calibri" w:cs="Calibri"/>
                <w:b/>
                <w:bCs/>
                <w:color w:val="000000"/>
                <w:sz w:val="22"/>
                <w:szCs w:val="22"/>
                <w:lang w:val="en-GB" w:eastAsia="en-GB"/>
              </w:rPr>
            </w:pPr>
            <w:r w:rsidRPr="00521147">
              <w:rPr>
                <w:rFonts w:ascii="Calibri" w:hAnsi="Calibri" w:cs="Calibri"/>
                <w:b/>
                <w:bCs/>
                <w:color w:val="000000"/>
                <w:sz w:val="22"/>
                <w:szCs w:val="22"/>
                <w:lang w:val="en-GB" w:eastAsia="en-GB"/>
              </w:rPr>
              <w:t>Valuation range +/-</w:t>
            </w:r>
          </w:p>
        </w:tc>
        <w:tc>
          <w:tcPr>
            <w:tcW w:w="1040" w:type="dxa"/>
            <w:tcBorders>
              <w:top w:val="single" w:sz="4" w:space="0" w:color="auto"/>
              <w:left w:val="nil"/>
              <w:bottom w:val="nil"/>
              <w:right w:val="nil"/>
            </w:tcBorders>
            <w:shd w:val="clear" w:color="000000" w:fill="00CC99"/>
            <w:hideMark/>
          </w:tcPr>
          <w:p w14:paraId="1FDBCE92" w14:textId="77777777" w:rsidR="00521147" w:rsidRPr="00521147" w:rsidRDefault="00521147" w:rsidP="00521147">
            <w:pPr>
              <w:jc w:val="right"/>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Values at 31 March 2020</w:t>
            </w:r>
          </w:p>
        </w:tc>
        <w:tc>
          <w:tcPr>
            <w:tcW w:w="1180" w:type="dxa"/>
            <w:tcBorders>
              <w:top w:val="single" w:sz="4" w:space="0" w:color="auto"/>
              <w:left w:val="nil"/>
              <w:bottom w:val="nil"/>
              <w:right w:val="nil"/>
            </w:tcBorders>
            <w:shd w:val="clear" w:color="000000" w:fill="00CC99"/>
            <w:hideMark/>
          </w:tcPr>
          <w:p w14:paraId="4E9078FA" w14:textId="77777777" w:rsidR="00521147" w:rsidRPr="00521147" w:rsidRDefault="00521147" w:rsidP="00521147">
            <w:pPr>
              <w:jc w:val="right"/>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Valuation Increase</w:t>
            </w:r>
          </w:p>
        </w:tc>
        <w:tc>
          <w:tcPr>
            <w:tcW w:w="1220" w:type="dxa"/>
            <w:tcBorders>
              <w:top w:val="single" w:sz="4" w:space="0" w:color="auto"/>
              <w:left w:val="nil"/>
              <w:bottom w:val="nil"/>
              <w:right w:val="single" w:sz="4" w:space="0" w:color="auto"/>
            </w:tcBorders>
            <w:shd w:val="clear" w:color="000000" w:fill="00CC99"/>
            <w:hideMark/>
          </w:tcPr>
          <w:p w14:paraId="177DE2AB" w14:textId="77777777" w:rsidR="00521147" w:rsidRPr="00521147" w:rsidRDefault="00521147" w:rsidP="00521147">
            <w:pPr>
              <w:jc w:val="right"/>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Valuation decrease</w:t>
            </w:r>
          </w:p>
        </w:tc>
      </w:tr>
      <w:tr w:rsidR="00521147" w:rsidRPr="00521147" w14:paraId="12AA6080" w14:textId="77777777" w:rsidTr="00521147">
        <w:trPr>
          <w:trHeight w:val="300"/>
        </w:trPr>
        <w:tc>
          <w:tcPr>
            <w:tcW w:w="2660" w:type="dxa"/>
            <w:tcBorders>
              <w:top w:val="nil"/>
              <w:left w:val="single" w:sz="4" w:space="0" w:color="auto"/>
              <w:bottom w:val="nil"/>
              <w:right w:val="nil"/>
            </w:tcBorders>
            <w:shd w:val="clear" w:color="000000" w:fill="00CC99"/>
            <w:noWrap/>
            <w:vAlign w:val="bottom"/>
            <w:hideMark/>
          </w:tcPr>
          <w:p w14:paraId="298AE750"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160" w:type="dxa"/>
            <w:tcBorders>
              <w:top w:val="nil"/>
              <w:left w:val="nil"/>
              <w:bottom w:val="nil"/>
              <w:right w:val="nil"/>
            </w:tcBorders>
            <w:shd w:val="clear" w:color="000000" w:fill="00CC99"/>
            <w:noWrap/>
            <w:vAlign w:val="bottom"/>
            <w:hideMark/>
          </w:tcPr>
          <w:p w14:paraId="50D8BEAE" w14:textId="77777777" w:rsidR="00521147" w:rsidRPr="00521147" w:rsidRDefault="00521147" w:rsidP="00521147">
            <w:pPr>
              <w:jc w:val="right"/>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 </w:t>
            </w:r>
          </w:p>
        </w:tc>
        <w:tc>
          <w:tcPr>
            <w:tcW w:w="1040" w:type="dxa"/>
            <w:tcBorders>
              <w:top w:val="nil"/>
              <w:left w:val="nil"/>
              <w:bottom w:val="nil"/>
              <w:right w:val="nil"/>
            </w:tcBorders>
            <w:shd w:val="clear" w:color="000000" w:fill="00CC99"/>
            <w:noWrap/>
            <w:vAlign w:val="bottom"/>
            <w:hideMark/>
          </w:tcPr>
          <w:p w14:paraId="2617F227" w14:textId="77777777" w:rsidR="00521147" w:rsidRPr="00521147" w:rsidRDefault="00521147" w:rsidP="00521147">
            <w:pPr>
              <w:jc w:val="right"/>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£'000</w:t>
            </w:r>
          </w:p>
        </w:tc>
        <w:tc>
          <w:tcPr>
            <w:tcW w:w="1180" w:type="dxa"/>
            <w:tcBorders>
              <w:top w:val="nil"/>
              <w:left w:val="nil"/>
              <w:bottom w:val="nil"/>
              <w:right w:val="nil"/>
            </w:tcBorders>
            <w:shd w:val="clear" w:color="000000" w:fill="00CC99"/>
            <w:noWrap/>
            <w:vAlign w:val="bottom"/>
            <w:hideMark/>
          </w:tcPr>
          <w:p w14:paraId="7FB18CF1" w14:textId="77777777" w:rsidR="00521147" w:rsidRPr="00521147" w:rsidRDefault="00521147" w:rsidP="00521147">
            <w:pPr>
              <w:jc w:val="right"/>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£'000</w:t>
            </w:r>
          </w:p>
        </w:tc>
        <w:tc>
          <w:tcPr>
            <w:tcW w:w="1220" w:type="dxa"/>
            <w:tcBorders>
              <w:top w:val="nil"/>
              <w:left w:val="nil"/>
              <w:bottom w:val="nil"/>
              <w:right w:val="single" w:sz="4" w:space="0" w:color="auto"/>
            </w:tcBorders>
            <w:shd w:val="clear" w:color="000000" w:fill="00CC99"/>
            <w:noWrap/>
            <w:vAlign w:val="bottom"/>
            <w:hideMark/>
          </w:tcPr>
          <w:p w14:paraId="59790464"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r>
      <w:tr w:rsidR="00521147" w:rsidRPr="00521147" w14:paraId="6D35E478"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2D44BEC1" w14:textId="77777777" w:rsidR="00521147" w:rsidRPr="00521147" w:rsidRDefault="00521147" w:rsidP="00521147">
            <w:pPr>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Financial assets</w:t>
            </w:r>
          </w:p>
        </w:tc>
        <w:tc>
          <w:tcPr>
            <w:tcW w:w="1160" w:type="dxa"/>
            <w:tcBorders>
              <w:top w:val="nil"/>
              <w:left w:val="nil"/>
              <w:bottom w:val="nil"/>
              <w:right w:val="nil"/>
            </w:tcBorders>
            <w:shd w:val="clear" w:color="auto" w:fill="auto"/>
            <w:noWrap/>
            <w:vAlign w:val="bottom"/>
            <w:hideMark/>
          </w:tcPr>
          <w:p w14:paraId="4156CB0E" w14:textId="77777777" w:rsidR="00521147" w:rsidRPr="00521147" w:rsidRDefault="00521147" w:rsidP="00521147">
            <w:pPr>
              <w:rPr>
                <w:rFonts w:ascii="Arial" w:hAnsi="Arial" w:cs="Arial"/>
                <w:b/>
                <w:bCs/>
                <w:color w:val="000000"/>
                <w:sz w:val="22"/>
                <w:szCs w:val="22"/>
                <w:lang w:val="en-GB" w:eastAsia="en-GB"/>
              </w:rPr>
            </w:pPr>
          </w:p>
        </w:tc>
        <w:tc>
          <w:tcPr>
            <w:tcW w:w="1040" w:type="dxa"/>
            <w:tcBorders>
              <w:top w:val="nil"/>
              <w:left w:val="nil"/>
              <w:bottom w:val="nil"/>
              <w:right w:val="nil"/>
            </w:tcBorders>
            <w:shd w:val="clear" w:color="auto" w:fill="auto"/>
            <w:noWrap/>
            <w:vAlign w:val="bottom"/>
            <w:hideMark/>
          </w:tcPr>
          <w:p w14:paraId="39B8A2DD" w14:textId="77777777" w:rsidR="00521147" w:rsidRPr="00521147" w:rsidRDefault="00521147" w:rsidP="00521147">
            <w:pPr>
              <w:jc w:val="center"/>
              <w:rPr>
                <w:lang w:val="en-GB" w:eastAsia="en-GB"/>
              </w:rPr>
            </w:pPr>
          </w:p>
        </w:tc>
        <w:tc>
          <w:tcPr>
            <w:tcW w:w="1180" w:type="dxa"/>
            <w:tcBorders>
              <w:top w:val="nil"/>
              <w:left w:val="nil"/>
              <w:bottom w:val="nil"/>
              <w:right w:val="nil"/>
            </w:tcBorders>
            <w:shd w:val="clear" w:color="auto" w:fill="auto"/>
            <w:noWrap/>
            <w:vAlign w:val="bottom"/>
            <w:hideMark/>
          </w:tcPr>
          <w:p w14:paraId="7B4CDCC3" w14:textId="77777777" w:rsidR="00521147" w:rsidRPr="00521147" w:rsidRDefault="00521147" w:rsidP="00521147">
            <w:pPr>
              <w:rPr>
                <w:lang w:val="en-GB" w:eastAsia="en-GB"/>
              </w:rPr>
            </w:pPr>
          </w:p>
        </w:tc>
        <w:tc>
          <w:tcPr>
            <w:tcW w:w="1220" w:type="dxa"/>
            <w:tcBorders>
              <w:top w:val="nil"/>
              <w:left w:val="nil"/>
              <w:bottom w:val="nil"/>
              <w:right w:val="single" w:sz="4" w:space="0" w:color="auto"/>
            </w:tcBorders>
            <w:shd w:val="clear" w:color="auto" w:fill="auto"/>
            <w:noWrap/>
            <w:vAlign w:val="bottom"/>
            <w:hideMark/>
          </w:tcPr>
          <w:p w14:paraId="4EBE14EF"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r>
      <w:tr w:rsidR="00521147" w:rsidRPr="00521147" w14:paraId="488F1094"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478AD305"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Property</w:t>
            </w:r>
          </w:p>
        </w:tc>
        <w:tc>
          <w:tcPr>
            <w:tcW w:w="1160" w:type="dxa"/>
            <w:tcBorders>
              <w:top w:val="nil"/>
              <w:left w:val="nil"/>
              <w:bottom w:val="nil"/>
              <w:right w:val="nil"/>
            </w:tcBorders>
            <w:shd w:val="clear" w:color="auto" w:fill="auto"/>
            <w:noWrap/>
            <w:vAlign w:val="bottom"/>
            <w:hideMark/>
          </w:tcPr>
          <w:p w14:paraId="33CE315F"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1.20%</w:t>
            </w:r>
          </w:p>
        </w:tc>
        <w:tc>
          <w:tcPr>
            <w:tcW w:w="1040" w:type="dxa"/>
            <w:tcBorders>
              <w:top w:val="nil"/>
              <w:left w:val="nil"/>
              <w:bottom w:val="nil"/>
              <w:right w:val="nil"/>
            </w:tcBorders>
            <w:shd w:val="clear" w:color="auto" w:fill="auto"/>
            <w:noWrap/>
            <w:vAlign w:val="bottom"/>
            <w:hideMark/>
          </w:tcPr>
          <w:p w14:paraId="0848D917"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57,062 </w:t>
            </w:r>
          </w:p>
        </w:tc>
        <w:tc>
          <w:tcPr>
            <w:tcW w:w="1180" w:type="dxa"/>
            <w:tcBorders>
              <w:top w:val="nil"/>
              <w:left w:val="nil"/>
              <w:bottom w:val="nil"/>
              <w:right w:val="nil"/>
            </w:tcBorders>
            <w:shd w:val="clear" w:color="auto" w:fill="auto"/>
            <w:noWrap/>
            <w:vAlign w:val="bottom"/>
            <w:hideMark/>
          </w:tcPr>
          <w:p w14:paraId="6DBCF715"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57,747 </w:t>
            </w:r>
          </w:p>
        </w:tc>
        <w:tc>
          <w:tcPr>
            <w:tcW w:w="1220" w:type="dxa"/>
            <w:tcBorders>
              <w:top w:val="nil"/>
              <w:left w:val="nil"/>
              <w:bottom w:val="nil"/>
              <w:right w:val="single" w:sz="4" w:space="0" w:color="auto"/>
            </w:tcBorders>
            <w:shd w:val="clear" w:color="auto" w:fill="auto"/>
            <w:noWrap/>
            <w:vAlign w:val="bottom"/>
            <w:hideMark/>
          </w:tcPr>
          <w:p w14:paraId="055FD585"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56,377 </w:t>
            </w:r>
          </w:p>
        </w:tc>
      </w:tr>
      <w:tr w:rsidR="00521147" w:rsidRPr="00521147" w14:paraId="22705AA4" w14:textId="77777777" w:rsidTr="00521147">
        <w:trPr>
          <w:trHeight w:val="300"/>
        </w:trPr>
        <w:tc>
          <w:tcPr>
            <w:tcW w:w="2660" w:type="dxa"/>
            <w:tcBorders>
              <w:top w:val="nil"/>
              <w:left w:val="single" w:sz="4" w:space="0" w:color="auto"/>
              <w:bottom w:val="nil"/>
              <w:right w:val="nil"/>
            </w:tcBorders>
            <w:shd w:val="clear" w:color="auto" w:fill="auto"/>
            <w:vAlign w:val="bottom"/>
            <w:hideMark/>
          </w:tcPr>
          <w:p w14:paraId="337BDFA0"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160" w:type="dxa"/>
            <w:tcBorders>
              <w:top w:val="nil"/>
              <w:left w:val="nil"/>
              <w:bottom w:val="nil"/>
              <w:right w:val="nil"/>
            </w:tcBorders>
            <w:shd w:val="clear" w:color="auto" w:fill="auto"/>
            <w:noWrap/>
            <w:vAlign w:val="bottom"/>
            <w:hideMark/>
          </w:tcPr>
          <w:p w14:paraId="323EB925" w14:textId="77777777" w:rsidR="00521147" w:rsidRPr="00521147" w:rsidRDefault="00521147" w:rsidP="00521147">
            <w:pPr>
              <w:rPr>
                <w:rFonts w:ascii="Arial" w:hAnsi="Arial" w:cs="Arial"/>
                <w:color w:val="000000"/>
                <w:sz w:val="22"/>
                <w:szCs w:val="22"/>
                <w:lang w:val="en-GB" w:eastAsia="en-GB"/>
              </w:rPr>
            </w:pPr>
          </w:p>
        </w:tc>
        <w:tc>
          <w:tcPr>
            <w:tcW w:w="1040" w:type="dxa"/>
            <w:tcBorders>
              <w:top w:val="nil"/>
              <w:left w:val="nil"/>
              <w:bottom w:val="nil"/>
              <w:right w:val="nil"/>
            </w:tcBorders>
            <w:shd w:val="clear" w:color="auto" w:fill="auto"/>
            <w:noWrap/>
            <w:vAlign w:val="bottom"/>
            <w:hideMark/>
          </w:tcPr>
          <w:p w14:paraId="2B5186E0" w14:textId="77777777" w:rsidR="00521147" w:rsidRPr="00521147" w:rsidRDefault="00521147" w:rsidP="00521147">
            <w:pPr>
              <w:rPr>
                <w:lang w:val="en-GB" w:eastAsia="en-GB"/>
              </w:rPr>
            </w:pPr>
          </w:p>
        </w:tc>
        <w:tc>
          <w:tcPr>
            <w:tcW w:w="1180" w:type="dxa"/>
            <w:tcBorders>
              <w:top w:val="nil"/>
              <w:left w:val="nil"/>
              <w:bottom w:val="nil"/>
              <w:right w:val="nil"/>
            </w:tcBorders>
            <w:shd w:val="clear" w:color="auto" w:fill="auto"/>
            <w:noWrap/>
            <w:vAlign w:val="bottom"/>
            <w:hideMark/>
          </w:tcPr>
          <w:p w14:paraId="71B00F52" w14:textId="77777777" w:rsidR="00521147" w:rsidRPr="00521147" w:rsidRDefault="00521147" w:rsidP="00521147">
            <w:pPr>
              <w:jc w:val="right"/>
              <w:rPr>
                <w:lang w:val="en-GB" w:eastAsia="en-GB"/>
              </w:rPr>
            </w:pPr>
          </w:p>
        </w:tc>
        <w:tc>
          <w:tcPr>
            <w:tcW w:w="1220" w:type="dxa"/>
            <w:tcBorders>
              <w:top w:val="nil"/>
              <w:left w:val="nil"/>
              <w:bottom w:val="nil"/>
              <w:right w:val="single" w:sz="4" w:space="0" w:color="auto"/>
            </w:tcBorders>
            <w:shd w:val="clear" w:color="auto" w:fill="auto"/>
            <w:noWrap/>
            <w:vAlign w:val="bottom"/>
            <w:hideMark/>
          </w:tcPr>
          <w:p w14:paraId="0A48B5BA"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w:t>
            </w:r>
          </w:p>
        </w:tc>
      </w:tr>
      <w:tr w:rsidR="00521147" w:rsidRPr="00521147" w14:paraId="56730B02"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4B5216A6"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Hedge Funds</w:t>
            </w:r>
          </w:p>
        </w:tc>
        <w:tc>
          <w:tcPr>
            <w:tcW w:w="1160" w:type="dxa"/>
            <w:tcBorders>
              <w:top w:val="nil"/>
              <w:left w:val="nil"/>
              <w:bottom w:val="nil"/>
              <w:right w:val="nil"/>
            </w:tcBorders>
            <w:shd w:val="clear" w:color="auto" w:fill="auto"/>
            <w:noWrap/>
            <w:vAlign w:val="bottom"/>
            <w:hideMark/>
          </w:tcPr>
          <w:p w14:paraId="273BCCAD"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8.30%</w:t>
            </w:r>
          </w:p>
        </w:tc>
        <w:tc>
          <w:tcPr>
            <w:tcW w:w="1040" w:type="dxa"/>
            <w:tcBorders>
              <w:top w:val="nil"/>
              <w:left w:val="nil"/>
              <w:bottom w:val="nil"/>
              <w:right w:val="nil"/>
            </w:tcBorders>
            <w:shd w:val="clear" w:color="auto" w:fill="auto"/>
            <w:noWrap/>
            <w:vAlign w:val="bottom"/>
            <w:hideMark/>
          </w:tcPr>
          <w:p w14:paraId="3C27D1AE"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119 </w:t>
            </w:r>
          </w:p>
        </w:tc>
        <w:tc>
          <w:tcPr>
            <w:tcW w:w="1180" w:type="dxa"/>
            <w:tcBorders>
              <w:top w:val="nil"/>
              <w:left w:val="nil"/>
              <w:bottom w:val="nil"/>
              <w:right w:val="nil"/>
            </w:tcBorders>
            <w:shd w:val="clear" w:color="auto" w:fill="auto"/>
            <w:noWrap/>
            <w:vAlign w:val="bottom"/>
            <w:hideMark/>
          </w:tcPr>
          <w:p w14:paraId="5EA3C8F7"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129 </w:t>
            </w:r>
          </w:p>
        </w:tc>
        <w:tc>
          <w:tcPr>
            <w:tcW w:w="1220" w:type="dxa"/>
            <w:tcBorders>
              <w:top w:val="nil"/>
              <w:left w:val="nil"/>
              <w:bottom w:val="nil"/>
              <w:right w:val="single" w:sz="4" w:space="0" w:color="auto"/>
            </w:tcBorders>
            <w:shd w:val="clear" w:color="auto" w:fill="auto"/>
            <w:noWrap/>
            <w:vAlign w:val="bottom"/>
            <w:hideMark/>
          </w:tcPr>
          <w:p w14:paraId="4C6193E1"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109 </w:t>
            </w:r>
          </w:p>
        </w:tc>
      </w:tr>
      <w:tr w:rsidR="00521147" w:rsidRPr="00521147" w14:paraId="61DA34B2"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167A37A0"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160" w:type="dxa"/>
            <w:tcBorders>
              <w:top w:val="nil"/>
              <w:left w:val="nil"/>
              <w:bottom w:val="nil"/>
              <w:right w:val="nil"/>
            </w:tcBorders>
            <w:shd w:val="clear" w:color="auto" w:fill="auto"/>
            <w:noWrap/>
            <w:vAlign w:val="bottom"/>
            <w:hideMark/>
          </w:tcPr>
          <w:p w14:paraId="69B4BE2E" w14:textId="77777777" w:rsidR="00521147" w:rsidRPr="00521147" w:rsidRDefault="00521147" w:rsidP="00521147">
            <w:pPr>
              <w:rPr>
                <w:rFonts w:ascii="Arial" w:hAnsi="Arial" w:cs="Arial"/>
                <w:color w:val="000000"/>
                <w:sz w:val="22"/>
                <w:szCs w:val="22"/>
                <w:lang w:val="en-GB" w:eastAsia="en-GB"/>
              </w:rPr>
            </w:pPr>
          </w:p>
        </w:tc>
        <w:tc>
          <w:tcPr>
            <w:tcW w:w="1040" w:type="dxa"/>
            <w:tcBorders>
              <w:top w:val="nil"/>
              <w:left w:val="nil"/>
              <w:bottom w:val="nil"/>
              <w:right w:val="nil"/>
            </w:tcBorders>
            <w:shd w:val="clear" w:color="auto" w:fill="auto"/>
            <w:noWrap/>
            <w:vAlign w:val="bottom"/>
            <w:hideMark/>
          </w:tcPr>
          <w:p w14:paraId="55F0C85F" w14:textId="77777777" w:rsidR="00521147" w:rsidRPr="00521147" w:rsidRDefault="00521147" w:rsidP="00521147">
            <w:pPr>
              <w:rPr>
                <w:lang w:val="en-GB" w:eastAsia="en-GB"/>
              </w:rPr>
            </w:pPr>
          </w:p>
        </w:tc>
        <w:tc>
          <w:tcPr>
            <w:tcW w:w="1180" w:type="dxa"/>
            <w:tcBorders>
              <w:top w:val="nil"/>
              <w:left w:val="nil"/>
              <w:bottom w:val="nil"/>
              <w:right w:val="nil"/>
            </w:tcBorders>
            <w:shd w:val="clear" w:color="auto" w:fill="auto"/>
            <w:noWrap/>
            <w:vAlign w:val="bottom"/>
            <w:hideMark/>
          </w:tcPr>
          <w:p w14:paraId="1143C04D" w14:textId="77777777" w:rsidR="00521147" w:rsidRPr="00521147" w:rsidRDefault="00521147" w:rsidP="00521147">
            <w:pPr>
              <w:jc w:val="right"/>
              <w:rPr>
                <w:lang w:val="en-GB" w:eastAsia="en-GB"/>
              </w:rPr>
            </w:pPr>
          </w:p>
        </w:tc>
        <w:tc>
          <w:tcPr>
            <w:tcW w:w="1220" w:type="dxa"/>
            <w:tcBorders>
              <w:top w:val="nil"/>
              <w:left w:val="nil"/>
              <w:bottom w:val="nil"/>
              <w:right w:val="single" w:sz="4" w:space="0" w:color="auto"/>
            </w:tcBorders>
            <w:shd w:val="clear" w:color="auto" w:fill="auto"/>
            <w:noWrap/>
            <w:vAlign w:val="bottom"/>
            <w:hideMark/>
          </w:tcPr>
          <w:p w14:paraId="6F351101"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w:t>
            </w:r>
          </w:p>
        </w:tc>
      </w:tr>
      <w:tr w:rsidR="00521147" w:rsidRPr="00521147" w14:paraId="476104AD"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0B2468B5"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Infrastructure</w:t>
            </w:r>
          </w:p>
        </w:tc>
        <w:tc>
          <w:tcPr>
            <w:tcW w:w="1160" w:type="dxa"/>
            <w:tcBorders>
              <w:top w:val="nil"/>
              <w:left w:val="nil"/>
              <w:bottom w:val="nil"/>
              <w:right w:val="nil"/>
            </w:tcBorders>
            <w:shd w:val="clear" w:color="auto" w:fill="auto"/>
            <w:noWrap/>
            <w:vAlign w:val="bottom"/>
            <w:hideMark/>
          </w:tcPr>
          <w:p w14:paraId="0ED1ABA4"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8.30%</w:t>
            </w:r>
          </w:p>
        </w:tc>
        <w:tc>
          <w:tcPr>
            <w:tcW w:w="1040" w:type="dxa"/>
            <w:tcBorders>
              <w:top w:val="nil"/>
              <w:left w:val="nil"/>
              <w:bottom w:val="nil"/>
              <w:right w:val="nil"/>
            </w:tcBorders>
            <w:shd w:val="clear" w:color="auto" w:fill="auto"/>
            <w:noWrap/>
            <w:vAlign w:val="bottom"/>
            <w:hideMark/>
          </w:tcPr>
          <w:p w14:paraId="1CB27BC9"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98,541 </w:t>
            </w:r>
          </w:p>
        </w:tc>
        <w:tc>
          <w:tcPr>
            <w:tcW w:w="1180" w:type="dxa"/>
            <w:tcBorders>
              <w:top w:val="nil"/>
              <w:left w:val="nil"/>
              <w:bottom w:val="nil"/>
              <w:right w:val="nil"/>
            </w:tcBorders>
            <w:shd w:val="clear" w:color="auto" w:fill="auto"/>
            <w:noWrap/>
            <w:vAlign w:val="bottom"/>
            <w:hideMark/>
          </w:tcPr>
          <w:p w14:paraId="06439342"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106,720 </w:t>
            </w:r>
          </w:p>
        </w:tc>
        <w:tc>
          <w:tcPr>
            <w:tcW w:w="1220" w:type="dxa"/>
            <w:tcBorders>
              <w:top w:val="nil"/>
              <w:left w:val="nil"/>
              <w:bottom w:val="nil"/>
              <w:right w:val="single" w:sz="4" w:space="0" w:color="auto"/>
            </w:tcBorders>
            <w:shd w:val="clear" w:color="auto" w:fill="auto"/>
            <w:noWrap/>
            <w:vAlign w:val="bottom"/>
            <w:hideMark/>
          </w:tcPr>
          <w:p w14:paraId="6974F828"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90,362 </w:t>
            </w:r>
          </w:p>
        </w:tc>
      </w:tr>
      <w:tr w:rsidR="00521147" w:rsidRPr="00521147" w14:paraId="47EA1B61"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6FFD3B22"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160" w:type="dxa"/>
            <w:tcBorders>
              <w:top w:val="nil"/>
              <w:left w:val="nil"/>
              <w:bottom w:val="nil"/>
              <w:right w:val="nil"/>
            </w:tcBorders>
            <w:shd w:val="clear" w:color="auto" w:fill="auto"/>
            <w:noWrap/>
            <w:vAlign w:val="bottom"/>
            <w:hideMark/>
          </w:tcPr>
          <w:p w14:paraId="60D282D5" w14:textId="77777777" w:rsidR="00521147" w:rsidRPr="00521147" w:rsidRDefault="00521147" w:rsidP="00521147">
            <w:pPr>
              <w:rPr>
                <w:rFonts w:ascii="Arial" w:hAnsi="Arial" w:cs="Arial"/>
                <w:color w:val="000000"/>
                <w:sz w:val="22"/>
                <w:szCs w:val="22"/>
                <w:lang w:val="en-GB" w:eastAsia="en-GB"/>
              </w:rPr>
            </w:pPr>
          </w:p>
        </w:tc>
        <w:tc>
          <w:tcPr>
            <w:tcW w:w="1040" w:type="dxa"/>
            <w:tcBorders>
              <w:top w:val="nil"/>
              <w:left w:val="nil"/>
              <w:bottom w:val="nil"/>
              <w:right w:val="nil"/>
            </w:tcBorders>
            <w:shd w:val="clear" w:color="auto" w:fill="auto"/>
            <w:noWrap/>
            <w:vAlign w:val="bottom"/>
            <w:hideMark/>
          </w:tcPr>
          <w:p w14:paraId="06F20C69" w14:textId="77777777" w:rsidR="00521147" w:rsidRPr="00521147" w:rsidRDefault="00521147" w:rsidP="00521147">
            <w:pPr>
              <w:rPr>
                <w:lang w:val="en-GB" w:eastAsia="en-GB"/>
              </w:rPr>
            </w:pPr>
          </w:p>
        </w:tc>
        <w:tc>
          <w:tcPr>
            <w:tcW w:w="1180" w:type="dxa"/>
            <w:tcBorders>
              <w:top w:val="nil"/>
              <w:left w:val="nil"/>
              <w:bottom w:val="nil"/>
              <w:right w:val="nil"/>
            </w:tcBorders>
            <w:shd w:val="clear" w:color="auto" w:fill="auto"/>
            <w:noWrap/>
            <w:vAlign w:val="bottom"/>
            <w:hideMark/>
          </w:tcPr>
          <w:p w14:paraId="0ED2C242" w14:textId="77777777" w:rsidR="00521147" w:rsidRPr="00521147" w:rsidRDefault="00521147" w:rsidP="00521147">
            <w:pPr>
              <w:jc w:val="right"/>
              <w:rPr>
                <w:lang w:val="en-GB" w:eastAsia="en-GB"/>
              </w:rPr>
            </w:pPr>
          </w:p>
        </w:tc>
        <w:tc>
          <w:tcPr>
            <w:tcW w:w="1220" w:type="dxa"/>
            <w:tcBorders>
              <w:top w:val="nil"/>
              <w:left w:val="nil"/>
              <w:bottom w:val="nil"/>
              <w:right w:val="single" w:sz="4" w:space="0" w:color="auto"/>
            </w:tcBorders>
            <w:shd w:val="clear" w:color="auto" w:fill="auto"/>
            <w:noWrap/>
            <w:vAlign w:val="bottom"/>
            <w:hideMark/>
          </w:tcPr>
          <w:p w14:paraId="46731499"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w:t>
            </w:r>
          </w:p>
        </w:tc>
      </w:tr>
      <w:tr w:rsidR="00521147" w:rsidRPr="00521147" w14:paraId="3734D0FD"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7B29445B"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Social Impact Funds</w:t>
            </w:r>
          </w:p>
        </w:tc>
        <w:tc>
          <w:tcPr>
            <w:tcW w:w="1160" w:type="dxa"/>
            <w:tcBorders>
              <w:top w:val="nil"/>
              <w:left w:val="nil"/>
              <w:bottom w:val="nil"/>
              <w:right w:val="nil"/>
            </w:tcBorders>
            <w:shd w:val="clear" w:color="auto" w:fill="auto"/>
            <w:noWrap/>
            <w:vAlign w:val="bottom"/>
            <w:hideMark/>
          </w:tcPr>
          <w:p w14:paraId="79305B61"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8.30%</w:t>
            </w:r>
          </w:p>
        </w:tc>
        <w:tc>
          <w:tcPr>
            <w:tcW w:w="1040" w:type="dxa"/>
            <w:tcBorders>
              <w:top w:val="nil"/>
              <w:left w:val="nil"/>
              <w:bottom w:val="nil"/>
              <w:right w:val="nil"/>
            </w:tcBorders>
            <w:shd w:val="clear" w:color="auto" w:fill="auto"/>
            <w:noWrap/>
            <w:vAlign w:val="bottom"/>
            <w:hideMark/>
          </w:tcPr>
          <w:p w14:paraId="4F2E900C"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3,505 </w:t>
            </w:r>
          </w:p>
        </w:tc>
        <w:tc>
          <w:tcPr>
            <w:tcW w:w="1180" w:type="dxa"/>
            <w:tcBorders>
              <w:top w:val="nil"/>
              <w:left w:val="nil"/>
              <w:bottom w:val="nil"/>
              <w:right w:val="nil"/>
            </w:tcBorders>
            <w:shd w:val="clear" w:color="auto" w:fill="auto"/>
            <w:noWrap/>
            <w:vAlign w:val="bottom"/>
            <w:hideMark/>
          </w:tcPr>
          <w:p w14:paraId="48590748"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3,796 </w:t>
            </w:r>
          </w:p>
        </w:tc>
        <w:tc>
          <w:tcPr>
            <w:tcW w:w="1220" w:type="dxa"/>
            <w:tcBorders>
              <w:top w:val="nil"/>
              <w:left w:val="nil"/>
              <w:bottom w:val="nil"/>
              <w:right w:val="single" w:sz="4" w:space="0" w:color="auto"/>
            </w:tcBorders>
            <w:shd w:val="clear" w:color="auto" w:fill="auto"/>
            <w:noWrap/>
            <w:vAlign w:val="bottom"/>
            <w:hideMark/>
          </w:tcPr>
          <w:p w14:paraId="1A7936B7"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3,214 </w:t>
            </w:r>
          </w:p>
        </w:tc>
      </w:tr>
      <w:tr w:rsidR="00521147" w:rsidRPr="00521147" w14:paraId="1C38B619"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004250D5"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160" w:type="dxa"/>
            <w:tcBorders>
              <w:top w:val="nil"/>
              <w:left w:val="nil"/>
              <w:bottom w:val="nil"/>
              <w:right w:val="nil"/>
            </w:tcBorders>
            <w:shd w:val="clear" w:color="auto" w:fill="auto"/>
            <w:noWrap/>
            <w:vAlign w:val="bottom"/>
            <w:hideMark/>
          </w:tcPr>
          <w:p w14:paraId="0B23A378" w14:textId="77777777" w:rsidR="00521147" w:rsidRPr="00521147" w:rsidRDefault="00521147" w:rsidP="00521147">
            <w:pPr>
              <w:rPr>
                <w:rFonts w:ascii="Arial" w:hAnsi="Arial" w:cs="Arial"/>
                <w:color w:val="000000"/>
                <w:sz w:val="22"/>
                <w:szCs w:val="22"/>
                <w:lang w:val="en-GB" w:eastAsia="en-GB"/>
              </w:rPr>
            </w:pPr>
          </w:p>
        </w:tc>
        <w:tc>
          <w:tcPr>
            <w:tcW w:w="1040" w:type="dxa"/>
            <w:tcBorders>
              <w:top w:val="nil"/>
              <w:left w:val="nil"/>
              <w:bottom w:val="nil"/>
              <w:right w:val="nil"/>
            </w:tcBorders>
            <w:shd w:val="clear" w:color="auto" w:fill="auto"/>
            <w:noWrap/>
            <w:vAlign w:val="bottom"/>
            <w:hideMark/>
          </w:tcPr>
          <w:p w14:paraId="7142ECE3" w14:textId="77777777" w:rsidR="00521147" w:rsidRPr="00521147" w:rsidRDefault="00521147" w:rsidP="00521147">
            <w:pPr>
              <w:rPr>
                <w:lang w:val="en-GB" w:eastAsia="en-GB"/>
              </w:rPr>
            </w:pPr>
          </w:p>
        </w:tc>
        <w:tc>
          <w:tcPr>
            <w:tcW w:w="1180" w:type="dxa"/>
            <w:tcBorders>
              <w:top w:val="nil"/>
              <w:left w:val="nil"/>
              <w:bottom w:val="nil"/>
              <w:right w:val="nil"/>
            </w:tcBorders>
            <w:shd w:val="clear" w:color="auto" w:fill="auto"/>
            <w:noWrap/>
            <w:vAlign w:val="bottom"/>
            <w:hideMark/>
          </w:tcPr>
          <w:p w14:paraId="2F86B4D2" w14:textId="77777777" w:rsidR="00521147" w:rsidRPr="00521147" w:rsidRDefault="00521147" w:rsidP="00521147">
            <w:pPr>
              <w:jc w:val="right"/>
              <w:rPr>
                <w:lang w:val="en-GB" w:eastAsia="en-GB"/>
              </w:rPr>
            </w:pPr>
          </w:p>
        </w:tc>
        <w:tc>
          <w:tcPr>
            <w:tcW w:w="1220" w:type="dxa"/>
            <w:tcBorders>
              <w:top w:val="nil"/>
              <w:left w:val="nil"/>
              <w:bottom w:val="nil"/>
              <w:right w:val="single" w:sz="4" w:space="0" w:color="auto"/>
            </w:tcBorders>
            <w:shd w:val="clear" w:color="auto" w:fill="auto"/>
            <w:noWrap/>
            <w:vAlign w:val="bottom"/>
            <w:hideMark/>
          </w:tcPr>
          <w:p w14:paraId="5DD3AA4A"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w:t>
            </w:r>
          </w:p>
        </w:tc>
      </w:tr>
      <w:tr w:rsidR="00521147" w:rsidRPr="00521147" w14:paraId="67559343"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46AE8F0F"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CIV - unquoted equity</w:t>
            </w:r>
          </w:p>
        </w:tc>
        <w:tc>
          <w:tcPr>
            <w:tcW w:w="1160" w:type="dxa"/>
            <w:tcBorders>
              <w:top w:val="nil"/>
              <w:left w:val="nil"/>
              <w:bottom w:val="nil"/>
              <w:right w:val="nil"/>
            </w:tcBorders>
            <w:shd w:val="clear" w:color="auto" w:fill="auto"/>
            <w:noWrap/>
            <w:vAlign w:val="bottom"/>
            <w:hideMark/>
          </w:tcPr>
          <w:p w14:paraId="31B31235"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8.30%</w:t>
            </w:r>
          </w:p>
        </w:tc>
        <w:tc>
          <w:tcPr>
            <w:tcW w:w="1040" w:type="dxa"/>
            <w:tcBorders>
              <w:top w:val="nil"/>
              <w:left w:val="nil"/>
              <w:bottom w:val="nil"/>
              <w:right w:val="nil"/>
            </w:tcBorders>
            <w:shd w:val="clear" w:color="auto" w:fill="auto"/>
            <w:noWrap/>
            <w:vAlign w:val="bottom"/>
            <w:hideMark/>
          </w:tcPr>
          <w:p w14:paraId="3DCE5A57"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 xml:space="preserve">150 </w:t>
            </w:r>
          </w:p>
        </w:tc>
        <w:tc>
          <w:tcPr>
            <w:tcW w:w="1180" w:type="dxa"/>
            <w:tcBorders>
              <w:top w:val="nil"/>
              <w:left w:val="nil"/>
              <w:bottom w:val="nil"/>
              <w:right w:val="nil"/>
            </w:tcBorders>
            <w:shd w:val="clear" w:color="auto" w:fill="auto"/>
            <w:noWrap/>
            <w:vAlign w:val="bottom"/>
            <w:hideMark/>
          </w:tcPr>
          <w:p w14:paraId="306C8257"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 xml:space="preserve">162 </w:t>
            </w:r>
          </w:p>
        </w:tc>
        <w:tc>
          <w:tcPr>
            <w:tcW w:w="1220" w:type="dxa"/>
            <w:tcBorders>
              <w:top w:val="nil"/>
              <w:left w:val="nil"/>
              <w:bottom w:val="nil"/>
              <w:right w:val="single" w:sz="4" w:space="0" w:color="auto"/>
            </w:tcBorders>
            <w:shd w:val="clear" w:color="auto" w:fill="auto"/>
            <w:noWrap/>
            <w:vAlign w:val="bottom"/>
            <w:hideMark/>
          </w:tcPr>
          <w:p w14:paraId="4DD10910"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 xml:space="preserve">138 </w:t>
            </w:r>
          </w:p>
        </w:tc>
      </w:tr>
      <w:tr w:rsidR="00521147" w:rsidRPr="00521147" w14:paraId="7E860AAC" w14:textId="77777777" w:rsidTr="00521147">
        <w:trPr>
          <w:trHeight w:val="300"/>
        </w:trPr>
        <w:tc>
          <w:tcPr>
            <w:tcW w:w="2660" w:type="dxa"/>
            <w:tcBorders>
              <w:top w:val="nil"/>
              <w:left w:val="single" w:sz="4" w:space="0" w:color="auto"/>
              <w:bottom w:val="single" w:sz="4" w:space="0" w:color="auto"/>
              <w:right w:val="nil"/>
            </w:tcBorders>
            <w:shd w:val="clear" w:color="auto" w:fill="auto"/>
            <w:noWrap/>
            <w:vAlign w:val="bottom"/>
            <w:hideMark/>
          </w:tcPr>
          <w:p w14:paraId="58FF531F" w14:textId="77777777" w:rsidR="00521147" w:rsidRPr="00521147" w:rsidRDefault="00521147" w:rsidP="00521147">
            <w:pPr>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Total financial assets</w:t>
            </w:r>
          </w:p>
        </w:tc>
        <w:tc>
          <w:tcPr>
            <w:tcW w:w="1160" w:type="dxa"/>
            <w:tcBorders>
              <w:top w:val="nil"/>
              <w:left w:val="nil"/>
              <w:bottom w:val="single" w:sz="4" w:space="0" w:color="auto"/>
              <w:right w:val="nil"/>
            </w:tcBorders>
            <w:shd w:val="clear" w:color="auto" w:fill="auto"/>
            <w:noWrap/>
            <w:vAlign w:val="bottom"/>
            <w:hideMark/>
          </w:tcPr>
          <w:p w14:paraId="5624A7AC"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040" w:type="dxa"/>
            <w:tcBorders>
              <w:top w:val="single" w:sz="4" w:space="0" w:color="auto"/>
              <w:left w:val="nil"/>
              <w:bottom w:val="single" w:sz="4" w:space="0" w:color="auto"/>
              <w:right w:val="nil"/>
            </w:tcBorders>
            <w:shd w:val="clear" w:color="auto" w:fill="auto"/>
            <w:noWrap/>
            <w:vAlign w:val="bottom"/>
            <w:hideMark/>
          </w:tcPr>
          <w:p w14:paraId="57416266" w14:textId="77777777" w:rsidR="00521147" w:rsidRPr="00521147" w:rsidRDefault="00521147" w:rsidP="00521147">
            <w:pPr>
              <w:jc w:val="right"/>
              <w:rPr>
                <w:rFonts w:ascii="Arial" w:hAnsi="Arial" w:cs="Arial"/>
                <w:b/>
                <w:bCs/>
                <w:sz w:val="22"/>
                <w:szCs w:val="22"/>
                <w:lang w:val="en-GB" w:eastAsia="en-GB"/>
              </w:rPr>
            </w:pPr>
            <w:r w:rsidRPr="00521147">
              <w:rPr>
                <w:rFonts w:ascii="Arial" w:hAnsi="Arial" w:cs="Arial"/>
                <w:b/>
                <w:bCs/>
                <w:sz w:val="22"/>
                <w:szCs w:val="22"/>
                <w:lang w:val="en-GB" w:eastAsia="en-GB"/>
              </w:rPr>
              <w:t xml:space="preserve">  159,377 </w:t>
            </w:r>
          </w:p>
        </w:tc>
        <w:tc>
          <w:tcPr>
            <w:tcW w:w="1180" w:type="dxa"/>
            <w:tcBorders>
              <w:top w:val="single" w:sz="4" w:space="0" w:color="auto"/>
              <w:left w:val="nil"/>
              <w:bottom w:val="single" w:sz="4" w:space="0" w:color="auto"/>
              <w:right w:val="nil"/>
            </w:tcBorders>
            <w:shd w:val="clear" w:color="auto" w:fill="auto"/>
            <w:noWrap/>
            <w:vAlign w:val="bottom"/>
            <w:hideMark/>
          </w:tcPr>
          <w:p w14:paraId="0268D8FF" w14:textId="77777777" w:rsidR="00521147" w:rsidRPr="00521147" w:rsidRDefault="00521147" w:rsidP="00521147">
            <w:pPr>
              <w:jc w:val="right"/>
              <w:rPr>
                <w:rFonts w:ascii="Arial" w:hAnsi="Arial" w:cs="Arial"/>
                <w:b/>
                <w:bCs/>
                <w:sz w:val="22"/>
                <w:szCs w:val="22"/>
                <w:lang w:val="en-GB" w:eastAsia="en-GB"/>
              </w:rPr>
            </w:pPr>
            <w:r w:rsidRPr="00521147">
              <w:rPr>
                <w:rFonts w:ascii="Arial" w:hAnsi="Arial" w:cs="Arial"/>
                <w:b/>
                <w:bCs/>
                <w:sz w:val="22"/>
                <w:szCs w:val="22"/>
                <w:lang w:val="en-GB" w:eastAsia="en-GB"/>
              </w:rPr>
              <w:t xml:space="preserve">    168,554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B595E5F" w14:textId="77777777" w:rsidR="00521147" w:rsidRPr="00521147" w:rsidRDefault="00521147" w:rsidP="00521147">
            <w:pPr>
              <w:jc w:val="right"/>
              <w:rPr>
                <w:rFonts w:ascii="Arial" w:hAnsi="Arial" w:cs="Arial"/>
                <w:b/>
                <w:bCs/>
                <w:sz w:val="22"/>
                <w:szCs w:val="22"/>
                <w:lang w:val="en-GB" w:eastAsia="en-GB"/>
              </w:rPr>
            </w:pPr>
            <w:r w:rsidRPr="00521147">
              <w:rPr>
                <w:rFonts w:ascii="Arial" w:hAnsi="Arial" w:cs="Arial"/>
                <w:b/>
                <w:bCs/>
                <w:sz w:val="22"/>
                <w:szCs w:val="22"/>
                <w:lang w:val="en-GB" w:eastAsia="en-GB"/>
              </w:rPr>
              <w:t xml:space="preserve">     150,200 </w:t>
            </w:r>
          </w:p>
        </w:tc>
      </w:tr>
    </w:tbl>
    <w:p w14:paraId="7B8DD8AC" w14:textId="77777777" w:rsidR="00521147" w:rsidRPr="00A039E1" w:rsidRDefault="00521147" w:rsidP="00A039E1">
      <w:pPr>
        <w:spacing w:after="200" w:line="276" w:lineRule="auto"/>
        <w:ind w:right="74"/>
        <w:jc w:val="both"/>
        <w:rPr>
          <w:rFonts w:ascii="Arial" w:eastAsia="Arial" w:hAnsi="Arial" w:cs="Arial"/>
          <w:b/>
          <w:bCs/>
          <w:sz w:val="22"/>
          <w:szCs w:val="22"/>
        </w:rPr>
      </w:pPr>
    </w:p>
    <w:tbl>
      <w:tblPr>
        <w:tblW w:w="7260" w:type="dxa"/>
        <w:tblLook w:val="04A0" w:firstRow="1" w:lastRow="0" w:firstColumn="1" w:lastColumn="0" w:noHBand="0" w:noVBand="1"/>
      </w:tblPr>
      <w:tblGrid>
        <w:gridCol w:w="2660"/>
        <w:gridCol w:w="1160"/>
        <w:gridCol w:w="1040"/>
        <w:gridCol w:w="1207"/>
        <w:gridCol w:w="1220"/>
      </w:tblGrid>
      <w:tr w:rsidR="00521147" w:rsidRPr="00521147" w14:paraId="612DFB1B" w14:textId="77777777" w:rsidTr="00521147">
        <w:trPr>
          <w:trHeight w:val="1200"/>
        </w:trPr>
        <w:tc>
          <w:tcPr>
            <w:tcW w:w="2660" w:type="dxa"/>
            <w:tcBorders>
              <w:top w:val="single" w:sz="4" w:space="0" w:color="auto"/>
              <w:left w:val="single" w:sz="4" w:space="0" w:color="auto"/>
              <w:bottom w:val="nil"/>
              <w:right w:val="nil"/>
            </w:tcBorders>
            <w:shd w:val="clear" w:color="000000" w:fill="00CC99"/>
            <w:noWrap/>
            <w:hideMark/>
          </w:tcPr>
          <w:p w14:paraId="13696D58" w14:textId="77777777" w:rsidR="00521147" w:rsidRPr="00521147" w:rsidRDefault="00521147" w:rsidP="00521147">
            <w:pPr>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Level 3 Assets</w:t>
            </w:r>
          </w:p>
        </w:tc>
        <w:tc>
          <w:tcPr>
            <w:tcW w:w="1160" w:type="dxa"/>
            <w:tcBorders>
              <w:top w:val="single" w:sz="4" w:space="0" w:color="auto"/>
              <w:left w:val="nil"/>
              <w:bottom w:val="nil"/>
              <w:right w:val="nil"/>
            </w:tcBorders>
            <w:shd w:val="clear" w:color="000000" w:fill="00CC99"/>
            <w:hideMark/>
          </w:tcPr>
          <w:p w14:paraId="4E948642" w14:textId="77777777" w:rsidR="00521147" w:rsidRPr="00521147" w:rsidRDefault="00521147" w:rsidP="00521147">
            <w:pPr>
              <w:jc w:val="right"/>
              <w:rPr>
                <w:rFonts w:ascii="Calibri" w:hAnsi="Calibri" w:cs="Calibri"/>
                <w:b/>
                <w:bCs/>
                <w:color w:val="000000"/>
                <w:sz w:val="22"/>
                <w:szCs w:val="22"/>
                <w:lang w:val="en-GB" w:eastAsia="en-GB"/>
              </w:rPr>
            </w:pPr>
            <w:r w:rsidRPr="00521147">
              <w:rPr>
                <w:rFonts w:ascii="Calibri" w:hAnsi="Calibri" w:cs="Calibri"/>
                <w:b/>
                <w:bCs/>
                <w:color w:val="000000"/>
                <w:sz w:val="22"/>
                <w:szCs w:val="22"/>
                <w:lang w:val="en-GB" w:eastAsia="en-GB"/>
              </w:rPr>
              <w:t>Valuation range +/-</w:t>
            </w:r>
          </w:p>
        </w:tc>
        <w:tc>
          <w:tcPr>
            <w:tcW w:w="1040" w:type="dxa"/>
            <w:tcBorders>
              <w:top w:val="single" w:sz="4" w:space="0" w:color="auto"/>
              <w:left w:val="nil"/>
              <w:bottom w:val="nil"/>
              <w:right w:val="nil"/>
            </w:tcBorders>
            <w:shd w:val="clear" w:color="000000" w:fill="00CC99"/>
            <w:hideMark/>
          </w:tcPr>
          <w:p w14:paraId="32EF8225" w14:textId="77777777" w:rsidR="00521147" w:rsidRPr="00521147" w:rsidRDefault="00521147" w:rsidP="00521147">
            <w:pPr>
              <w:jc w:val="right"/>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Values at 31 March 2019</w:t>
            </w:r>
          </w:p>
        </w:tc>
        <w:tc>
          <w:tcPr>
            <w:tcW w:w="1180" w:type="dxa"/>
            <w:tcBorders>
              <w:top w:val="single" w:sz="4" w:space="0" w:color="auto"/>
              <w:left w:val="nil"/>
              <w:bottom w:val="nil"/>
              <w:right w:val="nil"/>
            </w:tcBorders>
            <w:shd w:val="clear" w:color="000000" w:fill="00CC99"/>
            <w:hideMark/>
          </w:tcPr>
          <w:p w14:paraId="29609C0F" w14:textId="77777777" w:rsidR="00521147" w:rsidRPr="00521147" w:rsidRDefault="00521147" w:rsidP="00521147">
            <w:pPr>
              <w:jc w:val="right"/>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Valuation Increase</w:t>
            </w:r>
          </w:p>
        </w:tc>
        <w:tc>
          <w:tcPr>
            <w:tcW w:w="1220" w:type="dxa"/>
            <w:tcBorders>
              <w:top w:val="single" w:sz="4" w:space="0" w:color="auto"/>
              <w:left w:val="nil"/>
              <w:bottom w:val="nil"/>
              <w:right w:val="single" w:sz="4" w:space="0" w:color="auto"/>
            </w:tcBorders>
            <w:shd w:val="clear" w:color="000000" w:fill="00CC99"/>
            <w:hideMark/>
          </w:tcPr>
          <w:p w14:paraId="7A4FC463" w14:textId="77777777" w:rsidR="00521147" w:rsidRPr="00521147" w:rsidRDefault="00521147" w:rsidP="00521147">
            <w:pPr>
              <w:jc w:val="right"/>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Valuation decrease</w:t>
            </w:r>
          </w:p>
        </w:tc>
      </w:tr>
      <w:tr w:rsidR="00521147" w:rsidRPr="00521147" w14:paraId="79B40719" w14:textId="77777777" w:rsidTr="00521147">
        <w:trPr>
          <w:trHeight w:val="300"/>
        </w:trPr>
        <w:tc>
          <w:tcPr>
            <w:tcW w:w="2660" w:type="dxa"/>
            <w:tcBorders>
              <w:top w:val="nil"/>
              <w:left w:val="single" w:sz="4" w:space="0" w:color="auto"/>
              <w:bottom w:val="nil"/>
              <w:right w:val="nil"/>
            </w:tcBorders>
            <w:shd w:val="clear" w:color="000000" w:fill="00CC99"/>
            <w:noWrap/>
            <w:vAlign w:val="bottom"/>
            <w:hideMark/>
          </w:tcPr>
          <w:p w14:paraId="3C071F70"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160" w:type="dxa"/>
            <w:tcBorders>
              <w:top w:val="nil"/>
              <w:left w:val="nil"/>
              <w:bottom w:val="nil"/>
              <w:right w:val="nil"/>
            </w:tcBorders>
            <w:shd w:val="clear" w:color="000000" w:fill="00CC99"/>
            <w:noWrap/>
            <w:vAlign w:val="bottom"/>
            <w:hideMark/>
          </w:tcPr>
          <w:p w14:paraId="784DE35A" w14:textId="77777777" w:rsidR="00521147" w:rsidRPr="00521147" w:rsidRDefault="00521147" w:rsidP="00521147">
            <w:pPr>
              <w:jc w:val="right"/>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 </w:t>
            </w:r>
          </w:p>
        </w:tc>
        <w:tc>
          <w:tcPr>
            <w:tcW w:w="1040" w:type="dxa"/>
            <w:tcBorders>
              <w:top w:val="nil"/>
              <w:left w:val="nil"/>
              <w:bottom w:val="nil"/>
              <w:right w:val="nil"/>
            </w:tcBorders>
            <w:shd w:val="clear" w:color="000000" w:fill="00CC99"/>
            <w:noWrap/>
            <w:vAlign w:val="bottom"/>
            <w:hideMark/>
          </w:tcPr>
          <w:p w14:paraId="5F17E177" w14:textId="77777777" w:rsidR="00521147" w:rsidRPr="00521147" w:rsidRDefault="00521147" w:rsidP="00521147">
            <w:pPr>
              <w:jc w:val="right"/>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£'000</w:t>
            </w:r>
          </w:p>
        </w:tc>
        <w:tc>
          <w:tcPr>
            <w:tcW w:w="1180" w:type="dxa"/>
            <w:tcBorders>
              <w:top w:val="nil"/>
              <w:left w:val="nil"/>
              <w:bottom w:val="nil"/>
              <w:right w:val="nil"/>
            </w:tcBorders>
            <w:shd w:val="clear" w:color="000000" w:fill="00CC99"/>
            <w:noWrap/>
            <w:vAlign w:val="bottom"/>
            <w:hideMark/>
          </w:tcPr>
          <w:p w14:paraId="3231701E" w14:textId="77777777" w:rsidR="00521147" w:rsidRPr="00521147" w:rsidRDefault="00521147" w:rsidP="00521147">
            <w:pPr>
              <w:jc w:val="right"/>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£'000</w:t>
            </w:r>
          </w:p>
        </w:tc>
        <w:tc>
          <w:tcPr>
            <w:tcW w:w="1220" w:type="dxa"/>
            <w:tcBorders>
              <w:top w:val="nil"/>
              <w:left w:val="nil"/>
              <w:bottom w:val="nil"/>
              <w:right w:val="single" w:sz="4" w:space="0" w:color="auto"/>
            </w:tcBorders>
            <w:shd w:val="clear" w:color="000000" w:fill="00CC99"/>
            <w:noWrap/>
            <w:vAlign w:val="bottom"/>
            <w:hideMark/>
          </w:tcPr>
          <w:p w14:paraId="2DA6F93B"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r>
      <w:tr w:rsidR="00521147" w:rsidRPr="00521147" w14:paraId="236DF370"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0A8152E8" w14:textId="77777777" w:rsidR="00521147" w:rsidRPr="00521147" w:rsidRDefault="00521147" w:rsidP="00521147">
            <w:pPr>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Financial assets</w:t>
            </w:r>
          </w:p>
        </w:tc>
        <w:tc>
          <w:tcPr>
            <w:tcW w:w="1160" w:type="dxa"/>
            <w:tcBorders>
              <w:top w:val="nil"/>
              <w:left w:val="nil"/>
              <w:bottom w:val="nil"/>
              <w:right w:val="nil"/>
            </w:tcBorders>
            <w:shd w:val="clear" w:color="auto" w:fill="auto"/>
            <w:noWrap/>
            <w:vAlign w:val="bottom"/>
            <w:hideMark/>
          </w:tcPr>
          <w:p w14:paraId="1E563579" w14:textId="77777777" w:rsidR="00521147" w:rsidRPr="00521147" w:rsidRDefault="00521147" w:rsidP="00521147">
            <w:pPr>
              <w:rPr>
                <w:rFonts w:ascii="Arial" w:hAnsi="Arial" w:cs="Arial"/>
                <w:b/>
                <w:bCs/>
                <w:color w:val="000000"/>
                <w:sz w:val="22"/>
                <w:szCs w:val="22"/>
                <w:lang w:val="en-GB" w:eastAsia="en-GB"/>
              </w:rPr>
            </w:pPr>
          </w:p>
        </w:tc>
        <w:tc>
          <w:tcPr>
            <w:tcW w:w="1040" w:type="dxa"/>
            <w:tcBorders>
              <w:top w:val="nil"/>
              <w:left w:val="nil"/>
              <w:bottom w:val="nil"/>
              <w:right w:val="nil"/>
            </w:tcBorders>
            <w:shd w:val="clear" w:color="auto" w:fill="auto"/>
            <w:noWrap/>
            <w:vAlign w:val="bottom"/>
            <w:hideMark/>
          </w:tcPr>
          <w:p w14:paraId="6C4E165B" w14:textId="77777777" w:rsidR="00521147" w:rsidRPr="00521147" w:rsidRDefault="00521147" w:rsidP="00521147">
            <w:pPr>
              <w:jc w:val="center"/>
              <w:rPr>
                <w:lang w:val="en-GB" w:eastAsia="en-GB"/>
              </w:rPr>
            </w:pPr>
          </w:p>
        </w:tc>
        <w:tc>
          <w:tcPr>
            <w:tcW w:w="1180" w:type="dxa"/>
            <w:tcBorders>
              <w:top w:val="nil"/>
              <w:left w:val="nil"/>
              <w:bottom w:val="nil"/>
              <w:right w:val="nil"/>
            </w:tcBorders>
            <w:shd w:val="clear" w:color="auto" w:fill="auto"/>
            <w:noWrap/>
            <w:vAlign w:val="bottom"/>
            <w:hideMark/>
          </w:tcPr>
          <w:p w14:paraId="0ABC9221" w14:textId="77777777" w:rsidR="00521147" w:rsidRPr="00521147" w:rsidRDefault="00521147" w:rsidP="00521147">
            <w:pPr>
              <w:rPr>
                <w:lang w:val="en-GB" w:eastAsia="en-GB"/>
              </w:rPr>
            </w:pPr>
          </w:p>
        </w:tc>
        <w:tc>
          <w:tcPr>
            <w:tcW w:w="1220" w:type="dxa"/>
            <w:tcBorders>
              <w:top w:val="nil"/>
              <w:left w:val="nil"/>
              <w:bottom w:val="nil"/>
              <w:right w:val="single" w:sz="4" w:space="0" w:color="auto"/>
            </w:tcBorders>
            <w:shd w:val="clear" w:color="auto" w:fill="auto"/>
            <w:noWrap/>
            <w:vAlign w:val="bottom"/>
            <w:hideMark/>
          </w:tcPr>
          <w:p w14:paraId="7F3EB335"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r>
      <w:tr w:rsidR="00521147" w:rsidRPr="00521147" w14:paraId="15CA1153"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4C20DAD7"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Property</w:t>
            </w:r>
          </w:p>
        </w:tc>
        <w:tc>
          <w:tcPr>
            <w:tcW w:w="1160" w:type="dxa"/>
            <w:tcBorders>
              <w:top w:val="nil"/>
              <w:left w:val="nil"/>
              <w:bottom w:val="nil"/>
              <w:right w:val="nil"/>
            </w:tcBorders>
            <w:shd w:val="clear" w:color="auto" w:fill="auto"/>
            <w:noWrap/>
            <w:vAlign w:val="bottom"/>
            <w:hideMark/>
          </w:tcPr>
          <w:p w14:paraId="23784B11"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1.40%</w:t>
            </w:r>
          </w:p>
        </w:tc>
        <w:tc>
          <w:tcPr>
            <w:tcW w:w="1040" w:type="dxa"/>
            <w:tcBorders>
              <w:top w:val="nil"/>
              <w:left w:val="nil"/>
              <w:bottom w:val="nil"/>
              <w:right w:val="nil"/>
            </w:tcBorders>
            <w:shd w:val="clear" w:color="auto" w:fill="auto"/>
            <w:noWrap/>
            <w:vAlign w:val="bottom"/>
            <w:hideMark/>
          </w:tcPr>
          <w:p w14:paraId="58E4804C"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55,211 </w:t>
            </w:r>
          </w:p>
        </w:tc>
        <w:tc>
          <w:tcPr>
            <w:tcW w:w="1180" w:type="dxa"/>
            <w:tcBorders>
              <w:top w:val="nil"/>
              <w:left w:val="nil"/>
              <w:bottom w:val="nil"/>
              <w:right w:val="nil"/>
            </w:tcBorders>
            <w:shd w:val="clear" w:color="auto" w:fill="auto"/>
            <w:noWrap/>
            <w:vAlign w:val="bottom"/>
            <w:hideMark/>
          </w:tcPr>
          <w:p w14:paraId="511ADB7E"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55,984 </w:t>
            </w:r>
          </w:p>
        </w:tc>
        <w:tc>
          <w:tcPr>
            <w:tcW w:w="1220" w:type="dxa"/>
            <w:tcBorders>
              <w:top w:val="nil"/>
              <w:left w:val="nil"/>
              <w:bottom w:val="nil"/>
              <w:right w:val="single" w:sz="4" w:space="0" w:color="auto"/>
            </w:tcBorders>
            <w:shd w:val="clear" w:color="auto" w:fill="auto"/>
            <w:noWrap/>
            <w:vAlign w:val="bottom"/>
            <w:hideMark/>
          </w:tcPr>
          <w:p w14:paraId="0E636298"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54,438 </w:t>
            </w:r>
          </w:p>
        </w:tc>
      </w:tr>
      <w:tr w:rsidR="00521147" w:rsidRPr="00521147" w14:paraId="7339A66B" w14:textId="77777777" w:rsidTr="00521147">
        <w:trPr>
          <w:trHeight w:val="300"/>
        </w:trPr>
        <w:tc>
          <w:tcPr>
            <w:tcW w:w="2660" w:type="dxa"/>
            <w:tcBorders>
              <w:top w:val="nil"/>
              <w:left w:val="single" w:sz="4" w:space="0" w:color="auto"/>
              <w:bottom w:val="nil"/>
              <w:right w:val="nil"/>
            </w:tcBorders>
            <w:shd w:val="clear" w:color="auto" w:fill="auto"/>
            <w:vAlign w:val="bottom"/>
            <w:hideMark/>
          </w:tcPr>
          <w:p w14:paraId="04076829"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160" w:type="dxa"/>
            <w:tcBorders>
              <w:top w:val="nil"/>
              <w:left w:val="nil"/>
              <w:bottom w:val="nil"/>
              <w:right w:val="nil"/>
            </w:tcBorders>
            <w:shd w:val="clear" w:color="auto" w:fill="auto"/>
            <w:noWrap/>
            <w:vAlign w:val="bottom"/>
            <w:hideMark/>
          </w:tcPr>
          <w:p w14:paraId="2B33998E" w14:textId="77777777" w:rsidR="00521147" w:rsidRPr="00521147" w:rsidRDefault="00521147" w:rsidP="00521147">
            <w:pPr>
              <w:rPr>
                <w:rFonts w:ascii="Arial" w:hAnsi="Arial" w:cs="Arial"/>
                <w:color w:val="000000"/>
                <w:sz w:val="22"/>
                <w:szCs w:val="22"/>
                <w:lang w:val="en-GB" w:eastAsia="en-GB"/>
              </w:rPr>
            </w:pPr>
          </w:p>
        </w:tc>
        <w:tc>
          <w:tcPr>
            <w:tcW w:w="1040" w:type="dxa"/>
            <w:tcBorders>
              <w:top w:val="nil"/>
              <w:left w:val="nil"/>
              <w:bottom w:val="nil"/>
              <w:right w:val="nil"/>
            </w:tcBorders>
            <w:shd w:val="clear" w:color="auto" w:fill="auto"/>
            <w:noWrap/>
            <w:vAlign w:val="bottom"/>
            <w:hideMark/>
          </w:tcPr>
          <w:p w14:paraId="759699F3" w14:textId="77777777" w:rsidR="00521147" w:rsidRPr="00521147" w:rsidRDefault="00521147" w:rsidP="00521147">
            <w:pPr>
              <w:rPr>
                <w:lang w:val="en-GB" w:eastAsia="en-GB"/>
              </w:rPr>
            </w:pPr>
          </w:p>
        </w:tc>
        <w:tc>
          <w:tcPr>
            <w:tcW w:w="1180" w:type="dxa"/>
            <w:tcBorders>
              <w:top w:val="nil"/>
              <w:left w:val="nil"/>
              <w:bottom w:val="nil"/>
              <w:right w:val="nil"/>
            </w:tcBorders>
            <w:shd w:val="clear" w:color="auto" w:fill="auto"/>
            <w:noWrap/>
            <w:vAlign w:val="bottom"/>
            <w:hideMark/>
          </w:tcPr>
          <w:p w14:paraId="2D9CF66A" w14:textId="77777777" w:rsidR="00521147" w:rsidRPr="00521147" w:rsidRDefault="00521147" w:rsidP="00521147">
            <w:pPr>
              <w:jc w:val="right"/>
              <w:rPr>
                <w:lang w:val="en-GB" w:eastAsia="en-GB"/>
              </w:rPr>
            </w:pPr>
          </w:p>
        </w:tc>
        <w:tc>
          <w:tcPr>
            <w:tcW w:w="1220" w:type="dxa"/>
            <w:tcBorders>
              <w:top w:val="nil"/>
              <w:left w:val="nil"/>
              <w:bottom w:val="nil"/>
              <w:right w:val="single" w:sz="4" w:space="0" w:color="auto"/>
            </w:tcBorders>
            <w:shd w:val="clear" w:color="auto" w:fill="auto"/>
            <w:noWrap/>
            <w:vAlign w:val="bottom"/>
            <w:hideMark/>
          </w:tcPr>
          <w:p w14:paraId="79A61327"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w:t>
            </w:r>
          </w:p>
        </w:tc>
      </w:tr>
      <w:tr w:rsidR="00521147" w:rsidRPr="00521147" w14:paraId="75C13223"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05B23C67"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Hedge Funds</w:t>
            </w:r>
          </w:p>
        </w:tc>
        <w:tc>
          <w:tcPr>
            <w:tcW w:w="1160" w:type="dxa"/>
            <w:tcBorders>
              <w:top w:val="nil"/>
              <w:left w:val="nil"/>
              <w:bottom w:val="nil"/>
              <w:right w:val="nil"/>
            </w:tcBorders>
            <w:shd w:val="clear" w:color="auto" w:fill="auto"/>
            <w:noWrap/>
            <w:vAlign w:val="bottom"/>
            <w:hideMark/>
          </w:tcPr>
          <w:p w14:paraId="21C3F3B1"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10.20%</w:t>
            </w:r>
          </w:p>
        </w:tc>
        <w:tc>
          <w:tcPr>
            <w:tcW w:w="1040" w:type="dxa"/>
            <w:tcBorders>
              <w:top w:val="nil"/>
              <w:left w:val="nil"/>
              <w:bottom w:val="nil"/>
              <w:right w:val="nil"/>
            </w:tcBorders>
            <w:shd w:val="clear" w:color="auto" w:fill="auto"/>
            <w:noWrap/>
            <w:vAlign w:val="bottom"/>
            <w:hideMark/>
          </w:tcPr>
          <w:p w14:paraId="75689095"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154 </w:t>
            </w:r>
          </w:p>
        </w:tc>
        <w:tc>
          <w:tcPr>
            <w:tcW w:w="1180" w:type="dxa"/>
            <w:tcBorders>
              <w:top w:val="nil"/>
              <w:left w:val="nil"/>
              <w:bottom w:val="nil"/>
              <w:right w:val="nil"/>
            </w:tcBorders>
            <w:shd w:val="clear" w:color="auto" w:fill="auto"/>
            <w:noWrap/>
            <w:vAlign w:val="bottom"/>
            <w:hideMark/>
          </w:tcPr>
          <w:p w14:paraId="477FA8AD"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170 </w:t>
            </w:r>
          </w:p>
        </w:tc>
        <w:tc>
          <w:tcPr>
            <w:tcW w:w="1220" w:type="dxa"/>
            <w:tcBorders>
              <w:top w:val="nil"/>
              <w:left w:val="nil"/>
              <w:bottom w:val="nil"/>
              <w:right w:val="single" w:sz="4" w:space="0" w:color="auto"/>
            </w:tcBorders>
            <w:shd w:val="clear" w:color="auto" w:fill="auto"/>
            <w:noWrap/>
            <w:vAlign w:val="bottom"/>
            <w:hideMark/>
          </w:tcPr>
          <w:p w14:paraId="0776DB21"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138 </w:t>
            </w:r>
          </w:p>
        </w:tc>
      </w:tr>
      <w:tr w:rsidR="00521147" w:rsidRPr="00521147" w14:paraId="5B454A51"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0FAD6EEA"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160" w:type="dxa"/>
            <w:tcBorders>
              <w:top w:val="nil"/>
              <w:left w:val="nil"/>
              <w:bottom w:val="nil"/>
              <w:right w:val="nil"/>
            </w:tcBorders>
            <w:shd w:val="clear" w:color="auto" w:fill="auto"/>
            <w:noWrap/>
            <w:vAlign w:val="bottom"/>
            <w:hideMark/>
          </w:tcPr>
          <w:p w14:paraId="0B84C6C6" w14:textId="77777777" w:rsidR="00521147" w:rsidRPr="00521147" w:rsidRDefault="00521147" w:rsidP="00521147">
            <w:pPr>
              <w:rPr>
                <w:rFonts w:ascii="Arial" w:hAnsi="Arial" w:cs="Arial"/>
                <w:color w:val="000000"/>
                <w:sz w:val="22"/>
                <w:szCs w:val="22"/>
                <w:lang w:val="en-GB" w:eastAsia="en-GB"/>
              </w:rPr>
            </w:pPr>
          </w:p>
        </w:tc>
        <w:tc>
          <w:tcPr>
            <w:tcW w:w="1040" w:type="dxa"/>
            <w:tcBorders>
              <w:top w:val="nil"/>
              <w:left w:val="nil"/>
              <w:bottom w:val="nil"/>
              <w:right w:val="nil"/>
            </w:tcBorders>
            <w:shd w:val="clear" w:color="auto" w:fill="auto"/>
            <w:noWrap/>
            <w:vAlign w:val="bottom"/>
            <w:hideMark/>
          </w:tcPr>
          <w:p w14:paraId="7FCA6381" w14:textId="77777777" w:rsidR="00521147" w:rsidRPr="00521147" w:rsidRDefault="00521147" w:rsidP="00521147">
            <w:pPr>
              <w:rPr>
                <w:lang w:val="en-GB" w:eastAsia="en-GB"/>
              </w:rPr>
            </w:pPr>
          </w:p>
        </w:tc>
        <w:tc>
          <w:tcPr>
            <w:tcW w:w="1180" w:type="dxa"/>
            <w:tcBorders>
              <w:top w:val="nil"/>
              <w:left w:val="nil"/>
              <w:bottom w:val="nil"/>
              <w:right w:val="nil"/>
            </w:tcBorders>
            <w:shd w:val="clear" w:color="auto" w:fill="auto"/>
            <w:noWrap/>
            <w:vAlign w:val="bottom"/>
            <w:hideMark/>
          </w:tcPr>
          <w:p w14:paraId="12585A4E" w14:textId="77777777" w:rsidR="00521147" w:rsidRPr="00521147" w:rsidRDefault="00521147" w:rsidP="00521147">
            <w:pPr>
              <w:jc w:val="right"/>
              <w:rPr>
                <w:lang w:val="en-GB" w:eastAsia="en-GB"/>
              </w:rPr>
            </w:pPr>
          </w:p>
        </w:tc>
        <w:tc>
          <w:tcPr>
            <w:tcW w:w="1220" w:type="dxa"/>
            <w:tcBorders>
              <w:top w:val="nil"/>
              <w:left w:val="nil"/>
              <w:bottom w:val="nil"/>
              <w:right w:val="single" w:sz="4" w:space="0" w:color="auto"/>
            </w:tcBorders>
            <w:shd w:val="clear" w:color="auto" w:fill="auto"/>
            <w:noWrap/>
            <w:vAlign w:val="bottom"/>
            <w:hideMark/>
          </w:tcPr>
          <w:p w14:paraId="628D2159"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w:t>
            </w:r>
          </w:p>
        </w:tc>
      </w:tr>
      <w:tr w:rsidR="00521147" w:rsidRPr="00521147" w14:paraId="58AC2DA0"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0C40F05A"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Infrastructure</w:t>
            </w:r>
          </w:p>
        </w:tc>
        <w:tc>
          <w:tcPr>
            <w:tcW w:w="1160" w:type="dxa"/>
            <w:tcBorders>
              <w:top w:val="nil"/>
              <w:left w:val="nil"/>
              <w:bottom w:val="nil"/>
              <w:right w:val="nil"/>
            </w:tcBorders>
            <w:shd w:val="clear" w:color="auto" w:fill="auto"/>
            <w:noWrap/>
            <w:vAlign w:val="bottom"/>
            <w:hideMark/>
          </w:tcPr>
          <w:p w14:paraId="325167E4"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10.20%</w:t>
            </w:r>
          </w:p>
        </w:tc>
        <w:tc>
          <w:tcPr>
            <w:tcW w:w="1040" w:type="dxa"/>
            <w:tcBorders>
              <w:top w:val="nil"/>
              <w:left w:val="nil"/>
              <w:bottom w:val="nil"/>
              <w:right w:val="nil"/>
            </w:tcBorders>
            <w:shd w:val="clear" w:color="auto" w:fill="auto"/>
            <w:noWrap/>
            <w:vAlign w:val="bottom"/>
            <w:hideMark/>
          </w:tcPr>
          <w:p w14:paraId="780B5C55"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109,704 </w:t>
            </w:r>
          </w:p>
        </w:tc>
        <w:tc>
          <w:tcPr>
            <w:tcW w:w="1180" w:type="dxa"/>
            <w:tcBorders>
              <w:top w:val="nil"/>
              <w:left w:val="nil"/>
              <w:bottom w:val="nil"/>
              <w:right w:val="nil"/>
            </w:tcBorders>
            <w:shd w:val="clear" w:color="auto" w:fill="auto"/>
            <w:noWrap/>
            <w:vAlign w:val="bottom"/>
            <w:hideMark/>
          </w:tcPr>
          <w:p w14:paraId="66E22628"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120,894 </w:t>
            </w:r>
          </w:p>
        </w:tc>
        <w:tc>
          <w:tcPr>
            <w:tcW w:w="1220" w:type="dxa"/>
            <w:tcBorders>
              <w:top w:val="nil"/>
              <w:left w:val="nil"/>
              <w:bottom w:val="nil"/>
              <w:right w:val="single" w:sz="4" w:space="0" w:color="auto"/>
            </w:tcBorders>
            <w:shd w:val="clear" w:color="auto" w:fill="auto"/>
            <w:noWrap/>
            <w:vAlign w:val="bottom"/>
            <w:hideMark/>
          </w:tcPr>
          <w:p w14:paraId="0CDEC159"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98,514 </w:t>
            </w:r>
          </w:p>
        </w:tc>
      </w:tr>
      <w:tr w:rsidR="00521147" w:rsidRPr="00521147" w14:paraId="121C1043"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605F391A"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160" w:type="dxa"/>
            <w:tcBorders>
              <w:top w:val="nil"/>
              <w:left w:val="nil"/>
              <w:bottom w:val="nil"/>
              <w:right w:val="nil"/>
            </w:tcBorders>
            <w:shd w:val="clear" w:color="auto" w:fill="auto"/>
            <w:noWrap/>
            <w:vAlign w:val="bottom"/>
            <w:hideMark/>
          </w:tcPr>
          <w:p w14:paraId="401E7C74" w14:textId="77777777" w:rsidR="00521147" w:rsidRPr="00521147" w:rsidRDefault="00521147" w:rsidP="00521147">
            <w:pPr>
              <w:rPr>
                <w:rFonts w:ascii="Arial" w:hAnsi="Arial" w:cs="Arial"/>
                <w:color w:val="000000"/>
                <w:sz w:val="22"/>
                <w:szCs w:val="22"/>
                <w:lang w:val="en-GB" w:eastAsia="en-GB"/>
              </w:rPr>
            </w:pPr>
          </w:p>
        </w:tc>
        <w:tc>
          <w:tcPr>
            <w:tcW w:w="1040" w:type="dxa"/>
            <w:tcBorders>
              <w:top w:val="nil"/>
              <w:left w:val="nil"/>
              <w:bottom w:val="nil"/>
              <w:right w:val="nil"/>
            </w:tcBorders>
            <w:shd w:val="clear" w:color="auto" w:fill="auto"/>
            <w:noWrap/>
            <w:vAlign w:val="bottom"/>
            <w:hideMark/>
          </w:tcPr>
          <w:p w14:paraId="6C993818" w14:textId="77777777" w:rsidR="00521147" w:rsidRPr="00521147" w:rsidRDefault="00521147" w:rsidP="00521147">
            <w:pPr>
              <w:rPr>
                <w:lang w:val="en-GB" w:eastAsia="en-GB"/>
              </w:rPr>
            </w:pPr>
          </w:p>
        </w:tc>
        <w:tc>
          <w:tcPr>
            <w:tcW w:w="1180" w:type="dxa"/>
            <w:tcBorders>
              <w:top w:val="nil"/>
              <w:left w:val="nil"/>
              <w:bottom w:val="nil"/>
              <w:right w:val="nil"/>
            </w:tcBorders>
            <w:shd w:val="clear" w:color="auto" w:fill="auto"/>
            <w:noWrap/>
            <w:vAlign w:val="bottom"/>
            <w:hideMark/>
          </w:tcPr>
          <w:p w14:paraId="4D09D546" w14:textId="77777777" w:rsidR="00521147" w:rsidRPr="00521147" w:rsidRDefault="00521147" w:rsidP="00521147">
            <w:pPr>
              <w:jc w:val="right"/>
              <w:rPr>
                <w:lang w:val="en-GB" w:eastAsia="en-GB"/>
              </w:rPr>
            </w:pPr>
          </w:p>
        </w:tc>
        <w:tc>
          <w:tcPr>
            <w:tcW w:w="1220" w:type="dxa"/>
            <w:tcBorders>
              <w:top w:val="nil"/>
              <w:left w:val="nil"/>
              <w:bottom w:val="nil"/>
              <w:right w:val="single" w:sz="4" w:space="0" w:color="auto"/>
            </w:tcBorders>
            <w:shd w:val="clear" w:color="auto" w:fill="auto"/>
            <w:noWrap/>
            <w:vAlign w:val="bottom"/>
            <w:hideMark/>
          </w:tcPr>
          <w:p w14:paraId="0D47AF48"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w:t>
            </w:r>
          </w:p>
        </w:tc>
      </w:tr>
      <w:tr w:rsidR="00521147" w:rsidRPr="00521147" w14:paraId="12D6874C"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59A8892B"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Social Impact Funds</w:t>
            </w:r>
          </w:p>
        </w:tc>
        <w:tc>
          <w:tcPr>
            <w:tcW w:w="1160" w:type="dxa"/>
            <w:tcBorders>
              <w:top w:val="nil"/>
              <w:left w:val="nil"/>
              <w:bottom w:val="nil"/>
              <w:right w:val="nil"/>
            </w:tcBorders>
            <w:shd w:val="clear" w:color="auto" w:fill="auto"/>
            <w:noWrap/>
            <w:vAlign w:val="bottom"/>
            <w:hideMark/>
          </w:tcPr>
          <w:p w14:paraId="31A3249E"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10.20%</w:t>
            </w:r>
          </w:p>
        </w:tc>
        <w:tc>
          <w:tcPr>
            <w:tcW w:w="1040" w:type="dxa"/>
            <w:tcBorders>
              <w:top w:val="nil"/>
              <w:left w:val="nil"/>
              <w:bottom w:val="nil"/>
              <w:right w:val="nil"/>
            </w:tcBorders>
            <w:shd w:val="clear" w:color="auto" w:fill="auto"/>
            <w:noWrap/>
            <w:vAlign w:val="bottom"/>
            <w:hideMark/>
          </w:tcPr>
          <w:p w14:paraId="5AC08DC0"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3,635 </w:t>
            </w:r>
          </w:p>
        </w:tc>
        <w:tc>
          <w:tcPr>
            <w:tcW w:w="1180" w:type="dxa"/>
            <w:tcBorders>
              <w:top w:val="nil"/>
              <w:left w:val="nil"/>
              <w:bottom w:val="nil"/>
              <w:right w:val="nil"/>
            </w:tcBorders>
            <w:shd w:val="clear" w:color="auto" w:fill="auto"/>
            <w:noWrap/>
            <w:vAlign w:val="bottom"/>
            <w:hideMark/>
          </w:tcPr>
          <w:p w14:paraId="280ADC1D"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4,006 </w:t>
            </w:r>
          </w:p>
        </w:tc>
        <w:tc>
          <w:tcPr>
            <w:tcW w:w="1220" w:type="dxa"/>
            <w:tcBorders>
              <w:top w:val="nil"/>
              <w:left w:val="nil"/>
              <w:bottom w:val="nil"/>
              <w:right w:val="single" w:sz="4" w:space="0" w:color="auto"/>
            </w:tcBorders>
            <w:shd w:val="clear" w:color="auto" w:fill="auto"/>
            <w:noWrap/>
            <w:vAlign w:val="bottom"/>
            <w:hideMark/>
          </w:tcPr>
          <w:p w14:paraId="43AB0473"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3,264 </w:t>
            </w:r>
          </w:p>
        </w:tc>
      </w:tr>
      <w:tr w:rsidR="00521147" w:rsidRPr="00521147" w14:paraId="406FFDC7"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4B112814"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160" w:type="dxa"/>
            <w:tcBorders>
              <w:top w:val="nil"/>
              <w:left w:val="nil"/>
              <w:bottom w:val="nil"/>
              <w:right w:val="nil"/>
            </w:tcBorders>
            <w:shd w:val="clear" w:color="auto" w:fill="auto"/>
            <w:noWrap/>
            <w:vAlign w:val="bottom"/>
            <w:hideMark/>
          </w:tcPr>
          <w:p w14:paraId="6C3B6D51" w14:textId="77777777" w:rsidR="00521147" w:rsidRPr="00521147" w:rsidRDefault="00521147" w:rsidP="00521147">
            <w:pPr>
              <w:rPr>
                <w:rFonts w:ascii="Arial" w:hAnsi="Arial" w:cs="Arial"/>
                <w:color w:val="000000"/>
                <w:sz w:val="22"/>
                <w:szCs w:val="22"/>
                <w:lang w:val="en-GB" w:eastAsia="en-GB"/>
              </w:rPr>
            </w:pPr>
          </w:p>
        </w:tc>
        <w:tc>
          <w:tcPr>
            <w:tcW w:w="1040" w:type="dxa"/>
            <w:tcBorders>
              <w:top w:val="nil"/>
              <w:left w:val="nil"/>
              <w:bottom w:val="nil"/>
              <w:right w:val="nil"/>
            </w:tcBorders>
            <w:shd w:val="clear" w:color="auto" w:fill="auto"/>
            <w:noWrap/>
            <w:vAlign w:val="bottom"/>
            <w:hideMark/>
          </w:tcPr>
          <w:p w14:paraId="3EDDA567" w14:textId="77777777" w:rsidR="00521147" w:rsidRPr="00521147" w:rsidRDefault="00521147" w:rsidP="00521147">
            <w:pPr>
              <w:rPr>
                <w:lang w:val="en-GB" w:eastAsia="en-GB"/>
              </w:rPr>
            </w:pPr>
          </w:p>
        </w:tc>
        <w:tc>
          <w:tcPr>
            <w:tcW w:w="1180" w:type="dxa"/>
            <w:tcBorders>
              <w:top w:val="nil"/>
              <w:left w:val="nil"/>
              <w:bottom w:val="nil"/>
              <w:right w:val="nil"/>
            </w:tcBorders>
            <w:shd w:val="clear" w:color="auto" w:fill="auto"/>
            <w:noWrap/>
            <w:vAlign w:val="bottom"/>
            <w:hideMark/>
          </w:tcPr>
          <w:p w14:paraId="581F2653" w14:textId="77777777" w:rsidR="00521147" w:rsidRPr="00521147" w:rsidRDefault="00521147" w:rsidP="00521147">
            <w:pPr>
              <w:jc w:val="right"/>
              <w:rPr>
                <w:lang w:val="en-GB" w:eastAsia="en-GB"/>
              </w:rPr>
            </w:pPr>
          </w:p>
        </w:tc>
        <w:tc>
          <w:tcPr>
            <w:tcW w:w="1220" w:type="dxa"/>
            <w:tcBorders>
              <w:top w:val="nil"/>
              <w:left w:val="nil"/>
              <w:bottom w:val="nil"/>
              <w:right w:val="single" w:sz="4" w:space="0" w:color="auto"/>
            </w:tcBorders>
            <w:shd w:val="clear" w:color="auto" w:fill="auto"/>
            <w:noWrap/>
            <w:vAlign w:val="bottom"/>
            <w:hideMark/>
          </w:tcPr>
          <w:p w14:paraId="3E0E2A0D"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w:t>
            </w:r>
          </w:p>
        </w:tc>
      </w:tr>
      <w:tr w:rsidR="00521147" w:rsidRPr="00521147" w14:paraId="21415D37"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236798F5"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CIV - unquoted equity</w:t>
            </w:r>
          </w:p>
        </w:tc>
        <w:tc>
          <w:tcPr>
            <w:tcW w:w="1160" w:type="dxa"/>
            <w:tcBorders>
              <w:top w:val="nil"/>
              <w:left w:val="nil"/>
              <w:bottom w:val="nil"/>
              <w:right w:val="nil"/>
            </w:tcBorders>
            <w:shd w:val="clear" w:color="auto" w:fill="auto"/>
            <w:noWrap/>
            <w:vAlign w:val="bottom"/>
            <w:hideMark/>
          </w:tcPr>
          <w:p w14:paraId="5863A46D" w14:textId="77777777" w:rsidR="00521147" w:rsidRPr="00521147" w:rsidRDefault="00521147" w:rsidP="00521147">
            <w:pPr>
              <w:jc w:val="right"/>
              <w:rPr>
                <w:rFonts w:ascii="Arial" w:hAnsi="Arial" w:cs="Arial"/>
                <w:color w:val="000000"/>
                <w:sz w:val="22"/>
                <w:szCs w:val="22"/>
                <w:lang w:val="en-GB" w:eastAsia="en-GB"/>
              </w:rPr>
            </w:pPr>
            <w:r w:rsidRPr="00521147">
              <w:rPr>
                <w:rFonts w:ascii="Arial" w:hAnsi="Arial" w:cs="Arial"/>
                <w:color w:val="000000"/>
                <w:sz w:val="22"/>
                <w:szCs w:val="22"/>
                <w:lang w:val="en-GB" w:eastAsia="en-GB"/>
              </w:rPr>
              <w:t>10.20%</w:t>
            </w:r>
          </w:p>
        </w:tc>
        <w:tc>
          <w:tcPr>
            <w:tcW w:w="1040" w:type="dxa"/>
            <w:tcBorders>
              <w:top w:val="nil"/>
              <w:left w:val="nil"/>
              <w:bottom w:val="nil"/>
              <w:right w:val="nil"/>
            </w:tcBorders>
            <w:shd w:val="clear" w:color="auto" w:fill="auto"/>
            <w:noWrap/>
            <w:vAlign w:val="bottom"/>
            <w:hideMark/>
          </w:tcPr>
          <w:p w14:paraId="01A7D6FF"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150 </w:t>
            </w:r>
          </w:p>
        </w:tc>
        <w:tc>
          <w:tcPr>
            <w:tcW w:w="1180" w:type="dxa"/>
            <w:tcBorders>
              <w:top w:val="nil"/>
              <w:left w:val="nil"/>
              <w:bottom w:val="nil"/>
              <w:right w:val="nil"/>
            </w:tcBorders>
            <w:shd w:val="clear" w:color="auto" w:fill="auto"/>
            <w:noWrap/>
            <w:vAlign w:val="bottom"/>
            <w:hideMark/>
          </w:tcPr>
          <w:p w14:paraId="1EEFAF9C"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165 </w:t>
            </w:r>
          </w:p>
        </w:tc>
        <w:tc>
          <w:tcPr>
            <w:tcW w:w="1220" w:type="dxa"/>
            <w:tcBorders>
              <w:top w:val="nil"/>
              <w:left w:val="nil"/>
              <w:bottom w:val="nil"/>
              <w:right w:val="single" w:sz="4" w:space="0" w:color="auto"/>
            </w:tcBorders>
            <w:shd w:val="clear" w:color="auto" w:fill="auto"/>
            <w:noWrap/>
            <w:vAlign w:val="bottom"/>
            <w:hideMark/>
          </w:tcPr>
          <w:p w14:paraId="6C30A546" w14:textId="77777777" w:rsidR="00521147" w:rsidRPr="00521147" w:rsidRDefault="00521147" w:rsidP="00521147">
            <w:pPr>
              <w:jc w:val="right"/>
              <w:rPr>
                <w:rFonts w:ascii="Arial" w:hAnsi="Arial" w:cs="Arial"/>
                <w:sz w:val="22"/>
                <w:szCs w:val="22"/>
                <w:lang w:val="en-GB" w:eastAsia="en-GB"/>
              </w:rPr>
            </w:pPr>
            <w:r w:rsidRPr="00521147">
              <w:rPr>
                <w:rFonts w:ascii="Arial" w:hAnsi="Arial" w:cs="Arial"/>
                <w:sz w:val="22"/>
                <w:szCs w:val="22"/>
                <w:lang w:val="en-GB" w:eastAsia="en-GB"/>
              </w:rPr>
              <w:t xml:space="preserve">            135 </w:t>
            </w:r>
          </w:p>
        </w:tc>
      </w:tr>
      <w:tr w:rsidR="00521147" w:rsidRPr="00521147" w14:paraId="4B855684" w14:textId="77777777" w:rsidTr="00521147">
        <w:trPr>
          <w:trHeight w:val="300"/>
        </w:trPr>
        <w:tc>
          <w:tcPr>
            <w:tcW w:w="2660" w:type="dxa"/>
            <w:tcBorders>
              <w:top w:val="nil"/>
              <w:left w:val="single" w:sz="4" w:space="0" w:color="auto"/>
              <w:bottom w:val="nil"/>
              <w:right w:val="nil"/>
            </w:tcBorders>
            <w:shd w:val="clear" w:color="auto" w:fill="auto"/>
            <w:noWrap/>
            <w:vAlign w:val="bottom"/>
            <w:hideMark/>
          </w:tcPr>
          <w:p w14:paraId="63A1BCB4"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160" w:type="dxa"/>
            <w:tcBorders>
              <w:top w:val="nil"/>
              <w:left w:val="nil"/>
              <w:bottom w:val="nil"/>
              <w:right w:val="nil"/>
            </w:tcBorders>
            <w:shd w:val="clear" w:color="auto" w:fill="auto"/>
            <w:noWrap/>
            <w:vAlign w:val="bottom"/>
            <w:hideMark/>
          </w:tcPr>
          <w:p w14:paraId="4ED1284C" w14:textId="77777777" w:rsidR="00521147" w:rsidRPr="00521147" w:rsidRDefault="00521147" w:rsidP="00521147">
            <w:pPr>
              <w:rPr>
                <w:rFonts w:ascii="Arial" w:hAnsi="Arial" w:cs="Arial"/>
                <w:color w:val="000000"/>
                <w:sz w:val="22"/>
                <w:szCs w:val="22"/>
                <w:lang w:val="en-GB" w:eastAsia="en-GB"/>
              </w:rPr>
            </w:pPr>
          </w:p>
        </w:tc>
        <w:tc>
          <w:tcPr>
            <w:tcW w:w="1040" w:type="dxa"/>
            <w:tcBorders>
              <w:top w:val="nil"/>
              <w:left w:val="nil"/>
              <w:bottom w:val="nil"/>
              <w:right w:val="nil"/>
            </w:tcBorders>
            <w:shd w:val="clear" w:color="auto" w:fill="auto"/>
            <w:noWrap/>
            <w:vAlign w:val="bottom"/>
            <w:hideMark/>
          </w:tcPr>
          <w:p w14:paraId="4903BC75" w14:textId="77777777" w:rsidR="00521147" w:rsidRPr="00521147" w:rsidRDefault="00521147" w:rsidP="00521147">
            <w:pPr>
              <w:rPr>
                <w:lang w:val="en-GB" w:eastAsia="en-GB"/>
              </w:rPr>
            </w:pPr>
          </w:p>
        </w:tc>
        <w:tc>
          <w:tcPr>
            <w:tcW w:w="1180" w:type="dxa"/>
            <w:tcBorders>
              <w:top w:val="nil"/>
              <w:left w:val="nil"/>
              <w:bottom w:val="nil"/>
              <w:right w:val="nil"/>
            </w:tcBorders>
            <w:shd w:val="clear" w:color="auto" w:fill="auto"/>
            <w:noWrap/>
            <w:vAlign w:val="bottom"/>
            <w:hideMark/>
          </w:tcPr>
          <w:p w14:paraId="2F61ADF8" w14:textId="77777777" w:rsidR="00521147" w:rsidRPr="00521147" w:rsidRDefault="00521147" w:rsidP="00521147">
            <w:pPr>
              <w:rPr>
                <w:lang w:val="en-GB" w:eastAsia="en-GB"/>
              </w:rPr>
            </w:pPr>
          </w:p>
        </w:tc>
        <w:tc>
          <w:tcPr>
            <w:tcW w:w="1220" w:type="dxa"/>
            <w:tcBorders>
              <w:top w:val="nil"/>
              <w:left w:val="nil"/>
              <w:bottom w:val="nil"/>
              <w:right w:val="single" w:sz="4" w:space="0" w:color="auto"/>
            </w:tcBorders>
            <w:shd w:val="clear" w:color="auto" w:fill="auto"/>
            <w:noWrap/>
            <w:vAlign w:val="bottom"/>
            <w:hideMark/>
          </w:tcPr>
          <w:p w14:paraId="515BD849"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r>
      <w:tr w:rsidR="00521147" w:rsidRPr="00521147" w14:paraId="705B2CDA" w14:textId="77777777" w:rsidTr="00521147">
        <w:trPr>
          <w:trHeight w:val="300"/>
        </w:trPr>
        <w:tc>
          <w:tcPr>
            <w:tcW w:w="2660" w:type="dxa"/>
            <w:tcBorders>
              <w:top w:val="nil"/>
              <w:left w:val="single" w:sz="4" w:space="0" w:color="auto"/>
              <w:bottom w:val="single" w:sz="4" w:space="0" w:color="auto"/>
              <w:right w:val="nil"/>
            </w:tcBorders>
            <w:shd w:val="clear" w:color="auto" w:fill="auto"/>
            <w:noWrap/>
            <w:vAlign w:val="bottom"/>
            <w:hideMark/>
          </w:tcPr>
          <w:p w14:paraId="5554D24E" w14:textId="77777777" w:rsidR="00521147" w:rsidRPr="00521147" w:rsidRDefault="00521147" w:rsidP="00521147">
            <w:pPr>
              <w:rPr>
                <w:rFonts w:ascii="Arial" w:hAnsi="Arial" w:cs="Arial"/>
                <w:b/>
                <w:bCs/>
                <w:color w:val="000000"/>
                <w:sz w:val="22"/>
                <w:szCs w:val="22"/>
                <w:lang w:val="en-GB" w:eastAsia="en-GB"/>
              </w:rPr>
            </w:pPr>
            <w:r w:rsidRPr="00521147">
              <w:rPr>
                <w:rFonts w:ascii="Arial" w:hAnsi="Arial" w:cs="Arial"/>
                <w:b/>
                <w:bCs/>
                <w:color w:val="000000"/>
                <w:sz w:val="22"/>
                <w:szCs w:val="22"/>
                <w:lang w:val="en-GB" w:eastAsia="en-GB"/>
              </w:rPr>
              <w:t>Total financial assets</w:t>
            </w:r>
          </w:p>
        </w:tc>
        <w:tc>
          <w:tcPr>
            <w:tcW w:w="1160" w:type="dxa"/>
            <w:tcBorders>
              <w:top w:val="nil"/>
              <w:left w:val="nil"/>
              <w:bottom w:val="single" w:sz="4" w:space="0" w:color="auto"/>
              <w:right w:val="nil"/>
            </w:tcBorders>
            <w:shd w:val="clear" w:color="auto" w:fill="auto"/>
            <w:noWrap/>
            <w:vAlign w:val="bottom"/>
            <w:hideMark/>
          </w:tcPr>
          <w:p w14:paraId="3214D7B3" w14:textId="77777777" w:rsidR="00521147" w:rsidRPr="00521147" w:rsidRDefault="00521147" w:rsidP="00521147">
            <w:pPr>
              <w:rPr>
                <w:rFonts w:ascii="Arial" w:hAnsi="Arial" w:cs="Arial"/>
                <w:color w:val="000000"/>
                <w:sz w:val="22"/>
                <w:szCs w:val="22"/>
                <w:lang w:val="en-GB" w:eastAsia="en-GB"/>
              </w:rPr>
            </w:pPr>
            <w:r w:rsidRPr="00521147">
              <w:rPr>
                <w:rFonts w:ascii="Arial" w:hAnsi="Arial" w:cs="Arial"/>
                <w:color w:val="000000"/>
                <w:sz w:val="22"/>
                <w:szCs w:val="22"/>
                <w:lang w:val="en-GB" w:eastAsia="en-GB"/>
              </w:rPr>
              <w:t> </w:t>
            </w:r>
          </w:p>
        </w:tc>
        <w:tc>
          <w:tcPr>
            <w:tcW w:w="1040" w:type="dxa"/>
            <w:tcBorders>
              <w:top w:val="single" w:sz="4" w:space="0" w:color="auto"/>
              <w:left w:val="nil"/>
              <w:bottom w:val="single" w:sz="4" w:space="0" w:color="auto"/>
              <w:right w:val="nil"/>
            </w:tcBorders>
            <w:shd w:val="clear" w:color="auto" w:fill="auto"/>
            <w:noWrap/>
            <w:vAlign w:val="bottom"/>
            <w:hideMark/>
          </w:tcPr>
          <w:p w14:paraId="64A3ADF0" w14:textId="77777777" w:rsidR="00521147" w:rsidRPr="00521147" w:rsidRDefault="00521147" w:rsidP="00521147">
            <w:pPr>
              <w:jc w:val="right"/>
              <w:rPr>
                <w:rFonts w:ascii="Arial" w:hAnsi="Arial" w:cs="Arial"/>
                <w:b/>
                <w:bCs/>
                <w:sz w:val="22"/>
                <w:szCs w:val="22"/>
                <w:lang w:val="en-GB" w:eastAsia="en-GB"/>
              </w:rPr>
            </w:pPr>
            <w:r w:rsidRPr="00521147">
              <w:rPr>
                <w:rFonts w:ascii="Arial" w:hAnsi="Arial" w:cs="Arial"/>
                <w:b/>
                <w:bCs/>
                <w:sz w:val="22"/>
                <w:szCs w:val="22"/>
                <w:lang w:val="en-GB" w:eastAsia="en-GB"/>
              </w:rPr>
              <w:t xml:space="preserve">  168,854 </w:t>
            </w:r>
          </w:p>
        </w:tc>
        <w:tc>
          <w:tcPr>
            <w:tcW w:w="1180" w:type="dxa"/>
            <w:tcBorders>
              <w:top w:val="single" w:sz="4" w:space="0" w:color="auto"/>
              <w:left w:val="nil"/>
              <w:bottom w:val="single" w:sz="4" w:space="0" w:color="auto"/>
              <w:right w:val="nil"/>
            </w:tcBorders>
            <w:shd w:val="clear" w:color="auto" w:fill="auto"/>
            <w:noWrap/>
            <w:vAlign w:val="bottom"/>
            <w:hideMark/>
          </w:tcPr>
          <w:p w14:paraId="7654CE10" w14:textId="77777777" w:rsidR="00521147" w:rsidRPr="00521147" w:rsidRDefault="00521147" w:rsidP="00521147">
            <w:pPr>
              <w:jc w:val="right"/>
              <w:rPr>
                <w:rFonts w:ascii="Arial" w:hAnsi="Arial" w:cs="Arial"/>
                <w:b/>
                <w:bCs/>
                <w:sz w:val="22"/>
                <w:szCs w:val="22"/>
                <w:lang w:val="en-GB" w:eastAsia="en-GB"/>
              </w:rPr>
            </w:pPr>
            <w:r w:rsidRPr="00521147">
              <w:rPr>
                <w:rFonts w:ascii="Arial" w:hAnsi="Arial" w:cs="Arial"/>
                <w:b/>
                <w:bCs/>
                <w:sz w:val="22"/>
                <w:szCs w:val="22"/>
                <w:lang w:val="en-GB" w:eastAsia="en-GB"/>
              </w:rPr>
              <w:t xml:space="preserve">    181,219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E724203" w14:textId="77777777" w:rsidR="00521147" w:rsidRPr="00521147" w:rsidRDefault="00521147" w:rsidP="00521147">
            <w:pPr>
              <w:jc w:val="right"/>
              <w:rPr>
                <w:rFonts w:ascii="Arial" w:hAnsi="Arial" w:cs="Arial"/>
                <w:b/>
                <w:bCs/>
                <w:sz w:val="22"/>
                <w:szCs w:val="22"/>
                <w:lang w:val="en-GB" w:eastAsia="en-GB"/>
              </w:rPr>
            </w:pPr>
            <w:r w:rsidRPr="00521147">
              <w:rPr>
                <w:rFonts w:ascii="Arial" w:hAnsi="Arial" w:cs="Arial"/>
                <w:b/>
                <w:bCs/>
                <w:sz w:val="22"/>
                <w:szCs w:val="22"/>
                <w:lang w:val="en-GB" w:eastAsia="en-GB"/>
              </w:rPr>
              <w:t xml:space="preserve">     156,489 </w:t>
            </w:r>
          </w:p>
        </w:tc>
      </w:tr>
    </w:tbl>
    <w:p w14:paraId="7B4CB2D4" w14:textId="6DE9F29C" w:rsidR="00E64E96" w:rsidRPr="00A039E1" w:rsidRDefault="00E64E96" w:rsidP="00A039E1">
      <w:pPr>
        <w:spacing w:after="200" w:line="276" w:lineRule="auto"/>
        <w:ind w:right="74"/>
        <w:jc w:val="both"/>
        <w:rPr>
          <w:rFonts w:ascii="Arial" w:eastAsia="Arial" w:hAnsi="Arial" w:cs="Arial"/>
          <w:sz w:val="22"/>
          <w:szCs w:val="22"/>
        </w:rPr>
      </w:pPr>
    </w:p>
    <w:p w14:paraId="049FCD3B" w14:textId="3BFB90A7" w:rsidR="009C7422" w:rsidRDefault="009C7422" w:rsidP="00A039E1">
      <w:pPr>
        <w:spacing w:after="200" w:line="276" w:lineRule="auto"/>
        <w:ind w:right="74"/>
        <w:jc w:val="both"/>
        <w:rPr>
          <w:rFonts w:eastAsia="Arial"/>
          <w:noProof/>
        </w:rPr>
      </w:pPr>
    </w:p>
    <w:p w14:paraId="3CE93215" w14:textId="0D095267" w:rsidR="00521147" w:rsidRDefault="00521147" w:rsidP="00A039E1">
      <w:pPr>
        <w:spacing w:after="200" w:line="276" w:lineRule="auto"/>
        <w:ind w:right="74"/>
        <w:jc w:val="both"/>
        <w:rPr>
          <w:rFonts w:eastAsia="Arial"/>
          <w:noProof/>
        </w:rPr>
      </w:pPr>
    </w:p>
    <w:p w14:paraId="39AAE195" w14:textId="77777777" w:rsidR="00521147" w:rsidRPr="00A039E1" w:rsidRDefault="00521147" w:rsidP="00A039E1">
      <w:pPr>
        <w:spacing w:after="200" w:line="276" w:lineRule="auto"/>
        <w:ind w:right="74"/>
        <w:jc w:val="both"/>
        <w:rPr>
          <w:rFonts w:ascii="Arial" w:eastAsia="Arial" w:hAnsi="Arial" w:cs="Arial"/>
          <w:sz w:val="22"/>
          <w:szCs w:val="22"/>
        </w:rPr>
      </w:pPr>
    </w:p>
    <w:p w14:paraId="35B417C5" w14:textId="7FC3A0FE" w:rsidR="00A039E1" w:rsidRDefault="009F1E5D" w:rsidP="00A039E1">
      <w:pPr>
        <w:spacing w:after="200" w:line="276" w:lineRule="auto"/>
        <w:ind w:right="74"/>
        <w:jc w:val="both"/>
        <w:rPr>
          <w:rFonts w:ascii="Arial" w:eastAsia="Arial" w:hAnsi="Arial" w:cs="Arial"/>
          <w:b/>
          <w:bCs/>
          <w:sz w:val="22"/>
          <w:szCs w:val="22"/>
        </w:rPr>
      </w:pPr>
      <w:r w:rsidRPr="009F1E5D">
        <w:rPr>
          <w:rFonts w:ascii="Arial" w:eastAsia="Arial" w:hAnsi="Arial" w:cs="Arial"/>
          <w:b/>
          <w:bCs/>
          <w:sz w:val="22"/>
          <w:szCs w:val="22"/>
        </w:rPr>
        <w:lastRenderedPageBreak/>
        <w:t xml:space="preserve">NOTE </w:t>
      </w:r>
      <w:r w:rsidR="00247116" w:rsidRPr="009F1E5D">
        <w:rPr>
          <w:rFonts w:ascii="Arial" w:eastAsia="Arial" w:hAnsi="Arial" w:cs="Arial"/>
          <w:b/>
          <w:bCs/>
          <w:sz w:val="22"/>
          <w:szCs w:val="22"/>
        </w:rPr>
        <w:t>1</w:t>
      </w:r>
      <w:r w:rsidR="00247116">
        <w:rPr>
          <w:rFonts w:ascii="Arial" w:eastAsia="Arial" w:hAnsi="Arial" w:cs="Arial"/>
          <w:b/>
          <w:bCs/>
          <w:sz w:val="22"/>
          <w:szCs w:val="22"/>
        </w:rPr>
        <w:t>4</w:t>
      </w:r>
      <w:r w:rsidR="00247116" w:rsidRPr="009F1E5D">
        <w:rPr>
          <w:rFonts w:ascii="Arial" w:eastAsia="Arial" w:hAnsi="Arial" w:cs="Arial"/>
          <w:b/>
          <w:bCs/>
          <w:sz w:val="22"/>
          <w:szCs w:val="22"/>
        </w:rPr>
        <w:t>b</w:t>
      </w:r>
      <w:r w:rsidRPr="009F1E5D">
        <w:rPr>
          <w:rFonts w:ascii="Arial" w:eastAsia="Arial" w:hAnsi="Arial" w:cs="Arial"/>
          <w:b/>
          <w:bCs/>
          <w:sz w:val="22"/>
          <w:szCs w:val="22"/>
        </w:rPr>
        <w:t>: FAIR VALUE HIERARCHY</w:t>
      </w:r>
    </w:p>
    <w:p w14:paraId="2FF20656" w14:textId="77777777" w:rsidR="009F1E5D" w:rsidRPr="009F1E5D" w:rsidRDefault="009F1E5D" w:rsidP="009F1E5D">
      <w:pPr>
        <w:spacing w:after="200" w:line="276" w:lineRule="auto"/>
        <w:ind w:right="74"/>
        <w:jc w:val="both"/>
        <w:rPr>
          <w:rFonts w:ascii="Arial" w:eastAsia="Arial" w:hAnsi="Arial" w:cs="Arial"/>
          <w:sz w:val="22"/>
          <w:szCs w:val="22"/>
        </w:rPr>
      </w:pPr>
      <w:r w:rsidRPr="009F1E5D">
        <w:rPr>
          <w:rFonts w:ascii="Arial" w:eastAsia="Arial" w:hAnsi="Arial" w:cs="Arial"/>
          <w:sz w:val="22"/>
          <w:szCs w:val="22"/>
        </w:rPr>
        <w:t xml:space="preserve">Asset and liability valuations have been classified into three levels, according to the quality and reliability of information used to determine fair values. Transfers between levels are </w:t>
      </w:r>
      <w:proofErr w:type="spellStart"/>
      <w:r w:rsidRPr="009F1E5D">
        <w:rPr>
          <w:rFonts w:ascii="Arial" w:eastAsia="Arial" w:hAnsi="Arial" w:cs="Arial"/>
          <w:sz w:val="22"/>
          <w:szCs w:val="22"/>
        </w:rPr>
        <w:t>recognised</w:t>
      </w:r>
      <w:proofErr w:type="spellEnd"/>
      <w:r w:rsidRPr="009F1E5D">
        <w:rPr>
          <w:rFonts w:ascii="Arial" w:eastAsia="Arial" w:hAnsi="Arial" w:cs="Arial"/>
          <w:sz w:val="22"/>
          <w:szCs w:val="22"/>
        </w:rPr>
        <w:t xml:space="preserve"> in the year in which they occur.</w:t>
      </w:r>
    </w:p>
    <w:p w14:paraId="1381CF94" w14:textId="0EEE5EFE" w:rsidR="009F1E5D" w:rsidRPr="009F1E5D" w:rsidRDefault="009F1E5D" w:rsidP="009F1E5D">
      <w:pPr>
        <w:spacing w:after="200" w:line="276" w:lineRule="auto"/>
        <w:ind w:right="74"/>
        <w:jc w:val="both"/>
        <w:rPr>
          <w:rFonts w:ascii="Arial" w:eastAsia="Arial" w:hAnsi="Arial" w:cs="Arial"/>
          <w:sz w:val="22"/>
          <w:szCs w:val="22"/>
        </w:rPr>
      </w:pPr>
      <w:r w:rsidRPr="009F1E5D">
        <w:rPr>
          <w:rFonts w:ascii="Arial" w:eastAsia="Arial" w:hAnsi="Arial" w:cs="Arial"/>
          <w:b/>
          <w:sz w:val="22"/>
          <w:szCs w:val="22"/>
        </w:rPr>
        <w:t xml:space="preserve">Level 1 </w:t>
      </w:r>
      <w:r w:rsidRPr="009F1E5D">
        <w:rPr>
          <w:rFonts w:ascii="Arial" w:eastAsia="Arial" w:hAnsi="Arial" w:cs="Arial"/>
          <w:sz w:val="22"/>
          <w:szCs w:val="22"/>
        </w:rPr>
        <w:t xml:space="preserve">Assets and liabilities at level 1 are those where the fair values are derived from unadjusted quoted prices in active markets for identical assets or liabilities. Products classified as level 1 comprise quoted equities, quoted </w:t>
      </w:r>
      <w:r w:rsidR="0080644C">
        <w:rPr>
          <w:rFonts w:ascii="Arial" w:eastAsia="Arial" w:hAnsi="Arial" w:cs="Arial"/>
          <w:sz w:val="22"/>
          <w:szCs w:val="22"/>
        </w:rPr>
        <w:t>bonds</w:t>
      </w:r>
      <w:r w:rsidRPr="009F1E5D">
        <w:rPr>
          <w:rFonts w:ascii="Arial" w:eastAsia="Arial" w:hAnsi="Arial" w:cs="Arial"/>
          <w:sz w:val="22"/>
          <w:szCs w:val="22"/>
        </w:rPr>
        <w:t xml:space="preserve">, quoted index linked </w:t>
      </w:r>
      <w:r w:rsidR="0080644C">
        <w:rPr>
          <w:rFonts w:ascii="Arial" w:eastAsia="Arial" w:hAnsi="Arial" w:cs="Arial"/>
          <w:sz w:val="22"/>
          <w:szCs w:val="22"/>
        </w:rPr>
        <w:t>bonds</w:t>
      </w:r>
      <w:r w:rsidR="0080644C" w:rsidRPr="009F1E5D">
        <w:rPr>
          <w:rFonts w:ascii="Arial" w:eastAsia="Arial" w:hAnsi="Arial" w:cs="Arial"/>
          <w:sz w:val="22"/>
          <w:szCs w:val="22"/>
        </w:rPr>
        <w:t xml:space="preserve"> </w:t>
      </w:r>
      <w:r w:rsidRPr="009F1E5D">
        <w:rPr>
          <w:rFonts w:ascii="Arial" w:eastAsia="Arial" w:hAnsi="Arial" w:cs="Arial"/>
          <w:sz w:val="22"/>
          <w:szCs w:val="22"/>
        </w:rPr>
        <w:t>and unit trusts.</w:t>
      </w:r>
    </w:p>
    <w:p w14:paraId="3E3C454C" w14:textId="77777777" w:rsidR="009F1E5D" w:rsidRPr="009F1E5D" w:rsidRDefault="009F1E5D" w:rsidP="009F1E5D">
      <w:pPr>
        <w:spacing w:after="200" w:line="276" w:lineRule="auto"/>
        <w:ind w:right="74"/>
        <w:jc w:val="both"/>
        <w:rPr>
          <w:rFonts w:ascii="Arial" w:eastAsia="Arial" w:hAnsi="Arial" w:cs="Arial"/>
          <w:sz w:val="22"/>
          <w:szCs w:val="22"/>
        </w:rPr>
      </w:pPr>
      <w:r w:rsidRPr="009F1E5D">
        <w:rPr>
          <w:rFonts w:ascii="Arial" w:eastAsia="Arial" w:hAnsi="Arial" w:cs="Arial"/>
          <w:b/>
          <w:sz w:val="22"/>
          <w:szCs w:val="22"/>
        </w:rPr>
        <w:t xml:space="preserve">Level 2 </w:t>
      </w:r>
      <w:r w:rsidRPr="009F1E5D">
        <w:rPr>
          <w:rFonts w:ascii="Arial" w:eastAsia="Arial" w:hAnsi="Arial" w:cs="Arial"/>
          <w:sz w:val="22"/>
          <w:szCs w:val="22"/>
        </w:rPr>
        <w:t>Assets and liabilities at level 2 are those where quoted market prices are not available; for example, where an instrument is traded in a market that is not considered to be active, or where valuation techniques are used to determine fair value.</w:t>
      </w:r>
    </w:p>
    <w:p w14:paraId="3B9A97D9" w14:textId="6BB01EAA" w:rsidR="009F1E5D" w:rsidRPr="009F1E5D" w:rsidRDefault="009F1E5D" w:rsidP="009F1E5D">
      <w:pPr>
        <w:spacing w:after="200" w:line="276" w:lineRule="auto"/>
        <w:ind w:right="74"/>
        <w:jc w:val="both"/>
        <w:rPr>
          <w:rFonts w:ascii="Arial" w:eastAsia="Arial" w:hAnsi="Arial" w:cs="Arial"/>
          <w:sz w:val="22"/>
          <w:szCs w:val="22"/>
        </w:rPr>
      </w:pPr>
      <w:r w:rsidRPr="009F1E5D">
        <w:rPr>
          <w:rFonts w:ascii="Arial" w:eastAsia="Arial" w:hAnsi="Arial" w:cs="Arial"/>
          <w:b/>
          <w:sz w:val="22"/>
          <w:szCs w:val="22"/>
        </w:rPr>
        <w:t xml:space="preserve">Level 3 </w:t>
      </w:r>
      <w:r w:rsidRPr="009F1E5D">
        <w:rPr>
          <w:rFonts w:ascii="Arial" w:eastAsia="Arial" w:hAnsi="Arial" w:cs="Arial"/>
          <w:sz w:val="22"/>
          <w:szCs w:val="22"/>
        </w:rPr>
        <w:t>Assets and liabilities at level 3 are those where at least one input that could have a significant effect</w:t>
      </w:r>
      <w:r>
        <w:rPr>
          <w:rFonts w:ascii="Arial" w:eastAsia="Arial" w:hAnsi="Arial" w:cs="Arial"/>
          <w:sz w:val="22"/>
          <w:szCs w:val="22"/>
        </w:rPr>
        <w:t xml:space="preserve"> </w:t>
      </w:r>
      <w:r w:rsidRPr="009F1E5D">
        <w:rPr>
          <w:rFonts w:ascii="Arial" w:eastAsia="Arial" w:hAnsi="Arial" w:cs="Arial"/>
          <w:sz w:val="22"/>
          <w:szCs w:val="22"/>
        </w:rPr>
        <w:t>on the instrument’s valuation is not based on observable market data.</w:t>
      </w:r>
    </w:p>
    <w:p w14:paraId="3422FE50" w14:textId="257CF683" w:rsidR="009F1E5D" w:rsidRDefault="009F1E5D" w:rsidP="009F1E5D">
      <w:pPr>
        <w:spacing w:after="200" w:line="276" w:lineRule="auto"/>
        <w:ind w:right="74"/>
        <w:jc w:val="both"/>
        <w:rPr>
          <w:rFonts w:ascii="Arial" w:eastAsia="Arial" w:hAnsi="Arial" w:cs="Arial"/>
          <w:sz w:val="22"/>
          <w:szCs w:val="22"/>
        </w:rPr>
      </w:pPr>
      <w:r w:rsidRPr="009F1E5D">
        <w:rPr>
          <w:rFonts w:ascii="Arial" w:eastAsia="Arial" w:hAnsi="Arial" w:cs="Arial"/>
          <w:sz w:val="22"/>
          <w:szCs w:val="22"/>
        </w:rPr>
        <w:t>The following table provides an analysis of the financial assets and liabilities of the pension fund grouped into levels 1 to 3, based on the level at which the fair value is observable.</w:t>
      </w:r>
    </w:p>
    <w:p w14:paraId="4609C8DF" w14:textId="5A5BA4C2" w:rsidR="0080644C" w:rsidRPr="009F1E5D" w:rsidRDefault="0080644C" w:rsidP="009F1E5D">
      <w:pPr>
        <w:spacing w:after="200" w:line="276" w:lineRule="auto"/>
        <w:ind w:right="74"/>
        <w:jc w:val="both"/>
        <w:rPr>
          <w:rFonts w:ascii="Arial" w:eastAsia="Arial" w:hAnsi="Arial" w:cs="Arial"/>
          <w:sz w:val="22"/>
          <w:szCs w:val="22"/>
        </w:rPr>
      </w:pPr>
      <w:r w:rsidRPr="0080644C">
        <w:rPr>
          <w:rFonts w:eastAsia="Arial"/>
          <w:noProof/>
        </w:rPr>
        <w:drawing>
          <wp:inline distT="0" distB="0" distL="0" distR="0" wp14:anchorId="5A2821BA" wp14:editId="76349596">
            <wp:extent cx="6252210" cy="2392045"/>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2210" cy="2392045"/>
                    </a:xfrm>
                    <a:prstGeom prst="rect">
                      <a:avLst/>
                    </a:prstGeom>
                    <a:noFill/>
                    <a:ln>
                      <a:noFill/>
                    </a:ln>
                  </pic:spPr>
                </pic:pic>
              </a:graphicData>
            </a:graphic>
          </wp:inline>
        </w:drawing>
      </w:r>
    </w:p>
    <w:p w14:paraId="0C9A1DCF" w14:textId="67E492D0" w:rsidR="00A039E1" w:rsidRDefault="009F1E5D" w:rsidP="00A039E1">
      <w:pPr>
        <w:spacing w:after="200" w:line="276" w:lineRule="auto"/>
        <w:ind w:right="74"/>
        <w:jc w:val="both"/>
        <w:rPr>
          <w:rFonts w:ascii="Arial" w:eastAsia="Arial" w:hAnsi="Arial" w:cs="Arial"/>
          <w:sz w:val="22"/>
          <w:szCs w:val="22"/>
        </w:rPr>
      </w:pPr>
      <w:r w:rsidRPr="009F1E5D">
        <w:rPr>
          <w:rFonts w:eastAsia="Arial"/>
          <w:noProof/>
        </w:rPr>
        <w:drawing>
          <wp:inline distT="0" distB="0" distL="0" distR="0" wp14:anchorId="3346EE44" wp14:editId="3CC28465">
            <wp:extent cx="6305550" cy="2501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5550" cy="2501900"/>
                    </a:xfrm>
                    <a:prstGeom prst="rect">
                      <a:avLst/>
                    </a:prstGeom>
                    <a:noFill/>
                    <a:ln>
                      <a:noFill/>
                    </a:ln>
                  </pic:spPr>
                </pic:pic>
              </a:graphicData>
            </a:graphic>
          </wp:inline>
        </w:drawing>
      </w:r>
    </w:p>
    <w:p w14:paraId="0FE93222" w14:textId="0D5DEC90" w:rsidR="009F1E5D" w:rsidRDefault="009F1E5D" w:rsidP="00A039E1">
      <w:pPr>
        <w:spacing w:after="200" w:line="276" w:lineRule="auto"/>
        <w:ind w:right="74"/>
        <w:jc w:val="both"/>
        <w:rPr>
          <w:rFonts w:ascii="Arial" w:eastAsia="Arial" w:hAnsi="Arial" w:cs="Arial"/>
          <w:sz w:val="22"/>
          <w:szCs w:val="22"/>
        </w:rPr>
      </w:pPr>
    </w:p>
    <w:p w14:paraId="674909EE" w14:textId="780EE372" w:rsidR="00521147" w:rsidRDefault="00521147" w:rsidP="00A039E1">
      <w:pPr>
        <w:spacing w:after="200" w:line="276" w:lineRule="auto"/>
        <w:ind w:right="74"/>
        <w:jc w:val="both"/>
        <w:rPr>
          <w:rFonts w:ascii="Arial" w:eastAsia="Arial" w:hAnsi="Arial" w:cs="Arial"/>
          <w:sz w:val="22"/>
          <w:szCs w:val="22"/>
        </w:rPr>
      </w:pPr>
    </w:p>
    <w:p w14:paraId="6E389382" w14:textId="0B7FCF40" w:rsidR="00521147" w:rsidRDefault="00521147" w:rsidP="00A039E1">
      <w:pPr>
        <w:spacing w:after="200" w:line="276" w:lineRule="auto"/>
        <w:ind w:right="74"/>
        <w:jc w:val="both"/>
        <w:rPr>
          <w:rFonts w:ascii="Arial" w:eastAsia="Arial" w:hAnsi="Arial" w:cs="Arial"/>
          <w:sz w:val="22"/>
          <w:szCs w:val="22"/>
        </w:rPr>
      </w:pPr>
    </w:p>
    <w:p w14:paraId="413E88D1" w14:textId="77777777" w:rsidR="00521147" w:rsidRDefault="00521147" w:rsidP="00A039E1">
      <w:pPr>
        <w:spacing w:after="200" w:line="276" w:lineRule="auto"/>
        <w:ind w:right="74"/>
        <w:jc w:val="both"/>
        <w:rPr>
          <w:rFonts w:ascii="Arial" w:eastAsia="Arial" w:hAnsi="Arial" w:cs="Arial"/>
          <w:sz w:val="22"/>
          <w:szCs w:val="22"/>
        </w:rPr>
      </w:pPr>
    </w:p>
    <w:p w14:paraId="1E43A42C" w14:textId="73D6FAB9" w:rsidR="009C7422" w:rsidRDefault="001706EB" w:rsidP="009F1E5D">
      <w:pPr>
        <w:spacing w:after="200" w:line="276" w:lineRule="auto"/>
        <w:ind w:right="74"/>
        <w:jc w:val="both"/>
        <w:rPr>
          <w:rFonts w:ascii="Arial" w:eastAsia="Arial" w:hAnsi="Arial" w:cs="Arial"/>
          <w:b/>
          <w:bCs/>
          <w:sz w:val="22"/>
          <w:szCs w:val="22"/>
        </w:rPr>
      </w:pPr>
      <w:r w:rsidRPr="009F1E5D">
        <w:rPr>
          <w:rFonts w:ascii="Arial" w:eastAsia="Arial" w:hAnsi="Arial" w:cs="Arial"/>
          <w:b/>
          <w:bCs/>
          <w:sz w:val="22"/>
          <w:szCs w:val="22"/>
        </w:rPr>
        <w:lastRenderedPageBreak/>
        <w:t xml:space="preserve">NOTE </w:t>
      </w:r>
      <w:r w:rsidR="00247116" w:rsidRPr="009F1E5D">
        <w:rPr>
          <w:rFonts w:ascii="Arial" w:eastAsia="Arial" w:hAnsi="Arial" w:cs="Arial"/>
          <w:b/>
          <w:bCs/>
          <w:sz w:val="22"/>
          <w:szCs w:val="22"/>
        </w:rPr>
        <w:t>1</w:t>
      </w:r>
      <w:r w:rsidR="00247116">
        <w:rPr>
          <w:rFonts w:ascii="Arial" w:eastAsia="Arial" w:hAnsi="Arial" w:cs="Arial"/>
          <w:b/>
          <w:bCs/>
          <w:sz w:val="22"/>
          <w:szCs w:val="22"/>
        </w:rPr>
        <w:t>4</w:t>
      </w:r>
      <w:r w:rsidR="00247116" w:rsidRPr="009F1E5D">
        <w:rPr>
          <w:rFonts w:ascii="Arial" w:eastAsia="Arial" w:hAnsi="Arial" w:cs="Arial"/>
          <w:b/>
          <w:bCs/>
          <w:sz w:val="22"/>
          <w:szCs w:val="22"/>
        </w:rPr>
        <w:t>c</w:t>
      </w:r>
      <w:r w:rsidRPr="009F1E5D">
        <w:rPr>
          <w:rFonts w:ascii="Arial" w:eastAsia="Arial" w:hAnsi="Arial" w:cs="Arial"/>
          <w:b/>
          <w:bCs/>
          <w:sz w:val="22"/>
          <w:szCs w:val="22"/>
        </w:rPr>
        <w:t>: RECONCILIATION OF FAIR VALUE MEASUREMENTS WITHIN LEVEL 3</w:t>
      </w:r>
    </w:p>
    <w:p w14:paraId="195D72B0" w14:textId="1B86DFCD" w:rsidR="004B5E80" w:rsidRPr="009F1E5D" w:rsidRDefault="004B5E80" w:rsidP="009F1E5D">
      <w:pPr>
        <w:spacing w:after="200" w:line="276" w:lineRule="auto"/>
        <w:ind w:right="74"/>
        <w:jc w:val="both"/>
        <w:rPr>
          <w:rFonts w:ascii="Arial" w:eastAsia="Arial" w:hAnsi="Arial" w:cs="Arial"/>
          <w:b/>
          <w:bCs/>
          <w:sz w:val="22"/>
          <w:szCs w:val="22"/>
        </w:rPr>
      </w:pPr>
      <w:r w:rsidRPr="004B5E80">
        <w:rPr>
          <w:rFonts w:eastAsia="Arial"/>
          <w:noProof/>
        </w:rPr>
        <w:drawing>
          <wp:inline distT="0" distB="0" distL="0" distR="0" wp14:anchorId="0D236309" wp14:editId="212F9F63">
            <wp:extent cx="6429375" cy="1532255"/>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29375" cy="1532255"/>
                    </a:xfrm>
                    <a:prstGeom prst="rect">
                      <a:avLst/>
                    </a:prstGeom>
                    <a:noFill/>
                    <a:ln>
                      <a:noFill/>
                    </a:ln>
                  </pic:spPr>
                </pic:pic>
              </a:graphicData>
            </a:graphic>
          </wp:inline>
        </w:drawing>
      </w:r>
    </w:p>
    <w:p w14:paraId="23FDFB7C" w14:textId="415391FA" w:rsidR="009C7422" w:rsidRPr="009F1E5D" w:rsidRDefault="009F1E5D" w:rsidP="009F1E5D">
      <w:pPr>
        <w:spacing w:after="200" w:line="276" w:lineRule="auto"/>
        <w:ind w:right="74"/>
        <w:jc w:val="both"/>
        <w:rPr>
          <w:rFonts w:ascii="Arial" w:eastAsia="Arial" w:hAnsi="Arial" w:cs="Arial"/>
          <w:sz w:val="22"/>
          <w:szCs w:val="22"/>
        </w:rPr>
      </w:pPr>
      <w:r w:rsidRPr="009F1E5D">
        <w:rPr>
          <w:rFonts w:eastAsia="Arial"/>
          <w:noProof/>
        </w:rPr>
        <w:drawing>
          <wp:inline distT="0" distB="0" distL="0" distR="0" wp14:anchorId="760274B9" wp14:editId="0794E200">
            <wp:extent cx="6464300" cy="15443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0" cy="1544320"/>
                    </a:xfrm>
                    <a:prstGeom prst="rect">
                      <a:avLst/>
                    </a:prstGeom>
                    <a:noFill/>
                    <a:ln>
                      <a:noFill/>
                    </a:ln>
                  </pic:spPr>
                </pic:pic>
              </a:graphicData>
            </a:graphic>
          </wp:inline>
        </w:drawing>
      </w:r>
    </w:p>
    <w:p w14:paraId="36632E34" w14:textId="2210972B" w:rsidR="009F1E5D" w:rsidRDefault="001706EB" w:rsidP="006F3D5E">
      <w:pPr>
        <w:spacing w:after="200" w:line="276" w:lineRule="auto"/>
        <w:ind w:right="74"/>
        <w:jc w:val="both"/>
        <w:rPr>
          <w:rFonts w:ascii="Arial" w:eastAsia="Arial" w:hAnsi="Arial" w:cs="Arial"/>
          <w:sz w:val="22"/>
          <w:szCs w:val="22"/>
        </w:rPr>
      </w:pPr>
      <w:proofErr w:type="spellStart"/>
      <w:r w:rsidRPr="00BD17CA">
        <w:rPr>
          <w:rFonts w:ascii="Arial" w:eastAsia="Arial" w:hAnsi="Arial" w:cs="Arial"/>
          <w:sz w:val="22"/>
          <w:szCs w:val="22"/>
        </w:rPr>
        <w:t>Unre</w:t>
      </w:r>
      <w:r w:rsidRPr="009F1E5D">
        <w:rPr>
          <w:rFonts w:ascii="Arial" w:eastAsia="Arial" w:hAnsi="Arial" w:cs="Arial"/>
          <w:sz w:val="22"/>
          <w:szCs w:val="22"/>
        </w:rPr>
        <w:t>alis</w:t>
      </w:r>
      <w:r w:rsidRPr="00BD17CA">
        <w:rPr>
          <w:rFonts w:ascii="Arial" w:eastAsia="Arial" w:hAnsi="Arial" w:cs="Arial"/>
          <w:sz w:val="22"/>
          <w:szCs w:val="22"/>
        </w:rPr>
        <w:t>ed</w:t>
      </w:r>
      <w:proofErr w:type="spellEnd"/>
      <w:r w:rsidRPr="009F1E5D">
        <w:rPr>
          <w:rFonts w:ascii="Arial" w:eastAsia="Arial" w:hAnsi="Arial" w:cs="Arial"/>
          <w:sz w:val="22"/>
          <w:szCs w:val="22"/>
        </w:rPr>
        <w:t xml:space="preserve"> </w:t>
      </w:r>
      <w:r w:rsidRPr="00BD17CA">
        <w:rPr>
          <w:rFonts w:ascii="Arial" w:eastAsia="Arial" w:hAnsi="Arial" w:cs="Arial"/>
          <w:sz w:val="22"/>
          <w:szCs w:val="22"/>
        </w:rPr>
        <w:t>a</w:t>
      </w:r>
      <w:r w:rsidRPr="009F1E5D">
        <w:rPr>
          <w:rFonts w:ascii="Arial" w:eastAsia="Arial" w:hAnsi="Arial" w:cs="Arial"/>
          <w:sz w:val="22"/>
          <w:szCs w:val="22"/>
        </w:rPr>
        <w:t>n</w:t>
      </w:r>
      <w:r w:rsidRPr="00BD17CA">
        <w:rPr>
          <w:rFonts w:ascii="Arial" w:eastAsia="Arial" w:hAnsi="Arial" w:cs="Arial"/>
          <w:sz w:val="22"/>
          <w:szCs w:val="22"/>
        </w:rPr>
        <w:t>d</w:t>
      </w:r>
      <w:r w:rsidRPr="009F1E5D">
        <w:rPr>
          <w:rFonts w:ascii="Arial" w:eastAsia="Arial" w:hAnsi="Arial" w:cs="Arial"/>
          <w:sz w:val="22"/>
          <w:szCs w:val="22"/>
        </w:rPr>
        <w:t xml:space="preserve"> </w:t>
      </w:r>
      <w:proofErr w:type="spellStart"/>
      <w:r w:rsidRPr="00BD17CA">
        <w:rPr>
          <w:rFonts w:ascii="Arial" w:eastAsia="Arial" w:hAnsi="Arial" w:cs="Arial"/>
          <w:sz w:val="22"/>
          <w:szCs w:val="22"/>
        </w:rPr>
        <w:t>re</w:t>
      </w:r>
      <w:r w:rsidRPr="009F1E5D">
        <w:rPr>
          <w:rFonts w:ascii="Arial" w:eastAsia="Arial" w:hAnsi="Arial" w:cs="Arial"/>
          <w:sz w:val="22"/>
          <w:szCs w:val="22"/>
        </w:rPr>
        <w:t>alise</w:t>
      </w:r>
      <w:r w:rsidRPr="00BD17CA">
        <w:rPr>
          <w:rFonts w:ascii="Arial" w:eastAsia="Arial" w:hAnsi="Arial" w:cs="Arial"/>
          <w:sz w:val="22"/>
          <w:szCs w:val="22"/>
        </w:rPr>
        <w:t>d</w:t>
      </w:r>
      <w:proofErr w:type="spellEnd"/>
      <w:r w:rsidRPr="009F1E5D">
        <w:rPr>
          <w:rFonts w:ascii="Arial" w:eastAsia="Arial" w:hAnsi="Arial" w:cs="Arial"/>
          <w:sz w:val="22"/>
          <w:szCs w:val="22"/>
        </w:rPr>
        <w:t xml:space="preserve"> gai</w:t>
      </w:r>
      <w:r w:rsidRPr="00BD17CA">
        <w:rPr>
          <w:rFonts w:ascii="Arial" w:eastAsia="Arial" w:hAnsi="Arial" w:cs="Arial"/>
          <w:sz w:val="22"/>
          <w:szCs w:val="22"/>
        </w:rPr>
        <w:t>ns</w:t>
      </w:r>
      <w:r w:rsidRPr="009F1E5D">
        <w:rPr>
          <w:rFonts w:ascii="Arial" w:eastAsia="Arial" w:hAnsi="Arial" w:cs="Arial"/>
          <w:sz w:val="22"/>
          <w:szCs w:val="22"/>
        </w:rPr>
        <w:t xml:space="preserve"> </w:t>
      </w:r>
      <w:r w:rsidRPr="00BD17CA">
        <w:rPr>
          <w:rFonts w:ascii="Arial" w:eastAsia="Arial" w:hAnsi="Arial" w:cs="Arial"/>
          <w:sz w:val="22"/>
          <w:szCs w:val="22"/>
        </w:rPr>
        <w:t>a</w:t>
      </w:r>
      <w:r w:rsidRPr="009F1E5D">
        <w:rPr>
          <w:rFonts w:ascii="Arial" w:eastAsia="Arial" w:hAnsi="Arial" w:cs="Arial"/>
          <w:sz w:val="22"/>
          <w:szCs w:val="22"/>
        </w:rPr>
        <w:t>n</w:t>
      </w:r>
      <w:r w:rsidRPr="00BD17CA">
        <w:rPr>
          <w:rFonts w:ascii="Arial" w:eastAsia="Arial" w:hAnsi="Arial" w:cs="Arial"/>
          <w:sz w:val="22"/>
          <w:szCs w:val="22"/>
        </w:rPr>
        <w:t>d</w:t>
      </w:r>
      <w:r w:rsidRPr="009F1E5D">
        <w:rPr>
          <w:rFonts w:ascii="Arial" w:eastAsia="Arial" w:hAnsi="Arial" w:cs="Arial"/>
          <w:sz w:val="22"/>
          <w:szCs w:val="22"/>
        </w:rPr>
        <w:t xml:space="preserve"> l</w:t>
      </w:r>
      <w:r w:rsidRPr="00BD17CA">
        <w:rPr>
          <w:rFonts w:ascii="Arial" w:eastAsia="Arial" w:hAnsi="Arial" w:cs="Arial"/>
          <w:sz w:val="22"/>
          <w:szCs w:val="22"/>
        </w:rPr>
        <w:t>o</w:t>
      </w:r>
      <w:r w:rsidRPr="009F1E5D">
        <w:rPr>
          <w:rFonts w:ascii="Arial" w:eastAsia="Arial" w:hAnsi="Arial" w:cs="Arial"/>
          <w:sz w:val="22"/>
          <w:szCs w:val="22"/>
        </w:rPr>
        <w:t>ss</w:t>
      </w:r>
      <w:r w:rsidRPr="00BD17CA">
        <w:rPr>
          <w:rFonts w:ascii="Arial" w:eastAsia="Arial" w:hAnsi="Arial" w:cs="Arial"/>
          <w:sz w:val="22"/>
          <w:szCs w:val="22"/>
        </w:rPr>
        <w:t>es</w:t>
      </w:r>
      <w:r w:rsidRPr="009F1E5D">
        <w:rPr>
          <w:rFonts w:ascii="Arial" w:eastAsia="Arial" w:hAnsi="Arial" w:cs="Arial"/>
          <w:sz w:val="22"/>
          <w:szCs w:val="22"/>
        </w:rPr>
        <w:t xml:space="preserve"> </w:t>
      </w:r>
      <w:r w:rsidRPr="00BD17CA">
        <w:rPr>
          <w:rFonts w:ascii="Arial" w:eastAsia="Arial" w:hAnsi="Arial" w:cs="Arial"/>
          <w:sz w:val="22"/>
          <w:szCs w:val="22"/>
        </w:rPr>
        <w:t>are</w:t>
      </w:r>
      <w:r w:rsidRPr="009F1E5D">
        <w:rPr>
          <w:rFonts w:ascii="Arial" w:eastAsia="Arial" w:hAnsi="Arial" w:cs="Arial"/>
          <w:sz w:val="22"/>
          <w:szCs w:val="22"/>
        </w:rPr>
        <w:t xml:space="preserve"> </w:t>
      </w:r>
      <w:proofErr w:type="spellStart"/>
      <w:r w:rsidRPr="00BD17CA">
        <w:rPr>
          <w:rFonts w:ascii="Arial" w:eastAsia="Arial" w:hAnsi="Arial" w:cs="Arial"/>
          <w:sz w:val="22"/>
          <w:szCs w:val="22"/>
        </w:rPr>
        <w:t>re</w:t>
      </w:r>
      <w:r w:rsidRPr="009F1E5D">
        <w:rPr>
          <w:rFonts w:ascii="Arial" w:eastAsia="Arial" w:hAnsi="Arial" w:cs="Arial"/>
          <w:sz w:val="22"/>
          <w:szCs w:val="22"/>
        </w:rPr>
        <w:t>co</w:t>
      </w:r>
      <w:r w:rsidRPr="00BD17CA">
        <w:rPr>
          <w:rFonts w:ascii="Arial" w:eastAsia="Arial" w:hAnsi="Arial" w:cs="Arial"/>
          <w:sz w:val="22"/>
          <w:szCs w:val="22"/>
        </w:rPr>
        <w:t>g</w:t>
      </w:r>
      <w:r w:rsidRPr="009F1E5D">
        <w:rPr>
          <w:rFonts w:ascii="Arial" w:eastAsia="Arial" w:hAnsi="Arial" w:cs="Arial"/>
          <w:sz w:val="22"/>
          <w:szCs w:val="22"/>
        </w:rPr>
        <w:t>nis</w:t>
      </w:r>
      <w:r w:rsidRPr="00BD17CA">
        <w:rPr>
          <w:rFonts w:ascii="Arial" w:eastAsia="Arial" w:hAnsi="Arial" w:cs="Arial"/>
          <w:sz w:val="22"/>
          <w:szCs w:val="22"/>
        </w:rPr>
        <w:t>ed</w:t>
      </w:r>
      <w:proofErr w:type="spellEnd"/>
      <w:r w:rsidRPr="009F1E5D">
        <w:rPr>
          <w:rFonts w:ascii="Arial" w:eastAsia="Arial" w:hAnsi="Arial" w:cs="Arial"/>
          <w:sz w:val="22"/>
          <w:szCs w:val="22"/>
        </w:rPr>
        <w:t xml:space="preserve"> i</w:t>
      </w:r>
      <w:r w:rsidRPr="00BD17CA">
        <w:rPr>
          <w:rFonts w:ascii="Arial" w:eastAsia="Arial" w:hAnsi="Arial" w:cs="Arial"/>
          <w:sz w:val="22"/>
          <w:szCs w:val="22"/>
        </w:rPr>
        <w:t>n</w:t>
      </w:r>
      <w:r w:rsidRPr="009F1E5D">
        <w:rPr>
          <w:rFonts w:ascii="Arial" w:eastAsia="Arial" w:hAnsi="Arial" w:cs="Arial"/>
          <w:sz w:val="22"/>
          <w:szCs w:val="22"/>
        </w:rPr>
        <w:t xml:space="preserve"> th</w:t>
      </w:r>
      <w:r w:rsidRPr="00BD17CA">
        <w:rPr>
          <w:rFonts w:ascii="Arial" w:eastAsia="Arial" w:hAnsi="Arial" w:cs="Arial"/>
          <w:sz w:val="22"/>
          <w:szCs w:val="22"/>
        </w:rPr>
        <w:t>e</w:t>
      </w:r>
      <w:r w:rsidRPr="009F1E5D">
        <w:rPr>
          <w:rFonts w:ascii="Arial" w:eastAsia="Arial" w:hAnsi="Arial" w:cs="Arial"/>
          <w:sz w:val="22"/>
          <w:szCs w:val="22"/>
        </w:rPr>
        <w:t xml:space="preserve"> pr</w:t>
      </w:r>
      <w:r w:rsidRPr="00BD17CA">
        <w:rPr>
          <w:rFonts w:ascii="Arial" w:eastAsia="Arial" w:hAnsi="Arial" w:cs="Arial"/>
          <w:sz w:val="22"/>
          <w:szCs w:val="22"/>
        </w:rPr>
        <w:t>o</w:t>
      </w:r>
      <w:r w:rsidRPr="009F1E5D">
        <w:rPr>
          <w:rFonts w:ascii="Arial" w:eastAsia="Arial" w:hAnsi="Arial" w:cs="Arial"/>
          <w:sz w:val="22"/>
          <w:szCs w:val="22"/>
        </w:rPr>
        <w:t>fi</w:t>
      </w:r>
      <w:r w:rsidRPr="00BD17CA">
        <w:rPr>
          <w:rFonts w:ascii="Arial" w:eastAsia="Arial" w:hAnsi="Arial" w:cs="Arial"/>
          <w:sz w:val="22"/>
          <w:szCs w:val="22"/>
        </w:rPr>
        <w:t>t</w:t>
      </w:r>
      <w:r w:rsidRPr="009F1E5D">
        <w:rPr>
          <w:rFonts w:ascii="Arial" w:eastAsia="Arial" w:hAnsi="Arial" w:cs="Arial"/>
          <w:sz w:val="22"/>
          <w:szCs w:val="22"/>
        </w:rPr>
        <w:t xml:space="preserve"> </w:t>
      </w:r>
      <w:r w:rsidRPr="00BD17CA">
        <w:rPr>
          <w:rFonts w:ascii="Arial" w:eastAsia="Arial" w:hAnsi="Arial" w:cs="Arial"/>
          <w:sz w:val="22"/>
          <w:szCs w:val="22"/>
        </w:rPr>
        <w:t>a</w:t>
      </w:r>
      <w:r w:rsidRPr="009F1E5D">
        <w:rPr>
          <w:rFonts w:ascii="Arial" w:eastAsia="Arial" w:hAnsi="Arial" w:cs="Arial"/>
          <w:sz w:val="22"/>
          <w:szCs w:val="22"/>
        </w:rPr>
        <w:t>n</w:t>
      </w:r>
      <w:r w:rsidRPr="00BD17CA">
        <w:rPr>
          <w:rFonts w:ascii="Arial" w:eastAsia="Arial" w:hAnsi="Arial" w:cs="Arial"/>
          <w:sz w:val="22"/>
          <w:szCs w:val="22"/>
        </w:rPr>
        <w:t>d</w:t>
      </w:r>
      <w:r w:rsidRPr="009F1E5D">
        <w:rPr>
          <w:rFonts w:ascii="Arial" w:eastAsia="Arial" w:hAnsi="Arial" w:cs="Arial"/>
          <w:sz w:val="22"/>
          <w:szCs w:val="22"/>
        </w:rPr>
        <w:t xml:space="preserve"> l</w:t>
      </w:r>
      <w:r w:rsidRPr="00BD17CA">
        <w:rPr>
          <w:rFonts w:ascii="Arial" w:eastAsia="Arial" w:hAnsi="Arial" w:cs="Arial"/>
          <w:sz w:val="22"/>
          <w:szCs w:val="22"/>
        </w:rPr>
        <w:t>o</w:t>
      </w:r>
      <w:r w:rsidRPr="009F1E5D">
        <w:rPr>
          <w:rFonts w:ascii="Arial" w:eastAsia="Arial" w:hAnsi="Arial" w:cs="Arial"/>
          <w:sz w:val="22"/>
          <w:szCs w:val="22"/>
        </w:rPr>
        <w:t>ss</w:t>
      </w:r>
      <w:r w:rsidRPr="00BD17CA">
        <w:rPr>
          <w:rFonts w:ascii="Arial" w:eastAsia="Arial" w:hAnsi="Arial" w:cs="Arial"/>
          <w:sz w:val="22"/>
          <w:szCs w:val="22"/>
        </w:rPr>
        <w:t>es</w:t>
      </w:r>
      <w:r w:rsidRPr="009F1E5D">
        <w:rPr>
          <w:rFonts w:ascii="Arial" w:eastAsia="Arial" w:hAnsi="Arial" w:cs="Arial"/>
          <w:sz w:val="22"/>
          <w:szCs w:val="22"/>
        </w:rPr>
        <w:t xml:space="preserve"> o</w:t>
      </w:r>
      <w:r w:rsidRPr="00BD17CA">
        <w:rPr>
          <w:rFonts w:ascii="Arial" w:eastAsia="Arial" w:hAnsi="Arial" w:cs="Arial"/>
          <w:sz w:val="22"/>
          <w:szCs w:val="22"/>
        </w:rPr>
        <w:t>n</w:t>
      </w:r>
      <w:r w:rsidRPr="009F1E5D">
        <w:rPr>
          <w:rFonts w:ascii="Arial" w:eastAsia="Arial" w:hAnsi="Arial" w:cs="Arial"/>
          <w:sz w:val="22"/>
          <w:szCs w:val="22"/>
        </w:rPr>
        <w:t xml:space="preserve"> disp</w:t>
      </w:r>
      <w:r w:rsidRPr="00BD17CA">
        <w:rPr>
          <w:rFonts w:ascii="Arial" w:eastAsia="Arial" w:hAnsi="Arial" w:cs="Arial"/>
          <w:sz w:val="22"/>
          <w:szCs w:val="22"/>
        </w:rPr>
        <w:t>o</w:t>
      </w:r>
      <w:r w:rsidRPr="009F1E5D">
        <w:rPr>
          <w:rFonts w:ascii="Arial" w:eastAsia="Arial" w:hAnsi="Arial" w:cs="Arial"/>
          <w:sz w:val="22"/>
          <w:szCs w:val="22"/>
        </w:rPr>
        <w:t>s</w:t>
      </w:r>
      <w:r w:rsidRPr="00BD17CA">
        <w:rPr>
          <w:rFonts w:ascii="Arial" w:eastAsia="Arial" w:hAnsi="Arial" w:cs="Arial"/>
          <w:sz w:val="22"/>
          <w:szCs w:val="22"/>
        </w:rPr>
        <w:t>al</w:t>
      </w:r>
      <w:r w:rsidRPr="009F1E5D">
        <w:rPr>
          <w:rFonts w:ascii="Arial" w:eastAsia="Arial" w:hAnsi="Arial" w:cs="Arial"/>
          <w:sz w:val="22"/>
          <w:szCs w:val="22"/>
        </w:rPr>
        <w:t xml:space="preserve"> </w:t>
      </w:r>
      <w:r w:rsidRPr="00BD17CA">
        <w:rPr>
          <w:rFonts w:ascii="Arial" w:eastAsia="Arial" w:hAnsi="Arial" w:cs="Arial"/>
          <w:sz w:val="22"/>
          <w:szCs w:val="22"/>
        </w:rPr>
        <w:t>a</w:t>
      </w:r>
      <w:r w:rsidRPr="009F1E5D">
        <w:rPr>
          <w:rFonts w:ascii="Arial" w:eastAsia="Arial" w:hAnsi="Arial" w:cs="Arial"/>
          <w:sz w:val="22"/>
          <w:szCs w:val="22"/>
        </w:rPr>
        <w:t>n</w:t>
      </w:r>
      <w:r w:rsidRPr="00BD17CA">
        <w:rPr>
          <w:rFonts w:ascii="Arial" w:eastAsia="Arial" w:hAnsi="Arial" w:cs="Arial"/>
          <w:sz w:val="22"/>
          <w:szCs w:val="22"/>
        </w:rPr>
        <w:t>d</w:t>
      </w:r>
      <w:r w:rsidRPr="009F1E5D">
        <w:rPr>
          <w:rFonts w:ascii="Arial" w:eastAsia="Arial" w:hAnsi="Arial" w:cs="Arial"/>
          <w:sz w:val="22"/>
          <w:szCs w:val="22"/>
        </w:rPr>
        <w:t xml:space="preserve"> c</w:t>
      </w:r>
      <w:r w:rsidRPr="00BD17CA">
        <w:rPr>
          <w:rFonts w:ascii="Arial" w:eastAsia="Arial" w:hAnsi="Arial" w:cs="Arial"/>
          <w:sz w:val="22"/>
          <w:szCs w:val="22"/>
        </w:rPr>
        <w:t>h</w:t>
      </w:r>
      <w:r w:rsidRPr="009F1E5D">
        <w:rPr>
          <w:rFonts w:ascii="Arial" w:eastAsia="Arial" w:hAnsi="Arial" w:cs="Arial"/>
          <w:sz w:val="22"/>
          <w:szCs w:val="22"/>
        </w:rPr>
        <w:t>an</w:t>
      </w:r>
      <w:r w:rsidRPr="00BD17CA">
        <w:rPr>
          <w:rFonts w:ascii="Arial" w:eastAsia="Arial" w:hAnsi="Arial" w:cs="Arial"/>
          <w:sz w:val="22"/>
          <w:szCs w:val="22"/>
        </w:rPr>
        <w:t>g</w:t>
      </w:r>
      <w:r w:rsidRPr="009F1E5D">
        <w:rPr>
          <w:rFonts w:ascii="Arial" w:eastAsia="Arial" w:hAnsi="Arial" w:cs="Arial"/>
          <w:sz w:val="22"/>
          <w:szCs w:val="22"/>
        </w:rPr>
        <w:t>e</w:t>
      </w:r>
      <w:r w:rsidRPr="00BD17CA">
        <w:rPr>
          <w:rFonts w:ascii="Arial" w:eastAsia="Arial" w:hAnsi="Arial" w:cs="Arial"/>
          <w:sz w:val="22"/>
          <w:szCs w:val="22"/>
        </w:rPr>
        <w:t>s</w:t>
      </w:r>
      <w:r w:rsidRPr="009F1E5D">
        <w:rPr>
          <w:rFonts w:ascii="Arial" w:eastAsia="Arial" w:hAnsi="Arial" w:cs="Arial"/>
          <w:sz w:val="22"/>
          <w:szCs w:val="22"/>
        </w:rPr>
        <w:t xml:space="preserve"> i</w:t>
      </w:r>
      <w:r w:rsidRPr="00BD17CA">
        <w:rPr>
          <w:rFonts w:ascii="Arial" w:eastAsia="Arial" w:hAnsi="Arial" w:cs="Arial"/>
          <w:sz w:val="22"/>
          <w:szCs w:val="22"/>
        </w:rPr>
        <w:t>n the</w:t>
      </w:r>
      <w:r w:rsidRPr="009F1E5D">
        <w:rPr>
          <w:rFonts w:ascii="Arial" w:eastAsia="Arial" w:hAnsi="Arial" w:cs="Arial"/>
          <w:sz w:val="22"/>
          <w:szCs w:val="22"/>
        </w:rPr>
        <w:t xml:space="preserve"> m</w:t>
      </w:r>
      <w:r w:rsidRPr="00BD17CA">
        <w:rPr>
          <w:rFonts w:ascii="Arial" w:eastAsia="Arial" w:hAnsi="Arial" w:cs="Arial"/>
          <w:sz w:val="22"/>
          <w:szCs w:val="22"/>
        </w:rPr>
        <w:t>a</w:t>
      </w:r>
      <w:r w:rsidRPr="009F1E5D">
        <w:rPr>
          <w:rFonts w:ascii="Arial" w:eastAsia="Arial" w:hAnsi="Arial" w:cs="Arial"/>
          <w:sz w:val="22"/>
          <w:szCs w:val="22"/>
        </w:rPr>
        <w:t>rk</w:t>
      </w:r>
      <w:r w:rsidRPr="00BD17CA">
        <w:rPr>
          <w:rFonts w:ascii="Arial" w:eastAsia="Arial" w:hAnsi="Arial" w:cs="Arial"/>
          <w:sz w:val="22"/>
          <w:szCs w:val="22"/>
        </w:rPr>
        <w:t>et</w:t>
      </w:r>
      <w:r w:rsidRPr="009F1E5D">
        <w:rPr>
          <w:rFonts w:ascii="Arial" w:eastAsia="Arial" w:hAnsi="Arial" w:cs="Arial"/>
          <w:sz w:val="22"/>
          <w:szCs w:val="22"/>
        </w:rPr>
        <w:t xml:space="preserve"> v</w:t>
      </w:r>
      <w:r w:rsidRPr="00BD17CA">
        <w:rPr>
          <w:rFonts w:ascii="Arial" w:eastAsia="Arial" w:hAnsi="Arial" w:cs="Arial"/>
          <w:sz w:val="22"/>
          <w:szCs w:val="22"/>
        </w:rPr>
        <w:t>a</w:t>
      </w:r>
      <w:r w:rsidRPr="009F1E5D">
        <w:rPr>
          <w:rFonts w:ascii="Arial" w:eastAsia="Arial" w:hAnsi="Arial" w:cs="Arial"/>
          <w:sz w:val="22"/>
          <w:szCs w:val="22"/>
        </w:rPr>
        <w:t>l</w:t>
      </w:r>
      <w:r w:rsidRPr="00BD17CA">
        <w:rPr>
          <w:rFonts w:ascii="Arial" w:eastAsia="Arial" w:hAnsi="Arial" w:cs="Arial"/>
          <w:sz w:val="22"/>
          <w:szCs w:val="22"/>
        </w:rPr>
        <w:t>ue</w:t>
      </w:r>
      <w:r w:rsidRPr="009F1E5D">
        <w:rPr>
          <w:rFonts w:ascii="Arial" w:eastAsia="Arial" w:hAnsi="Arial" w:cs="Arial"/>
          <w:sz w:val="22"/>
          <w:szCs w:val="22"/>
        </w:rPr>
        <w:t xml:space="preserve"> </w:t>
      </w:r>
      <w:r w:rsidRPr="00BD17CA">
        <w:rPr>
          <w:rFonts w:ascii="Arial" w:eastAsia="Arial" w:hAnsi="Arial" w:cs="Arial"/>
          <w:sz w:val="22"/>
          <w:szCs w:val="22"/>
        </w:rPr>
        <w:t xml:space="preserve">of </w:t>
      </w:r>
      <w:r w:rsidRPr="009F1E5D">
        <w:rPr>
          <w:rFonts w:ascii="Arial" w:eastAsia="Arial" w:hAnsi="Arial" w:cs="Arial"/>
          <w:sz w:val="22"/>
          <w:szCs w:val="22"/>
        </w:rPr>
        <w:t>i</w:t>
      </w:r>
      <w:r w:rsidRPr="00BD17CA">
        <w:rPr>
          <w:rFonts w:ascii="Arial" w:eastAsia="Arial" w:hAnsi="Arial" w:cs="Arial"/>
          <w:sz w:val="22"/>
          <w:szCs w:val="22"/>
        </w:rPr>
        <w:t>n</w:t>
      </w:r>
      <w:r w:rsidRPr="009F1E5D">
        <w:rPr>
          <w:rFonts w:ascii="Arial" w:eastAsia="Arial" w:hAnsi="Arial" w:cs="Arial"/>
          <w:sz w:val="22"/>
          <w:szCs w:val="22"/>
        </w:rPr>
        <w:t>v</w:t>
      </w:r>
      <w:r w:rsidRPr="00BD17CA">
        <w:rPr>
          <w:rFonts w:ascii="Arial" w:eastAsia="Arial" w:hAnsi="Arial" w:cs="Arial"/>
          <w:sz w:val="22"/>
          <w:szCs w:val="22"/>
        </w:rPr>
        <w:t>e</w:t>
      </w:r>
      <w:r w:rsidRPr="009F1E5D">
        <w:rPr>
          <w:rFonts w:ascii="Arial" w:eastAsia="Arial" w:hAnsi="Arial" w:cs="Arial"/>
          <w:sz w:val="22"/>
          <w:szCs w:val="22"/>
        </w:rPr>
        <w:t>s</w:t>
      </w:r>
      <w:r w:rsidRPr="00BD17CA">
        <w:rPr>
          <w:rFonts w:ascii="Arial" w:eastAsia="Arial" w:hAnsi="Arial" w:cs="Arial"/>
          <w:sz w:val="22"/>
          <w:szCs w:val="22"/>
        </w:rPr>
        <w:t>t</w:t>
      </w:r>
      <w:r w:rsidRPr="009F1E5D">
        <w:rPr>
          <w:rFonts w:ascii="Arial" w:eastAsia="Arial" w:hAnsi="Arial" w:cs="Arial"/>
          <w:sz w:val="22"/>
          <w:szCs w:val="22"/>
        </w:rPr>
        <w:t>m</w:t>
      </w:r>
      <w:r w:rsidRPr="00BD17CA">
        <w:rPr>
          <w:rFonts w:ascii="Arial" w:eastAsia="Arial" w:hAnsi="Arial" w:cs="Arial"/>
          <w:sz w:val="22"/>
          <w:szCs w:val="22"/>
        </w:rPr>
        <w:t>e</w:t>
      </w:r>
      <w:r w:rsidRPr="009F1E5D">
        <w:rPr>
          <w:rFonts w:ascii="Arial" w:eastAsia="Arial" w:hAnsi="Arial" w:cs="Arial"/>
          <w:sz w:val="22"/>
          <w:szCs w:val="22"/>
        </w:rPr>
        <w:t>n</w:t>
      </w:r>
      <w:r w:rsidRPr="00BD17CA">
        <w:rPr>
          <w:rFonts w:ascii="Arial" w:eastAsia="Arial" w:hAnsi="Arial" w:cs="Arial"/>
          <w:sz w:val="22"/>
          <w:szCs w:val="22"/>
        </w:rPr>
        <w:t>ts</w:t>
      </w:r>
      <w:r w:rsidRPr="009F1E5D">
        <w:rPr>
          <w:rFonts w:ascii="Arial" w:eastAsia="Arial" w:hAnsi="Arial" w:cs="Arial"/>
          <w:sz w:val="22"/>
          <w:szCs w:val="22"/>
        </w:rPr>
        <w:t xml:space="preserve"> li</w:t>
      </w:r>
      <w:r w:rsidRPr="00BD17CA">
        <w:rPr>
          <w:rFonts w:ascii="Arial" w:eastAsia="Arial" w:hAnsi="Arial" w:cs="Arial"/>
          <w:sz w:val="22"/>
          <w:szCs w:val="22"/>
        </w:rPr>
        <w:t>ne</w:t>
      </w:r>
      <w:r w:rsidRPr="009F1E5D">
        <w:rPr>
          <w:rFonts w:ascii="Arial" w:eastAsia="Arial" w:hAnsi="Arial" w:cs="Arial"/>
          <w:sz w:val="22"/>
          <w:szCs w:val="22"/>
        </w:rPr>
        <w:t xml:space="preserve"> </w:t>
      </w:r>
      <w:r w:rsidRPr="00BD17CA">
        <w:rPr>
          <w:rFonts w:ascii="Arial" w:eastAsia="Arial" w:hAnsi="Arial" w:cs="Arial"/>
          <w:sz w:val="22"/>
          <w:szCs w:val="22"/>
        </w:rPr>
        <w:t>of</w:t>
      </w:r>
      <w:r w:rsidRPr="009F1E5D">
        <w:rPr>
          <w:rFonts w:ascii="Arial" w:eastAsia="Arial" w:hAnsi="Arial" w:cs="Arial"/>
          <w:sz w:val="22"/>
          <w:szCs w:val="22"/>
        </w:rPr>
        <w:t xml:space="preserve"> </w:t>
      </w:r>
      <w:r w:rsidRPr="00BD17CA">
        <w:rPr>
          <w:rFonts w:ascii="Arial" w:eastAsia="Arial" w:hAnsi="Arial" w:cs="Arial"/>
          <w:sz w:val="22"/>
          <w:szCs w:val="22"/>
        </w:rPr>
        <w:t>t</w:t>
      </w:r>
      <w:r w:rsidRPr="009F1E5D">
        <w:rPr>
          <w:rFonts w:ascii="Arial" w:eastAsia="Arial" w:hAnsi="Arial" w:cs="Arial"/>
          <w:sz w:val="22"/>
          <w:szCs w:val="22"/>
        </w:rPr>
        <w:t>h</w:t>
      </w:r>
      <w:r w:rsidRPr="00BD17CA">
        <w:rPr>
          <w:rFonts w:ascii="Arial" w:eastAsia="Arial" w:hAnsi="Arial" w:cs="Arial"/>
          <w:sz w:val="22"/>
          <w:szCs w:val="22"/>
        </w:rPr>
        <w:t>e</w:t>
      </w:r>
      <w:r w:rsidRPr="009F1E5D">
        <w:rPr>
          <w:rFonts w:ascii="Arial" w:eastAsia="Arial" w:hAnsi="Arial" w:cs="Arial"/>
          <w:sz w:val="22"/>
          <w:szCs w:val="22"/>
        </w:rPr>
        <w:t xml:space="preserve"> f</w:t>
      </w:r>
      <w:r w:rsidRPr="00BD17CA">
        <w:rPr>
          <w:rFonts w:ascii="Arial" w:eastAsia="Arial" w:hAnsi="Arial" w:cs="Arial"/>
          <w:sz w:val="22"/>
          <w:szCs w:val="22"/>
        </w:rPr>
        <w:t>u</w:t>
      </w:r>
      <w:r w:rsidRPr="009F1E5D">
        <w:rPr>
          <w:rFonts w:ascii="Arial" w:eastAsia="Arial" w:hAnsi="Arial" w:cs="Arial"/>
          <w:sz w:val="22"/>
          <w:szCs w:val="22"/>
        </w:rPr>
        <w:t>n</w:t>
      </w:r>
      <w:r w:rsidRPr="00BD17CA">
        <w:rPr>
          <w:rFonts w:ascii="Arial" w:eastAsia="Arial" w:hAnsi="Arial" w:cs="Arial"/>
          <w:sz w:val="22"/>
          <w:szCs w:val="22"/>
        </w:rPr>
        <w:t>d</w:t>
      </w:r>
      <w:r w:rsidRPr="009F1E5D">
        <w:rPr>
          <w:rFonts w:ascii="Arial" w:eastAsia="Arial" w:hAnsi="Arial" w:cs="Arial"/>
          <w:sz w:val="22"/>
          <w:szCs w:val="22"/>
        </w:rPr>
        <w:t xml:space="preserve"> </w:t>
      </w:r>
      <w:r w:rsidRPr="00BD17CA">
        <w:rPr>
          <w:rFonts w:ascii="Arial" w:eastAsia="Arial" w:hAnsi="Arial" w:cs="Arial"/>
          <w:sz w:val="22"/>
          <w:szCs w:val="22"/>
        </w:rPr>
        <w:t>ac</w:t>
      </w:r>
      <w:r w:rsidRPr="009F1E5D">
        <w:rPr>
          <w:rFonts w:ascii="Arial" w:eastAsia="Arial" w:hAnsi="Arial" w:cs="Arial"/>
          <w:sz w:val="22"/>
          <w:szCs w:val="22"/>
        </w:rPr>
        <w:t>c</w:t>
      </w:r>
      <w:r w:rsidRPr="00BD17CA">
        <w:rPr>
          <w:rFonts w:ascii="Arial" w:eastAsia="Arial" w:hAnsi="Arial" w:cs="Arial"/>
          <w:sz w:val="22"/>
          <w:szCs w:val="22"/>
        </w:rPr>
        <w:t>o</w:t>
      </w:r>
      <w:r w:rsidRPr="009F1E5D">
        <w:rPr>
          <w:rFonts w:ascii="Arial" w:eastAsia="Arial" w:hAnsi="Arial" w:cs="Arial"/>
          <w:sz w:val="22"/>
          <w:szCs w:val="22"/>
        </w:rPr>
        <w:t>un</w:t>
      </w:r>
      <w:r w:rsidRPr="00BD17CA">
        <w:rPr>
          <w:rFonts w:ascii="Arial" w:eastAsia="Arial" w:hAnsi="Arial" w:cs="Arial"/>
          <w:sz w:val="22"/>
          <w:szCs w:val="22"/>
        </w:rPr>
        <w:t>t.</w:t>
      </w:r>
    </w:p>
    <w:p w14:paraId="777165C3" w14:textId="77777777" w:rsidR="00933FA8" w:rsidRDefault="00933FA8" w:rsidP="009F1E5D">
      <w:pPr>
        <w:spacing w:after="200" w:line="276" w:lineRule="auto"/>
        <w:ind w:right="74"/>
        <w:jc w:val="both"/>
        <w:rPr>
          <w:rFonts w:ascii="Arial" w:eastAsia="Arial" w:hAnsi="Arial" w:cs="Arial"/>
          <w:b/>
          <w:bCs/>
          <w:sz w:val="22"/>
          <w:szCs w:val="22"/>
        </w:rPr>
      </w:pPr>
    </w:p>
    <w:p w14:paraId="184C3B8E" w14:textId="77777777" w:rsidR="00933FA8" w:rsidRDefault="00933FA8" w:rsidP="009F1E5D">
      <w:pPr>
        <w:spacing w:after="200" w:line="276" w:lineRule="auto"/>
        <w:ind w:right="74"/>
        <w:jc w:val="both"/>
        <w:rPr>
          <w:rFonts w:ascii="Arial" w:eastAsia="Arial" w:hAnsi="Arial" w:cs="Arial"/>
          <w:b/>
          <w:bCs/>
          <w:sz w:val="22"/>
          <w:szCs w:val="22"/>
        </w:rPr>
      </w:pPr>
    </w:p>
    <w:p w14:paraId="65F26CDD" w14:textId="77777777" w:rsidR="00933FA8" w:rsidRDefault="00933FA8" w:rsidP="009F1E5D">
      <w:pPr>
        <w:spacing w:after="200" w:line="276" w:lineRule="auto"/>
        <w:ind w:right="74"/>
        <w:jc w:val="both"/>
        <w:rPr>
          <w:rFonts w:ascii="Arial" w:eastAsia="Arial" w:hAnsi="Arial" w:cs="Arial"/>
          <w:b/>
          <w:bCs/>
          <w:sz w:val="22"/>
          <w:szCs w:val="22"/>
        </w:rPr>
      </w:pPr>
    </w:p>
    <w:p w14:paraId="6BFCE3DD" w14:textId="77777777" w:rsidR="00933FA8" w:rsidRDefault="00933FA8" w:rsidP="009F1E5D">
      <w:pPr>
        <w:spacing w:after="200" w:line="276" w:lineRule="auto"/>
        <w:ind w:right="74"/>
        <w:jc w:val="both"/>
        <w:rPr>
          <w:rFonts w:ascii="Arial" w:eastAsia="Arial" w:hAnsi="Arial" w:cs="Arial"/>
          <w:b/>
          <w:bCs/>
          <w:sz w:val="22"/>
          <w:szCs w:val="22"/>
        </w:rPr>
      </w:pPr>
    </w:p>
    <w:p w14:paraId="2D43108A" w14:textId="77777777" w:rsidR="00933FA8" w:rsidRDefault="00933FA8" w:rsidP="009F1E5D">
      <w:pPr>
        <w:spacing w:after="200" w:line="276" w:lineRule="auto"/>
        <w:ind w:right="74"/>
        <w:jc w:val="both"/>
        <w:rPr>
          <w:rFonts w:ascii="Arial" w:eastAsia="Arial" w:hAnsi="Arial" w:cs="Arial"/>
          <w:b/>
          <w:bCs/>
          <w:sz w:val="22"/>
          <w:szCs w:val="22"/>
        </w:rPr>
      </w:pPr>
    </w:p>
    <w:p w14:paraId="6D0CDB30" w14:textId="77777777" w:rsidR="00933FA8" w:rsidRDefault="00933FA8" w:rsidP="009F1E5D">
      <w:pPr>
        <w:spacing w:after="200" w:line="276" w:lineRule="auto"/>
        <w:ind w:right="74"/>
        <w:jc w:val="both"/>
        <w:rPr>
          <w:rFonts w:ascii="Arial" w:eastAsia="Arial" w:hAnsi="Arial" w:cs="Arial"/>
          <w:b/>
          <w:bCs/>
          <w:sz w:val="22"/>
          <w:szCs w:val="22"/>
        </w:rPr>
      </w:pPr>
    </w:p>
    <w:p w14:paraId="6EF33A0B" w14:textId="77777777" w:rsidR="00933FA8" w:rsidRDefault="00933FA8" w:rsidP="009F1E5D">
      <w:pPr>
        <w:spacing w:after="200" w:line="276" w:lineRule="auto"/>
        <w:ind w:right="74"/>
        <w:jc w:val="both"/>
        <w:rPr>
          <w:rFonts w:ascii="Arial" w:eastAsia="Arial" w:hAnsi="Arial" w:cs="Arial"/>
          <w:b/>
          <w:bCs/>
          <w:sz w:val="22"/>
          <w:szCs w:val="22"/>
        </w:rPr>
      </w:pPr>
    </w:p>
    <w:p w14:paraId="0C65E149" w14:textId="77777777" w:rsidR="00933FA8" w:rsidRDefault="00933FA8" w:rsidP="009F1E5D">
      <w:pPr>
        <w:spacing w:after="200" w:line="276" w:lineRule="auto"/>
        <w:ind w:right="74"/>
        <w:jc w:val="both"/>
        <w:rPr>
          <w:rFonts w:ascii="Arial" w:eastAsia="Arial" w:hAnsi="Arial" w:cs="Arial"/>
          <w:b/>
          <w:bCs/>
          <w:sz w:val="22"/>
          <w:szCs w:val="22"/>
        </w:rPr>
      </w:pPr>
    </w:p>
    <w:p w14:paraId="497FEC81" w14:textId="77777777" w:rsidR="00933FA8" w:rsidRDefault="00933FA8" w:rsidP="009F1E5D">
      <w:pPr>
        <w:spacing w:after="200" w:line="276" w:lineRule="auto"/>
        <w:ind w:right="74"/>
        <w:jc w:val="both"/>
        <w:rPr>
          <w:rFonts w:ascii="Arial" w:eastAsia="Arial" w:hAnsi="Arial" w:cs="Arial"/>
          <w:b/>
          <w:bCs/>
          <w:sz w:val="22"/>
          <w:szCs w:val="22"/>
        </w:rPr>
      </w:pPr>
    </w:p>
    <w:p w14:paraId="76BAB42C" w14:textId="77777777" w:rsidR="00933FA8" w:rsidRDefault="00933FA8" w:rsidP="009F1E5D">
      <w:pPr>
        <w:spacing w:after="200" w:line="276" w:lineRule="auto"/>
        <w:ind w:right="74"/>
        <w:jc w:val="both"/>
        <w:rPr>
          <w:rFonts w:ascii="Arial" w:eastAsia="Arial" w:hAnsi="Arial" w:cs="Arial"/>
          <w:b/>
          <w:bCs/>
          <w:sz w:val="22"/>
          <w:szCs w:val="22"/>
        </w:rPr>
      </w:pPr>
    </w:p>
    <w:p w14:paraId="34A5361D" w14:textId="77777777" w:rsidR="00933FA8" w:rsidRDefault="00933FA8" w:rsidP="009F1E5D">
      <w:pPr>
        <w:spacing w:after="200" w:line="276" w:lineRule="auto"/>
        <w:ind w:right="74"/>
        <w:jc w:val="both"/>
        <w:rPr>
          <w:rFonts w:ascii="Arial" w:eastAsia="Arial" w:hAnsi="Arial" w:cs="Arial"/>
          <w:b/>
          <w:bCs/>
          <w:sz w:val="22"/>
          <w:szCs w:val="22"/>
        </w:rPr>
      </w:pPr>
    </w:p>
    <w:p w14:paraId="16A0C172" w14:textId="77777777" w:rsidR="00933FA8" w:rsidRDefault="00933FA8" w:rsidP="009F1E5D">
      <w:pPr>
        <w:spacing w:after="200" w:line="276" w:lineRule="auto"/>
        <w:ind w:right="74"/>
        <w:jc w:val="both"/>
        <w:rPr>
          <w:rFonts w:ascii="Arial" w:eastAsia="Arial" w:hAnsi="Arial" w:cs="Arial"/>
          <w:b/>
          <w:bCs/>
          <w:sz w:val="22"/>
          <w:szCs w:val="22"/>
        </w:rPr>
      </w:pPr>
    </w:p>
    <w:p w14:paraId="54C0D257" w14:textId="77777777" w:rsidR="00933FA8" w:rsidRDefault="00933FA8" w:rsidP="009F1E5D">
      <w:pPr>
        <w:spacing w:after="200" w:line="276" w:lineRule="auto"/>
        <w:ind w:right="74"/>
        <w:jc w:val="both"/>
        <w:rPr>
          <w:rFonts w:ascii="Arial" w:eastAsia="Arial" w:hAnsi="Arial" w:cs="Arial"/>
          <w:b/>
          <w:bCs/>
          <w:sz w:val="22"/>
          <w:szCs w:val="22"/>
        </w:rPr>
      </w:pPr>
    </w:p>
    <w:p w14:paraId="621EA3A2" w14:textId="77777777" w:rsidR="00933FA8" w:rsidRDefault="00933FA8" w:rsidP="009F1E5D">
      <w:pPr>
        <w:spacing w:after="200" w:line="276" w:lineRule="auto"/>
        <w:ind w:right="74"/>
        <w:jc w:val="both"/>
        <w:rPr>
          <w:rFonts w:ascii="Arial" w:eastAsia="Arial" w:hAnsi="Arial" w:cs="Arial"/>
          <w:b/>
          <w:bCs/>
          <w:sz w:val="22"/>
          <w:szCs w:val="22"/>
        </w:rPr>
      </w:pPr>
    </w:p>
    <w:p w14:paraId="41D41B6F" w14:textId="77777777" w:rsidR="00933FA8" w:rsidRDefault="00933FA8" w:rsidP="009F1E5D">
      <w:pPr>
        <w:spacing w:after="200" w:line="276" w:lineRule="auto"/>
        <w:ind w:right="74"/>
        <w:jc w:val="both"/>
        <w:rPr>
          <w:rFonts w:ascii="Arial" w:eastAsia="Arial" w:hAnsi="Arial" w:cs="Arial"/>
          <w:b/>
          <w:bCs/>
          <w:sz w:val="22"/>
          <w:szCs w:val="22"/>
        </w:rPr>
      </w:pPr>
    </w:p>
    <w:p w14:paraId="442D3EF6" w14:textId="77777777" w:rsidR="00933FA8" w:rsidRDefault="00933FA8" w:rsidP="009F1E5D">
      <w:pPr>
        <w:spacing w:after="200" w:line="276" w:lineRule="auto"/>
        <w:ind w:right="74"/>
        <w:jc w:val="both"/>
        <w:rPr>
          <w:rFonts w:ascii="Arial" w:eastAsia="Arial" w:hAnsi="Arial" w:cs="Arial"/>
          <w:b/>
          <w:bCs/>
          <w:sz w:val="22"/>
          <w:szCs w:val="22"/>
        </w:rPr>
      </w:pPr>
    </w:p>
    <w:p w14:paraId="0D2CBC4F" w14:textId="77777777" w:rsidR="00933FA8" w:rsidRDefault="00933FA8" w:rsidP="009F1E5D">
      <w:pPr>
        <w:spacing w:after="200" w:line="276" w:lineRule="auto"/>
        <w:ind w:right="74"/>
        <w:jc w:val="both"/>
        <w:rPr>
          <w:rFonts w:ascii="Arial" w:eastAsia="Arial" w:hAnsi="Arial" w:cs="Arial"/>
          <w:b/>
          <w:bCs/>
          <w:sz w:val="22"/>
          <w:szCs w:val="22"/>
        </w:rPr>
      </w:pPr>
    </w:p>
    <w:p w14:paraId="39993734" w14:textId="77777777" w:rsidR="00933FA8" w:rsidRDefault="00933FA8" w:rsidP="009F1E5D">
      <w:pPr>
        <w:spacing w:after="200" w:line="276" w:lineRule="auto"/>
        <w:ind w:right="74"/>
        <w:jc w:val="both"/>
        <w:rPr>
          <w:rFonts w:ascii="Arial" w:eastAsia="Arial" w:hAnsi="Arial" w:cs="Arial"/>
          <w:b/>
          <w:bCs/>
          <w:sz w:val="22"/>
          <w:szCs w:val="22"/>
        </w:rPr>
      </w:pPr>
    </w:p>
    <w:p w14:paraId="280531BE" w14:textId="0840D0DC" w:rsidR="009C7422" w:rsidRPr="009F1E5D" w:rsidRDefault="001706EB" w:rsidP="009F1E5D">
      <w:pPr>
        <w:spacing w:after="200" w:line="276" w:lineRule="auto"/>
        <w:ind w:right="74"/>
        <w:jc w:val="both"/>
        <w:rPr>
          <w:rFonts w:ascii="Arial" w:eastAsia="Arial" w:hAnsi="Arial" w:cs="Arial"/>
          <w:b/>
          <w:bCs/>
          <w:sz w:val="22"/>
          <w:szCs w:val="22"/>
        </w:rPr>
      </w:pPr>
      <w:r w:rsidRPr="009F1E5D">
        <w:rPr>
          <w:rFonts w:ascii="Arial" w:eastAsia="Arial" w:hAnsi="Arial" w:cs="Arial"/>
          <w:b/>
          <w:bCs/>
          <w:sz w:val="22"/>
          <w:szCs w:val="22"/>
        </w:rPr>
        <w:lastRenderedPageBreak/>
        <w:t xml:space="preserve">NOTE </w:t>
      </w:r>
      <w:r w:rsidR="00247116" w:rsidRPr="009F1E5D">
        <w:rPr>
          <w:rFonts w:ascii="Arial" w:eastAsia="Arial" w:hAnsi="Arial" w:cs="Arial"/>
          <w:b/>
          <w:bCs/>
          <w:sz w:val="22"/>
          <w:szCs w:val="22"/>
        </w:rPr>
        <w:t>1</w:t>
      </w:r>
      <w:r w:rsidR="00247116">
        <w:rPr>
          <w:rFonts w:ascii="Arial" w:eastAsia="Arial" w:hAnsi="Arial" w:cs="Arial"/>
          <w:b/>
          <w:bCs/>
          <w:sz w:val="22"/>
          <w:szCs w:val="22"/>
        </w:rPr>
        <w:t>5</w:t>
      </w:r>
      <w:r w:rsidR="00247116" w:rsidRPr="009F1E5D">
        <w:rPr>
          <w:rFonts w:ascii="Arial" w:eastAsia="Arial" w:hAnsi="Arial" w:cs="Arial"/>
          <w:b/>
          <w:bCs/>
          <w:sz w:val="22"/>
          <w:szCs w:val="22"/>
        </w:rPr>
        <w:t>a</w:t>
      </w:r>
      <w:r w:rsidRPr="009F1E5D">
        <w:rPr>
          <w:rFonts w:ascii="Arial" w:eastAsia="Arial" w:hAnsi="Arial" w:cs="Arial"/>
          <w:b/>
          <w:bCs/>
          <w:sz w:val="22"/>
          <w:szCs w:val="22"/>
        </w:rPr>
        <w:t>: CLASSIFICATION OF FINANCIAL INSTRUMENTS</w:t>
      </w:r>
    </w:p>
    <w:p w14:paraId="6A520197" w14:textId="7102E948" w:rsidR="009C7422" w:rsidRPr="009F1E5D" w:rsidRDefault="004B5E80" w:rsidP="009F1E5D">
      <w:pPr>
        <w:spacing w:after="200" w:line="276" w:lineRule="auto"/>
        <w:ind w:right="74"/>
        <w:jc w:val="both"/>
        <w:rPr>
          <w:rFonts w:ascii="Arial" w:eastAsia="Arial" w:hAnsi="Arial" w:cs="Arial"/>
          <w:sz w:val="22"/>
          <w:szCs w:val="22"/>
        </w:rPr>
      </w:pPr>
      <w:r w:rsidRPr="004B5E80">
        <w:rPr>
          <w:rFonts w:eastAsia="Arial"/>
          <w:noProof/>
        </w:rPr>
        <w:drawing>
          <wp:inline distT="0" distB="0" distL="0" distR="0" wp14:anchorId="7561B5E4" wp14:editId="33AF8EB8">
            <wp:extent cx="6464300" cy="56578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64300" cy="5657850"/>
                    </a:xfrm>
                    <a:prstGeom prst="rect">
                      <a:avLst/>
                    </a:prstGeom>
                    <a:noFill/>
                    <a:ln>
                      <a:noFill/>
                    </a:ln>
                  </pic:spPr>
                </pic:pic>
              </a:graphicData>
            </a:graphic>
          </wp:inline>
        </w:drawing>
      </w:r>
    </w:p>
    <w:p w14:paraId="73DB16D6" w14:textId="3DE89FFD" w:rsidR="009C7422" w:rsidRDefault="009F1E5D" w:rsidP="009F1E5D">
      <w:pPr>
        <w:spacing w:after="200" w:line="276" w:lineRule="auto"/>
        <w:ind w:right="74"/>
        <w:jc w:val="both"/>
        <w:rPr>
          <w:rFonts w:ascii="Arial" w:eastAsia="Arial" w:hAnsi="Arial" w:cs="Arial"/>
          <w:b/>
          <w:bCs/>
          <w:sz w:val="22"/>
          <w:szCs w:val="22"/>
        </w:rPr>
      </w:pPr>
      <w:r w:rsidRPr="009F1E5D">
        <w:rPr>
          <w:rFonts w:ascii="Arial" w:eastAsia="Arial" w:hAnsi="Arial" w:cs="Arial"/>
          <w:b/>
          <w:bCs/>
          <w:sz w:val="22"/>
          <w:szCs w:val="22"/>
        </w:rPr>
        <w:t>NOTE 1</w:t>
      </w:r>
      <w:r w:rsidR="00247116">
        <w:rPr>
          <w:rFonts w:ascii="Arial" w:eastAsia="Arial" w:hAnsi="Arial" w:cs="Arial"/>
          <w:b/>
          <w:bCs/>
          <w:sz w:val="22"/>
          <w:szCs w:val="22"/>
        </w:rPr>
        <w:t>5b</w:t>
      </w:r>
      <w:r w:rsidRPr="009F1E5D">
        <w:rPr>
          <w:rFonts w:ascii="Arial" w:eastAsia="Arial" w:hAnsi="Arial" w:cs="Arial"/>
          <w:b/>
          <w:bCs/>
          <w:sz w:val="22"/>
          <w:szCs w:val="22"/>
        </w:rPr>
        <w:t>: NET GAINS AND LOSSES ON FINANCIAL INSTRUMENTS</w:t>
      </w:r>
    </w:p>
    <w:tbl>
      <w:tblPr>
        <w:tblW w:w="8460" w:type="dxa"/>
        <w:tblLook w:val="04A0" w:firstRow="1" w:lastRow="0" w:firstColumn="1" w:lastColumn="0" w:noHBand="0" w:noVBand="1"/>
      </w:tblPr>
      <w:tblGrid>
        <w:gridCol w:w="1012"/>
        <w:gridCol w:w="960"/>
        <w:gridCol w:w="5620"/>
        <w:gridCol w:w="1012"/>
      </w:tblGrid>
      <w:tr w:rsidR="000C5B88" w:rsidRPr="000C5B88" w14:paraId="7AFAF331" w14:textId="77777777" w:rsidTr="000C5B88">
        <w:trPr>
          <w:trHeight w:val="300"/>
        </w:trPr>
        <w:tc>
          <w:tcPr>
            <w:tcW w:w="960" w:type="dxa"/>
            <w:tcBorders>
              <w:top w:val="single" w:sz="4" w:space="0" w:color="auto"/>
              <w:left w:val="single" w:sz="4" w:space="0" w:color="auto"/>
              <w:bottom w:val="nil"/>
              <w:right w:val="nil"/>
            </w:tcBorders>
            <w:shd w:val="clear" w:color="000000" w:fill="00CC99"/>
            <w:noWrap/>
            <w:vAlign w:val="center"/>
            <w:hideMark/>
          </w:tcPr>
          <w:p w14:paraId="1D5351BF" w14:textId="77777777" w:rsidR="000C5B88" w:rsidRPr="000C5B88" w:rsidRDefault="000C5B88" w:rsidP="000C5B88">
            <w:pPr>
              <w:jc w:val="center"/>
              <w:rPr>
                <w:rFonts w:ascii="Arial" w:hAnsi="Arial" w:cs="Arial"/>
                <w:b/>
                <w:bCs/>
                <w:sz w:val="22"/>
                <w:szCs w:val="22"/>
                <w:lang w:val="en-GB" w:eastAsia="en-GB"/>
              </w:rPr>
            </w:pPr>
            <w:r w:rsidRPr="000C5B88">
              <w:rPr>
                <w:rFonts w:ascii="Arial" w:hAnsi="Arial" w:cs="Arial"/>
                <w:b/>
                <w:bCs/>
                <w:sz w:val="22"/>
                <w:szCs w:val="22"/>
                <w:lang w:val="en-GB" w:eastAsia="en-GB"/>
              </w:rPr>
              <w:t>2018/19</w:t>
            </w:r>
          </w:p>
        </w:tc>
        <w:tc>
          <w:tcPr>
            <w:tcW w:w="960" w:type="dxa"/>
            <w:tcBorders>
              <w:top w:val="single" w:sz="4" w:space="0" w:color="auto"/>
              <w:left w:val="nil"/>
              <w:bottom w:val="nil"/>
              <w:right w:val="nil"/>
            </w:tcBorders>
            <w:shd w:val="clear" w:color="000000" w:fill="00CC99"/>
            <w:noWrap/>
            <w:vAlign w:val="center"/>
            <w:hideMark/>
          </w:tcPr>
          <w:p w14:paraId="2073D79E" w14:textId="77777777" w:rsidR="000C5B88" w:rsidRPr="000C5B88" w:rsidRDefault="000C5B88" w:rsidP="000C5B88">
            <w:pPr>
              <w:jc w:val="center"/>
              <w:rPr>
                <w:rFonts w:ascii="Arial" w:hAnsi="Arial" w:cs="Arial"/>
                <w:b/>
                <w:bCs/>
                <w:sz w:val="22"/>
                <w:szCs w:val="22"/>
                <w:lang w:val="en-GB" w:eastAsia="en-GB"/>
              </w:rPr>
            </w:pPr>
            <w:r w:rsidRPr="000C5B88">
              <w:rPr>
                <w:rFonts w:ascii="Arial" w:hAnsi="Arial" w:cs="Arial"/>
                <w:b/>
                <w:bCs/>
                <w:sz w:val="22"/>
                <w:szCs w:val="22"/>
                <w:lang w:val="en-GB" w:eastAsia="en-GB"/>
              </w:rPr>
              <w:t> </w:t>
            </w:r>
          </w:p>
        </w:tc>
        <w:tc>
          <w:tcPr>
            <w:tcW w:w="5620" w:type="dxa"/>
            <w:tcBorders>
              <w:top w:val="single" w:sz="4" w:space="0" w:color="auto"/>
              <w:left w:val="nil"/>
              <w:bottom w:val="nil"/>
              <w:right w:val="nil"/>
            </w:tcBorders>
            <w:shd w:val="clear" w:color="000000" w:fill="00CC99"/>
            <w:noWrap/>
            <w:vAlign w:val="bottom"/>
            <w:hideMark/>
          </w:tcPr>
          <w:p w14:paraId="172389F7" w14:textId="77777777" w:rsidR="000C5B88" w:rsidRPr="000C5B88" w:rsidRDefault="000C5B88" w:rsidP="000C5B88">
            <w:pPr>
              <w:rPr>
                <w:rFonts w:ascii="Arial" w:hAnsi="Arial" w:cs="Arial"/>
                <w:sz w:val="22"/>
                <w:szCs w:val="22"/>
                <w:lang w:val="en-GB" w:eastAsia="en-GB"/>
              </w:rPr>
            </w:pPr>
            <w:r w:rsidRPr="000C5B88">
              <w:rPr>
                <w:rFonts w:ascii="Arial" w:hAnsi="Arial" w:cs="Arial"/>
                <w:sz w:val="22"/>
                <w:szCs w:val="22"/>
                <w:lang w:val="en-GB" w:eastAsia="en-GB"/>
              </w:rPr>
              <w:t> </w:t>
            </w:r>
          </w:p>
        </w:tc>
        <w:tc>
          <w:tcPr>
            <w:tcW w:w="920" w:type="dxa"/>
            <w:tcBorders>
              <w:top w:val="single" w:sz="4" w:space="0" w:color="auto"/>
              <w:left w:val="nil"/>
              <w:bottom w:val="nil"/>
              <w:right w:val="single" w:sz="4" w:space="0" w:color="auto"/>
            </w:tcBorders>
            <w:shd w:val="clear" w:color="000000" w:fill="00CC99"/>
            <w:noWrap/>
            <w:vAlign w:val="center"/>
            <w:hideMark/>
          </w:tcPr>
          <w:p w14:paraId="497079BC" w14:textId="77777777" w:rsidR="000C5B88" w:rsidRPr="000C5B88" w:rsidRDefault="000C5B88" w:rsidP="000C5B88">
            <w:pPr>
              <w:jc w:val="center"/>
              <w:rPr>
                <w:rFonts w:ascii="Arial" w:hAnsi="Arial" w:cs="Arial"/>
                <w:b/>
                <w:bCs/>
                <w:sz w:val="22"/>
                <w:szCs w:val="22"/>
                <w:lang w:val="en-GB" w:eastAsia="en-GB"/>
              </w:rPr>
            </w:pPr>
            <w:r w:rsidRPr="000C5B88">
              <w:rPr>
                <w:rFonts w:ascii="Arial" w:hAnsi="Arial" w:cs="Arial"/>
                <w:b/>
                <w:bCs/>
                <w:sz w:val="22"/>
                <w:szCs w:val="22"/>
                <w:lang w:val="en-GB" w:eastAsia="en-GB"/>
              </w:rPr>
              <w:t>2019/20</w:t>
            </w:r>
          </w:p>
        </w:tc>
      </w:tr>
      <w:tr w:rsidR="000C5B88" w:rsidRPr="000C5B88" w14:paraId="22967454" w14:textId="77777777" w:rsidTr="000C5B88">
        <w:trPr>
          <w:trHeight w:val="300"/>
        </w:trPr>
        <w:tc>
          <w:tcPr>
            <w:tcW w:w="960" w:type="dxa"/>
            <w:tcBorders>
              <w:top w:val="nil"/>
              <w:left w:val="single" w:sz="4" w:space="0" w:color="auto"/>
              <w:bottom w:val="nil"/>
              <w:right w:val="nil"/>
            </w:tcBorders>
            <w:shd w:val="clear" w:color="000000" w:fill="00CC99"/>
            <w:noWrap/>
            <w:vAlign w:val="center"/>
            <w:hideMark/>
          </w:tcPr>
          <w:p w14:paraId="08508D19" w14:textId="77777777" w:rsidR="000C5B88" w:rsidRPr="000C5B88" w:rsidRDefault="000C5B88" w:rsidP="000C5B88">
            <w:pPr>
              <w:jc w:val="center"/>
              <w:rPr>
                <w:rFonts w:ascii="Arial" w:hAnsi="Arial" w:cs="Arial"/>
                <w:b/>
                <w:bCs/>
                <w:sz w:val="22"/>
                <w:szCs w:val="22"/>
                <w:lang w:val="en-GB" w:eastAsia="en-GB"/>
              </w:rPr>
            </w:pPr>
            <w:r w:rsidRPr="000C5B88">
              <w:rPr>
                <w:rFonts w:ascii="Arial" w:hAnsi="Arial" w:cs="Arial"/>
                <w:b/>
                <w:bCs/>
                <w:sz w:val="22"/>
                <w:szCs w:val="22"/>
                <w:lang w:val="en-GB" w:eastAsia="en-GB"/>
              </w:rPr>
              <w:t>£'000</w:t>
            </w:r>
          </w:p>
        </w:tc>
        <w:tc>
          <w:tcPr>
            <w:tcW w:w="960" w:type="dxa"/>
            <w:tcBorders>
              <w:top w:val="nil"/>
              <w:left w:val="nil"/>
              <w:bottom w:val="nil"/>
              <w:right w:val="nil"/>
            </w:tcBorders>
            <w:shd w:val="clear" w:color="000000" w:fill="00CC99"/>
            <w:noWrap/>
            <w:vAlign w:val="bottom"/>
            <w:hideMark/>
          </w:tcPr>
          <w:p w14:paraId="1541B9F2" w14:textId="77777777" w:rsidR="000C5B88" w:rsidRPr="000C5B88" w:rsidRDefault="000C5B88" w:rsidP="000C5B88">
            <w:pPr>
              <w:jc w:val="center"/>
              <w:rPr>
                <w:rFonts w:ascii="Arial" w:hAnsi="Arial" w:cs="Arial"/>
                <w:b/>
                <w:bCs/>
                <w:sz w:val="22"/>
                <w:szCs w:val="22"/>
                <w:lang w:val="en-GB" w:eastAsia="en-GB"/>
              </w:rPr>
            </w:pPr>
            <w:r w:rsidRPr="000C5B88">
              <w:rPr>
                <w:rFonts w:ascii="Arial" w:hAnsi="Arial" w:cs="Arial"/>
                <w:b/>
                <w:bCs/>
                <w:sz w:val="22"/>
                <w:szCs w:val="22"/>
                <w:lang w:val="en-GB" w:eastAsia="en-GB"/>
              </w:rPr>
              <w:t> </w:t>
            </w:r>
          </w:p>
        </w:tc>
        <w:tc>
          <w:tcPr>
            <w:tcW w:w="5620" w:type="dxa"/>
            <w:tcBorders>
              <w:top w:val="nil"/>
              <w:left w:val="nil"/>
              <w:bottom w:val="nil"/>
              <w:right w:val="nil"/>
            </w:tcBorders>
            <w:shd w:val="clear" w:color="000000" w:fill="00CC99"/>
            <w:noWrap/>
            <w:vAlign w:val="bottom"/>
            <w:hideMark/>
          </w:tcPr>
          <w:p w14:paraId="158745CB" w14:textId="77777777" w:rsidR="000C5B88" w:rsidRPr="000C5B88" w:rsidRDefault="000C5B88" w:rsidP="000C5B88">
            <w:pPr>
              <w:rPr>
                <w:rFonts w:ascii="Arial" w:hAnsi="Arial" w:cs="Arial"/>
                <w:sz w:val="22"/>
                <w:szCs w:val="22"/>
                <w:lang w:val="en-GB" w:eastAsia="en-GB"/>
              </w:rPr>
            </w:pPr>
            <w:r w:rsidRPr="000C5B88">
              <w:rPr>
                <w:rFonts w:ascii="Arial" w:hAnsi="Arial" w:cs="Arial"/>
                <w:sz w:val="22"/>
                <w:szCs w:val="22"/>
                <w:lang w:val="en-GB" w:eastAsia="en-GB"/>
              </w:rPr>
              <w:t> </w:t>
            </w:r>
          </w:p>
        </w:tc>
        <w:tc>
          <w:tcPr>
            <w:tcW w:w="920" w:type="dxa"/>
            <w:tcBorders>
              <w:top w:val="nil"/>
              <w:left w:val="nil"/>
              <w:bottom w:val="nil"/>
              <w:right w:val="single" w:sz="4" w:space="0" w:color="auto"/>
            </w:tcBorders>
            <w:shd w:val="clear" w:color="000000" w:fill="00CC99"/>
            <w:noWrap/>
            <w:vAlign w:val="center"/>
            <w:hideMark/>
          </w:tcPr>
          <w:p w14:paraId="018D3E2A" w14:textId="77777777" w:rsidR="000C5B88" w:rsidRPr="000C5B88" w:rsidRDefault="000C5B88" w:rsidP="000C5B88">
            <w:pPr>
              <w:jc w:val="center"/>
              <w:rPr>
                <w:rFonts w:ascii="Arial" w:hAnsi="Arial" w:cs="Arial"/>
                <w:b/>
                <w:bCs/>
                <w:sz w:val="22"/>
                <w:szCs w:val="22"/>
                <w:lang w:val="en-GB" w:eastAsia="en-GB"/>
              </w:rPr>
            </w:pPr>
            <w:r w:rsidRPr="000C5B88">
              <w:rPr>
                <w:rFonts w:ascii="Arial" w:hAnsi="Arial" w:cs="Arial"/>
                <w:b/>
                <w:bCs/>
                <w:sz w:val="22"/>
                <w:szCs w:val="22"/>
                <w:lang w:val="en-GB" w:eastAsia="en-GB"/>
              </w:rPr>
              <w:t>£'000</w:t>
            </w:r>
          </w:p>
        </w:tc>
      </w:tr>
      <w:tr w:rsidR="000C5B88" w:rsidRPr="000C5B88" w14:paraId="75BE9C16" w14:textId="77777777" w:rsidTr="000C5B88">
        <w:trPr>
          <w:trHeight w:val="300"/>
        </w:trPr>
        <w:tc>
          <w:tcPr>
            <w:tcW w:w="960" w:type="dxa"/>
            <w:tcBorders>
              <w:top w:val="nil"/>
              <w:left w:val="single" w:sz="4" w:space="0" w:color="auto"/>
              <w:bottom w:val="nil"/>
              <w:right w:val="nil"/>
            </w:tcBorders>
            <w:shd w:val="clear" w:color="auto" w:fill="auto"/>
            <w:noWrap/>
            <w:vAlign w:val="bottom"/>
            <w:hideMark/>
          </w:tcPr>
          <w:p w14:paraId="00F96E4C" w14:textId="77777777" w:rsidR="000C5B88" w:rsidRPr="000C5B88" w:rsidRDefault="000C5B88" w:rsidP="000C5B88">
            <w:pPr>
              <w:rPr>
                <w:rFonts w:ascii="Arial" w:hAnsi="Arial" w:cs="Arial"/>
                <w:sz w:val="22"/>
                <w:szCs w:val="22"/>
                <w:lang w:val="en-GB" w:eastAsia="en-GB"/>
              </w:rPr>
            </w:pPr>
            <w:r w:rsidRPr="000C5B88">
              <w:rPr>
                <w:rFonts w:ascii="Arial" w:hAnsi="Arial" w:cs="Arial"/>
                <w:sz w:val="22"/>
                <w:szCs w:val="22"/>
                <w:lang w:val="en-GB" w:eastAsia="en-GB"/>
              </w:rPr>
              <w:t> </w:t>
            </w:r>
          </w:p>
        </w:tc>
        <w:tc>
          <w:tcPr>
            <w:tcW w:w="6580" w:type="dxa"/>
            <w:gridSpan w:val="2"/>
            <w:tcBorders>
              <w:top w:val="nil"/>
              <w:left w:val="nil"/>
              <w:bottom w:val="nil"/>
              <w:right w:val="nil"/>
            </w:tcBorders>
            <w:shd w:val="clear" w:color="auto" w:fill="auto"/>
            <w:noWrap/>
            <w:vAlign w:val="bottom"/>
            <w:hideMark/>
          </w:tcPr>
          <w:p w14:paraId="7C0905ED" w14:textId="77777777" w:rsidR="000C5B88" w:rsidRPr="000C5B88" w:rsidRDefault="000C5B88" w:rsidP="000C5B88">
            <w:pPr>
              <w:rPr>
                <w:rFonts w:ascii="Arial" w:hAnsi="Arial" w:cs="Arial"/>
                <w:b/>
                <w:bCs/>
                <w:sz w:val="22"/>
                <w:szCs w:val="22"/>
                <w:lang w:val="en-GB" w:eastAsia="en-GB"/>
              </w:rPr>
            </w:pPr>
            <w:r w:rsidRPr="000C5B88">
              <w:rPr>
                <w:rFonts w:ascii="Arial" w:hAnsi="Arial" w:cs="Arial"/>
                <w:b/>
                <w:bCs/>
                <w:sz w:val="22"/>
                <w:szCs w:val="22"/>
                <w:lang w:val="en-GB" w:eastAsia="en-GB"/>
              </w:rPr>
              <w:t>Financial assets</w:t>
            </w:r>
          </w:p>
        </w:tc>
        <w:tc>
          <w:tcPr>
            <w:tcW w:w="920" w:type="dxa"/>
            <w:tcBorders>
              <w:top w:val="nil"/>
              <w:left w:val="nil"/>
              <w:bottom w:val="nil"/>
              <w:right w:val="single" w:sz="4" w:space="0" w:color="auto"/>
            </w:tcBorders>
            <w:shd w:val="clear" w:color="auto" w:fill="auto"/>
            <w:noWrap/>
            <w:vAlign w:val="bottom"/>
            <w:hideMark/>
          </w:tcPr>
          <w:p w14:paraId="01355305" w14:textId="77777777" w:rsidR="000C5B88" w:rsidRPr="000C5B88" w:rsidRDefault="000C5B88" w:rsidP="000C5B88">
            <w:pPr>
              <w:rPr>
                <w:rFonts w:ascii="Arial" w:hAnsi="Arial" w:cs="Arial"/>
                <w:sz w:val="22"/>
                <w:szCs w:val="22"/>
                <w:lang w:val="en-GB" w:eastAsia="en-GB"/>
              </w:rPr>
            </w:pPr>
            <w:r w:rsidRPr="000C5B88">
              <w:rPr>
                <w:rFonts w:ascii="Arial" w:hAnsi="Arial" w:cs="Arial"/>
                <w:sz w:val="22"/>
                <w:szCs w:val="22"/>
                <w:lang w:val="en-GB" w:eastAsia="en-GB"/>
              </w:rPr>
              <w:t> </w:t>
            </w:r>
          </w:p>
        </w:tc>
      </w:tr>
      <w:tr w:rsidR="000C5B88" w:rsidRPr="000C5B88" w14:paraId="5D545718" w14:textId="77777777" w:rsidTr="000C5B88">
        <w:trPr>
          <w:trHeight w:val="300"/>
        </w:trPr>
        <w:tc>
          <w:tcPr>
            <w:tcW w:w="960" w:type="dxa"/>
            <w:tcBorders>
              <w:top w:val="nil"/>
              <w:left w:val="single" w:sz="4" w:space="0" w:color="auto"/>
              <w:bottom w:val="nil"/>
              <w:right w:val="nil"/>
            </w:tcBorders>
            <w:shd w:val="clear" w:color="auto" w:fill="auto"/>
            <w:noWrap/>
            <w:vAlign w:val="bottom"/>
            <w:hideMark/>
          </w:tcPr>
          <w:p w14:paraId="2C76FDD1" w14:textId="77777777" w:rsidR="000C5B88" w:rsidRPr="000C5B88" w:rsidRDefault="000C5B88" w:rsidP="000C5B88">
            <w:pPr>
              <w:jc w:val="right"/>
              <w:rPr>
                <w:rFonts w:ascii="Arial" w:hAnsi="Arial" w:cs="Arial"/>
                <w:sz w:val="22"/>
                <w:szCs w:val="22"/>
                <w:lang w:val="en-GB" w:eastAsia="en-GB"/>
              </w:rPr>
            </w:pPr>
            <w:r w:rsidRPr="000C5B88">
              <w:rPr>
                <w:rFonts w:ascii="Arial" w:hAnsi="Arial" w:cs="Arial"/>
                <w:sz w:val="22"/>
                <w:szCs w:val="22"/>
                <w:lang w:val="en-GB" w:eastAsia="en-GB"/>
              </w:rPr>
              <w:t xml:space="preserve">  64,454 </w:t>
            </w:r>
          </w:p>
        </w:tc>
        <w:tc>
          <w:tcPr>
            <w:tcW w:w="6580" w:type="dxa"/>
            <w:gridSpan w:val="2"/>
            <w:tcBorders>
              <w:top w:val="nil"/>
              <w:left w:val="nil"/>
              <w:bottom w:val="nil"/>
              <w:right w:val="nil"/>
            </w:tcBorders>
            <w:shd w:val="clear" w:color="auto" w:fill="auto"/>
            <w:noWrap/>
            <w:vAlign w:val="bottom"/>
            <w:hideMark/>
          </w:tcPr>
          <w:p w14:paraId="6BF409AC" w14:textId="77777777" w:rsidR="000C5B88" w:rsidRPr="000C5B88" w:rsidRDefault="000C5B88" w:rsidP="000C5B88">
            <w:pPr>
              <w:rPr>
                <w:rFonts w:ascii="Arial" w:hAnsi="Arial" w:cs="Arial"/>
                <w:sz w:val="22"/>
                <w:szCs w:val="22"/>
                <w:lang w:val="en-GB" w:eastAsia="en-GB"/>
              </w:rPr>
            </w:pPr>
            <w:r w:rsidRPr="000C5B88">
              <w:rPr>
                <w:rFonts w:ascii="Arial" w:hAnsi="Arial" w:cs="Arial"/>
                <w:sz w:val="22"/>
                <w:szCs w:val="22"/>
                <w:lang w:val="en-GB" w:eastAsia="en-GB"/>
              </w:rPr>
              <w:t>Designated at fair value through profit and loss</w:t>
            </w:r>
          </w:p>
        </w:tc>
        <w:tc>
          <w:tcPr>
            <w:tcW w:w="920" w:type="dxa"/>
            <w:tcBorders>
              <w:top w:val="nil"/>
              <w:left w:val="nil"/>
              <w:bottom w:val="nil"/>
              <w:right w:val="single" w:sz="4" w:space="0" w:color="auto"/>
            </w:tcBorders>
            <w:shd w:val="clear" w:color="auto" w:fill="auto"/>
            <w:noWrap/>
            <w:vAlign w:val="bottom"/>
            <w:hideMark/>
          </w:tcPr>
          <w:p w14:paraId="0C240805" w14:textId="77777777" w:rsidR="000C5B88" w:rsidRPr="000C5B88" w:rsidRDefault="000C5B88" w:rsidP="000C5B88">
            <w:pPr>
              <w:jc w:val="right"/>
              <w:rPr>
                <w:rFonts w:ascii="Arial" w:hAnsi="Arial" w:cs="Arial"/>
                <w:sz w:val="22"/>
                <w:szCs w:val="22"/>
                <w:lang w:val="en-GB" w:eastAsia="en-GB"/>
              </w:rPr>
            </w:pPr>
            <w:r w:rsidRPr="000C5B88">
              <w:rPr>
                <w:rFonts w:ascii="Arial" w:hAnsi="Arial" w:cs="Arial"/>
                <w:sz w:val="22"/>
                <w:szCs w:val="22"/>
                <w:lang w:val="en-GB" w:eastAsia="en-GB"/>
              </w:rPr>
              <w:t xml:space="preserve">  54,311 </w:t>
            </w:r>
          </w:p>
        </w:tc>
      </w:tr>
      <w:tr w:rsidR="000C5B88" w:rsidRPr="000C5B88" w14:paraId="791AEAAD" w14:textId="77777777" w:rsidTr="000C5B88">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079E252A" w14:textId="77777777" w:rsidR="000C5B88" w:rsidRPr="000C5B88" w:rsidRDefault="000C5B88" w:rsidP="000C5B88">
            <w:pPr>
              <w:jc w:val="right"/>
              <w:rPr>
                <w:rFonts w:ascii="Arial" w:hAnsi="Arial" w:cs="Arial"/>
                <w:b/>
                <w:bCs/>
                <w:sz w:val="22"/>
                <w:szCs w:val="22"/>
                <w:lang w:val="en-GB" w:eastAsia="en-GB"/>
              </w:rPr>
            </w:pPr>
            <w:r w:rsidRPr="000C5B88">
              <w:rPr>
                <w:rFonts w:ascii="Arial" w:hAnsi="Arial" w:cs="Arial"/>
                <w:b/>
                <w:bCs/>
                <w:sz w:val="22"/>
                <w:szCs w:val="22"/>
                <w:lang w:val="en-GB" w:eastAsia="en-GB"/>
              </w:rPr>
              <w:t xml:space="preserve">  64,454</w:t>
            </w:r>
          </w:p>
        </w:tc>
        <w:tc>
          <w:tcPr>
            <w:tcW w:w="960" w:type="dxa"/>
            <w:tcBorders>
              <w:top w:val="nil"/>
              <w:left w:val="nil"/>
              <w:bottom w:val="single" w:sz="4" w:space="0" w:color="auto"/>
              <w:right w:val="nil"/>
            </w:tcBorders>
            <w:shd w:val="clear" w:color="auto" w:fill="auto"/>
            <w:noWrap/>
            <w:vAlign w:val="bottom"/>
            <w:hideMark/>
          </w:tcPr>
          <w:p w14:paraId="59046FE2" w14:textId="77777777" w:rsidR="000C5B88" w:rsidRPr="000C5B88" w:rsidRDefault="000C5B88" w:rsidP="000C5B88">
            <w:pPr>
              <w:rPr>
                <w:rFonts w:ascii="Arial" w:hAnsi="Arial" w:cs="Arial"/>
                <w:sz w:val="22"/>
                <w:szCs w:val="22"/>
                <w:lang w:val="en-GB" w:eastAsia="en-GB"/>
              </w:rPr>
            </w:pPr>
            <w:r w:rsidRPr="000C5B88">
              <w:rPr>
                <w:rFonts w:ascii="Arial" w:hAnsi="Arial" w:cs="Arial"/>
                <w:sz w:val="22"/>
                <w:szCs w:val="22"/>
                <w:lang w:val="en-GB" w:eastAsia="en-GB"/>
              </w:rPr>
              <w:t> </w:t>
            </w:r>
          </w:p>
        </w:tc>
        <w:tc>
          <w:tcPr>
            <w:tcW w:w="5620" w:type="dxa"/>
            <w:tcBorders>
              <w:top w:val="nil"/>
              <w:left w:val="nil"/>
              <w:bottom w:val="single" w:sz="4" w:space="0" w:color="auto"/>
              <w:right w:val="nil"/>
            </w:tcBorders>
            <w:shd w:val="clear" w:color="auto" w:fill="auto"/>
            <w:noWrap/>
            <w:vAlign w:val="bottom"/>
            <w:hideMark/>
          </w:tcPr>
          <w:p w14:paraId="1A4510B6" w14:textId="77777777" w:rsidR="000C5B88" w:rsidRPr="000C5B88" w:rsidRDefault="000C5B88" w:rsidP="000C5B88">
            <w:pPr>
              <w:rPr>
                <w:rFonts w:ascii="Arial" w:hAnsi="Arial" w:cs="Arial"/>
                <w:sz w:val="22"/>
                <w:szCs w:val="22"/>
                <w:lang w:val="en-GB" w:eastAsia="en-GB"/>
              </w:rPr>
            </w:pPr>
            <w:r w:rsidRPr="000C5B88">
              <w:rPr>
                <w:rFonts w:ascii="Arial" w:hAnsi="Arial" w:cs="Arial"/>
                <w:sz w:val="22"/>
                <w:szCs w:val="22"/>
                <w:lang w:val="en-GB"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69EE743" w14:textId="77777777" w:rsidR="000C5B88" w:rsidRPr="000C5B88" w:rsidRDefault="000C5B88" w:rsidP="000C5B88">
            <w:pPr>
              <w:jc w:val="right"/>
              <w:rPr>
                <w:rFonts w:ascii="Arial" w:hAnsi="Arial" w:cs="Arial"/>
                <w:b/>
                <w:bCs/>
                <w:sz w:val="22"/>
                <w:szCs w:val="22"/>
                <w:lang w:val="en-GB" w:eastAsia="en-GB"/>
              </w:rPr>
            </w:pPr>
            <w:r w:rsidRPr="000C5B88">
              <w:rPr>
                <w:rFonts w:ascii="Arial" w:hAnsi="Arial" w:cs="Arial"/>
                <w:b/>
                <w:bCs/>
                <w:sz w:val="22"/>
                <w:szCs w:val="22"/>
                <w:lang w:val="en-GB" w:eastAsia="en-GB"/>
              </w:rPr>
              <w:t xml:space="preserve">  54,311</w:t>
            </w:r>
          </w:p>
        </w:tc>
      </w:tr>
    </w:tbl>
    <w:p w14:paraId="204E8E05" w14:textId="77777777" w:rsidR="000C5B88" w:rsidRPr="009F1E5D" w:rsidRDefault="000C5B88" w:rsidP="009F1E5D">
      <w:pPr>
        <w:spacing w:after="200" w:line="276" w:lineRule="auto"/>
        <w:ind w:right="74"/>
        <w:jc w:val="both"/>
        <w:rPr>
          <w:rFonts w:ascii="Arial" w:eastAsia="Arial" w:hAnsi="Arial" w:cs="Arial"/>
          <w:b/>
          <w:bCs/>
          <w:sz w:val="22"/>
          <w:szCs w:val="22"/>
        </w:rPr>
      </w:pPr>
    </w:p>
    <w:p w14:paraId="11481C78" w14:textId="19F8E7C8" w:rsidR="00FD4375" w:rsidRPr="00FD4375" w:rsidRDefault="001706EB" w:rsidP="00FD4375">
      <w:pPr>
        <w:spacing w:after="200" w:line="276" w:lineRule="auto"/>
        <w:ind w:right="74"/>
        <w:jc w:val="both"/>
        <w:rPr>
          <w:rFonts w:ascii="Arial" w:eastAsia="Arial" w:hAnsi="Arial" w:cs="Arial"/>
          <w:b/>
          <w:bCs/>
          <w:sz w:val="22"/>
          <w:szCs w:val="22"/>
        </w:rPr>
      </w:pPr>
      <w:r w:rsidRPr="00FD4375">
        <w:rPr>
          <w:rFonts w:ascii="Arial" w:eastAsia="Arial" w:hAnsi="Arial" w:cs="Arial"/>
          <w:b/>
          <w:bCs/>
          <w:sz w:val="22"/>
          <w:szCs w:val="22"/>
        </w:rPr>
        <w:t xml:space="preserve">NOTE </w:t>
      </w:r>
      <w:r w:rsidR="00247116" w:rsidRPr="00FD4375">
        <w:rPr>
          <w:rFonts w:ascii="Arial" w:eastAsia="Arial" w:hAnsi="Arial" w:cs="Arial"/>
          <w:b/>
          <w:bCs/>
          <w:sz w:val="22"/>
          <w:szCs w:val="22"/>
        </w:rPr>
        <w:t>1</w:t>
      </w:r>
      <w:r w:rsidR="00247116">
        <w:rPr>
          <w:rFonts w:ascii="Arial" w:eastAsia="Arial" w:hAnsi="Arial" w:cs="Arial"/>
          <w:b/>
          <w:bCs/>
          <w:sz w:val="22"/>
          <w:szCs w:val="22"/>
        </w:rPr>
        <w:t>6</w:t>
      </w:r>
      <w:r w:rsidRPr="00FD4375">
        <w:rPr>
          <w:rFonts w:ascii="Arial" w:eastAsia="Arial" w:hAnsi="Arial" w:cs="Arial"/>
          <w:b/>
          <w:bCs/>
          <w:sz w:val="22"/>
          <w:szCs w:val="22"/>
        </w:rPr>
        <w:t>: NATURE AND EXTENT OF RISKS ARISING FROM FINANCIAL INSTRUMENTS</w:t>
      </w:r>
    </w:p>
    <w:p w14:paraId="4D7A3FA1" w14:textId="7B980015" w:rsidR="009C7422" w:rsidRPr="00FD4375" w:rsidRDefault="001706EB" w:rsidP="00FD4375">
      <w:pPr>
        <w:spacing w:after="200" w:line="276" w:lineRule="auto"/>
        <w:ind w:right="74"/>
        <w:jc w:val="both"/>
        <w:rPr>
          <w:rFonts w:ascii="Arial" w:eastAsia="Arial" w:hAnsi="Arial" w:cs="Arial"/>
          <w:b/>
          <w:bCs/>
          <w:sz w:val="22"/>
          <w:szCs w:val="22"/>
        </w:rPr>
      </w:pPr>
      <w:r w:rsidRPr="00FD4375">
        <w:rPr>
          <w:rFonts w:ascii="Arial" w:eastAsia="Arial" w:hAnsi="Arial" w:cs="Arial"/>
          <w:b/>
          <w:bCs/>
          <w:sz w:val="22"/>
          <w:szCs w:val="22"/>
        </w:rPr>
        <w:t>Risk and risk management</w:t>
      </w:r>
    </w:p>
    <w:p w14:paraId="6423076D" w14:textId="77777777" w:rsidR="000C5B88" w:rsidRDefault="001706EB" w:rsidP="00FD4375">
      <w:pPr>
        <w:spacing w:after="200" w:line="276" w:lineRule="auto"/>
        <w:ind w:right="74"/>
        <w:jc w:val="both"/>
        <w:rPr>
          <w:rFonts w:ascii="Arial" w:eastAsia="Arial" w:hAnsi="Arial" w:cs="Arial"/>
          <w:sz w:val="22"/>
          <w:szCs w:val="22"/>
        </w:rPr>
      </w:pPr>
      <w:r w:rsidRPr="00FD4375">
        <w:rPr>
          <w:rFonts w:ascii="Arial" w:eastAsia="Arial" w:hAnsi="Arial" w:cs="Arial"/>
          <w:sz w:val="22"/>
          <w:szCs w:val="22"/>
        </w:rPr>
        <w:t>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w:t>
      </w:r>
      <w:r w:rsidRPr="00BD17CA">
        <w:rPr>
          <w:rFonts w:ascii="Arial" w:eastAsia="Arial" w:hAnsi="Arial" w:cs="Arial"/>
          <w:sz w:val="22"/>
          <w:szCs w:val="22"/>
        </w:rPr>
        <w:t>pri</w:t>
      </w:r>
      <w:r w:rsidRPr="00FD4375">
        <w:rPr>
          <w:rFonts w:ascii="Arial" w:eastAsia="Arial" w:hAnsi="Arial" w:cs="Arial"/>
          <w:sz w:val="22"/>
          <w:szCs w:val="22"/>
        </w:rPr>
        <w:t>m</w:t>
      </w:r>
      <w:r w:rsidRPr="00BD17CA">
        <w:rPr>
          <w:rFonts w:ascii="Arial" w:eastAsia="Arial" w:hAnsi="Arial" w:cs="Arial"/>
          <w:sz w:val="22"/>
          <w:szCs w:val="22"/>
        </w:rPr>
        <w:t>a</w:t>
      </w:r>
      <w:r w:rsidRPr="00FD4375">
        <w:rPr>
          <w:rFonts w:ascii="Arial" w:eastAsia="Arial" w:hAnsi="Arial" w:cs="Arial"/>
          <w:sz w:val="22"/>
          <w:szCs w:val="22"/>
        </w:rPr>
        <w:t>r</w:t>
      </w:r>
      <w:r w:rsidRPr="00BD17CA">
        <w:rPr>
          <w:rFonts w:ascii="Arial" w:eastAsia="Arial" w:hAnsi="Arial" w:cs="Arial"/>
          <w:sz w:val="22"/>
          <w:szCs w:val="22"/>
        </w:rPr>
        <w:t xml:space="preserve">y </w:t>
      </w:r>
      <w:r w:rsidRPr="00FD4375">
        <w:rPr>
          <w:rFonts w:ascii="Arial" w:eastAsia="Arial" w:hAnsi="Arial" w:cs="Arial"/>
          <w:sz w:val="22"/>
          <w:szCs w:val="22"/>
        </w:rPr>
        <w:t>l</w:t>
      </w:r>
      <w:r w:rsidRPr="00BD17CA">
        <w:rPr>
          <w:rFonts w:ascii="Arial" w:eastAsia="Arial" w:hAnsi="Arial" w:cs="Arial"/>
          <w:sz w:val="22"/>
          <w:szCs w:val="22"/>
        </w:rPr>
        <w:t>o</w:t>
      </w:r>
      <w:r w:rsidRPr="00FD4375">
        <w:rPr>
          <w:rFonts w:ascii="Arial" w:eastAsia="Arial" w:hAnsi="Arial" w:cs="Arial"/>
          <w:sz w:val="22"/>
          <w:szCs w:val="22"/>
        </w:rPr>
        <w:t>ng-</w:t>
      </w:r>
      <w:r w:rsidRPr="00BD17CA">
        <w:rPr>
          <w:rFonts w:ascii="Arial" w:eastAsia="Arial" w:hAnsi="Arial" w:cs="Arial"/>
          <w:sz w:val="22"/>
          <w:szCs w:val="22"/>
        </w:rPr>
        <w:t>te</w:t>
      </w:r>
      <w:r w:rsidRPr="00FD4375">
        <w:rPr>
          <w:rFonts w:ascii="Arial" w:eastAsia="Arial" w:hAnsi="Arial" w:cs="Arial"/>
          <w:sz w:val="22"/>
          <w:szCs w:val="22"/>
        </w:rPr>
        <w:t>r</w:t>
      </w:r>
      <w:r w:rsidRPr="00BD17CA">
        <w:rPr>
          <w:rFonts w:ascii="Arial" w:eastAsia="Arial" w:hAnsi="Arial" w:cs="Arial"/>
          <w:sz w:val="22"/>
          <w:szCs w:val="22"/>
        </w:rPr>
        <w:t>m</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th</w:t>
      </w:r>
      <w:r w:rsidRPr="00FD4375">
        <w:rPr>
          <w:rFonts w:ascii="Arial" w:eastAsia="Arial" w:hAnsi="Arial" w:cs="Arial"/>
          <w:sz w:val="22"/>
          <w:szCs w:val="22"/>
        </w:rPr>
        <w:t>a</w:t>
      </w:r>
      <w:r w:rsidRPr="00BD17CA">
        <w:rPr>
          <w:rFonts w:ascii="Arial" w:eastAsia="Arial" w:hAnsi="Arial" w:cs="Arial"/>
          <w:sz w:val="22"/>
          <w:szCs w:val="22"/>
        </w:rPr>
        <w:t>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ss</w:t>
      </w:r>
      <w:r w:rsidRPr="00BD17CA">
        <w:rPr>
          <w:rFonts w:ascii="Arial" w:eastAsia="Arial" w:hAnsi="Arial" w:cs="Arial"/>
          <w:sz w:val="22"/>
          <w:szCs w:val="22"/>
        </w:rPr>
        <w:t>ets</w:t>
      </w:r>
      <w:r w:rsidRPr="00FD4375">
        <w:rPr>
          <w:rFonts w:ascii="Arial" w:eastAsia="Arial" w:hAnsi="Arial" w:cs="Arial"/>
          <w:sz w:val="22"/>
          <w:szCs w:val="22"/>
        </w:rPr>
        <w:t xml:space="preserve"> wil</w:t>
      </w:r>
      <w:r w:rsidRPr="00BD17CA">
        <w:rPr>
          <w:rFonts w:ascii="Arial" w:eastAsia="Arial" w:hAnsi="Arial" w:cs="Arial"/>
          <w:sz w:val="22"/>
          <w:szCs w:val="22"/>
        </w:rPr>
        <w:t>l</w:t>
      </w:r>
      <w:r w:rsidRPr="00FD4375">
        <w:rPr>
          <w:rFonts w:ascii="Arial" w:eastAsia="Arial" w:hAnsi="Arial" w:cs="Arial"/>
          <w:sz w:val="22"/>
          <w:szCs w:val="22"/>
        </w:rPr>
        <w:t xml:space="preserve"> f</w:t>
      </w:r>
      <w:r w:rsidRPr="00BD17CA">
        <w:rPr>
          <w:rFonts w:ascii="Arial" w:eastAsia="Arial" w:hAnsi="Arial" w:cs="Arial"/>
          <w:sz w:val="22"/>
          <w:szCs w:val="22"/>
        </w:rPr>
        <w:t>a</w:t>
      </w:r>
      <w:r w:rsidRPr="00FD4375">
        <w:rPr>
          <w:rFonts w:ascii="Arial" w:eastAsia="Arial" w:hAnsi="Arial" w:cs="Arial"/>
          <w:sz w:val="22"/>
          <w:szCs w:val="22"/>
        </w:rPr>
        <w:t>l</w:t>
      </w:r>
      <w:r w:rsidRPr="00BD17CA">
        <w:rPr>
          <w:rFonts w:ascii="Arial" w:eastAsia="Arial" w:hAnsi="Arial" w:cs="Arial"/>
          <w:sz w:val="22"/>
          <w:szCs w:val="22"/>
        </w:rPr>
        <w:t>l</w:t>
      </w:r>
      <w:r w:rsidRPr="00FD4375">
        <w:rPr>
          <w:rFonts w:ascii="Arial" w:eastAsia="Arial" w:hAnsi="Arial" w:cs="Arial"/>
          <w:sz w:val="22"/>
          <w:szCs w:val="22"/>
        </w:rPr>
        <w:t xml:space="preserve"> s</w:t>
      </w:r>
      <w:r w:rsidRPr="00BD17CA">
        <w:rPr>
          <w:rFonts w:ascii="Arial" w:eastAsia="Arial" w:hAnsi="Arial" w:cs="Arial"/>
          <w:sz w:val="22"/>
          <w:szCs w:val="22"/>
        </w:rPr>
        <w:t>h</w:t>
      </w:r>
      <w:r w:rsidRPr="00FD4375">
        <w:rPr>
          <w:rFonts w:ascii="Arial" w:eastAsia="Arial" w:hAnsi="Arial" w:cs="Arial"/>
          <w:sz w:val="22"/>
          <w:szCs w:val="22"/>
        </w:rPr>
        <w:t>or</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li</w:t>
      </w:r>
      <w:r w:rsidRPr="00BD17CA">
        <w:rPr>
          <w:rFonts w:ascii="Arial" w:eastAsia="Arial" w:hAnsi="Arial" w:cs="Arial"/>
          <w:sz w:val="22"/>
          <w:szCs w:val="22"/>
        </w:rPr>
        <w:t>a</w:t>
      </w:r>
      <w:r w:rsidRPr="00FD4375">
        <w:rPr>
          <w:rFonts w:ascii="Arial" w:eastAsia="Arial" w:hAnsi="Arial" w:cs="Arial"/>
          <w:sz w:val="22"/>
          <w:szCs w:val="22"/>
        </w:rPr>
        <w:t>bili</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es</w:t>
      </w:r>
      <w:r w:rsidRPr="00FD4375">
        <w:rPr>
          <w:rFonts w:ascii="Arial" w:eastAsia="Arial" w:hAnsi="Arial" w:cs="Arial"/>
          <w:sz w:val="22"/>
          <w:szCs w:val="22"/>
        </w:rPr>
        <w:t xml:space="preserve"> (i</w:t>
      </w:r>
      <w:r w:rsidRPr="00BD17CA">
        <w:rPr>
          <w:rFonts w:ascii="Arial" w:eastAsia="Arial" w:hAnsi="Arial" w:cs="Arial"/>
          <w:sz w:val="22"/>
          <w:szCs w:val="22"/>
        </w:rPr>
        <w:t>.</w:t>
      </w:r>
      <w:r w:rsidRPr="00FD4375">
        <w:rPr>
          <w:rFonts w:ascii="Arial" w:eastAsia="Arial" w:hAnsi="Arial" w:cs="Arial"/>
          <w:sz w:val="22"/>
          <w:szCs w:val="22"/>
        </w:rPr>
        <w:t>e</w:t>
      </w:r>
      <w:r w:rsidRPr="00BD17CA">
        <w:rPr>
          <w:rFonts w:ascii="Arial" w:eastAsia="Arial" w:hAnsi="Arial" w:cs="Arial"/>
          <w:sz w:val="22"/>
          <w:szCs w:val="22"/>
        </w:rPr>
        <w:t>.</w:t>
      </w:r>
      <w:r w:rsidRPr="00FD4375">
        <w:rPr>
          <w:rFonts w:ascii="Arial" w:eastAsia="Arial" w:hAnsi="Arial" w:cs="Arial"/>
          <w:sz w:val="22"/>
          <w:szCs w:val="22"/>
        </w:rPr>
        <w:t xml:space="preserve"> Pr</w:t>
      </w:r>
      <w:r w:rsidRPr="00BD17CA">
        <w:rPr>
          <w:rFonts w:ascii="Arial" w:eastAsia="Arial" w:hAnsi="Arial" w:cs="Arial"/>
          <w:sz w:val="22"/>
          <w:szCs w:val="22"/>
        </w:rPr>
        <w:t>o</w:t>
      </w:r>
      <w:r w:rsidRPr="00FD4375">
        <w:rPr>
          <w:rFonts w:ascii="Arial" w:eastAsia="Arial" w:hAnsi="Arial" w:cs="Arial"/>
          <w:sz w:val="22"/>
          <w:szCs w:val="22"/>
        </w:rPr>
        <w:t>mis</w:t>
      </w:r>
      <w:r w:rsidRPr="00BD17CA">
        <w:rPr>
          <w:rFonts w:ascii="Arial" w:eastAsia="Arial" w:hAnsi="Arial" w:cs="Arial"/>
          <w:sz w:val="22"/>
          <w:szCs w:val="22"/>
        </w:rPr>
        <w:t>ed</w:t>
      </w:r>
      <w:r w:rsidRPr="00FD4375">
        <w:rPr>
          <w:rFonts w:ascii="Arial" w:eastAsia="Arial" w:hAnsi="Arial" w:cs="Arial"/>
          <w:sz w:val="22"/>
          <w:szCs w:val="22"/>
        </w:rPr>
        <w:t xml:space="preserve"> </w:t>
      </w:r>
      <w:r w:rsidRPr="00BD17CA">
        <w:rPr>
          <w:rFonts w:ascii="Arial" w:eastAsia="Arial" w:hAnsi="Arial" w:cs="Arial"/>
          <w:sz w:val="22"/>
          <w:szCs w:val="22"/>
        </w:rPr>
        <w:t>b</w:t>
      </w:r>
      <w:r w:rsidRPr="00FD4375">
        <w:rPr>
          <w:rFonts w:ascii="Arial" w:eastAsia="Arial" w:hAnsi="Arial" w:cs="Arial"/>
          <w:sz w:val="22"/>
          <w:szCs w:val="22"/>
        </w:rPr>
        <w:t>e</w:t>
      </w:r>
      <w:r w:rsidRPr="00BD17CA">
        <w:rPr>
          <w:rFonts w:ascii="Arial" w:eastAsia="Arial" w:hAnsi="Arial" w:cs="Arial"/>
          <w:sz w:val="22"/>
          <w:szCs w:val="22"/>
        </w:rPr>
        <w:t>n</w:t>
      </w:r>
      <w:r w:rsidRPr="00FD4375">
        <w:rPr>
          <w:rFonts w:ascii="Arial" w:eastAsia="Arial" w:hAnsi="Arial" w:cs="Arial"/>
          <w:sz w:val="22"/>
          <w:szCs w:val="22"/>
        </w:rPr>
        <w:t>efit</w:t>
      </w:r>
      <w:r w:rsidRPr="00BD17CA">
        <w:rPr>
          <w:rFonts w:ascii="Arial" w:eastAsia="Arial" w:hAnsi="Arial" w:cs="Arial"/>
          <w:sz w:val="22"/>
          <w:szCs w:val="22"/>
        </w:rPr>
        <w:t>s p</w:t>
      </w:r>
      <w:r w:rsidRPr="00FD4375">
        <w:rPr>
          <w:rFonts w:ascii="Arial" w:eastAsia="Arial" w:hAnsi="Arial" w:cs="Arial"/>
          <w:sz w:val="22"/>
          <w:szCs w:val="22"/>
        </w:rPr>
        <w:t>ayabl</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m</w:t>
      </w:r>
      <w:r w:rsidRPr="00BD17CA">
        <w:rPr>
          <w:rFonts w:ascii="Arial" w:eastAsia="Arial" w:hAnsi="Arial" w:cs="Arial"/>
          <w:sz w:val="22"/>
          <w:szCs w:val="22"/>
        </w:rPr>
        <w:t>e</w:t>
      </w:r>
      <w:r w:rsidRPr="00FD4375">
        <w:rPr>
          <w:rFonts w:ascii="Arial" w:eastAsia="Arial" w:hAnsi="Arial" w:cs="Arial"/>
          <w:sz w:val="22"/>
          <w:szCs w:val="22"/>
        </w:rPr>
        <w:t>m</w:t>
      </w:r>
      <w:r w:rsidRPr="00BD17CA">
        <w:rPr>
          <w:rFonts w:ascii="Arial" w:eastAsia="Arial" w:hAnsi="Arial" w:cs="Arial"/>
          <w:sz w:val="22"/>
          <w:szCs w:val="22"/>
        </w:rPr>
        <w:t>b</w:t>
      </w:r>
      <w:r w:rsidRPr="00FD4375">
        <w:rPr>
          <w:rFonts w:ascii="Arial" w:eastAsia="Arial" w:hAnsi="Arial" w:cs="Arial"/>
          <w:sz w:val="22"/>
          <w:szCs w:val="22"/>
        </w:rPr>
        <w:t>ers)</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w:t>
      </w:r>
      <w:r w:rsidRPr="00FD4375">
        <w:rPr>
          <w:rFonts w:ascii="Arial" w:eastAsia="Arial" w:hAnsi="Arial" w:cs="Arial"/>
          <w:sz w:val="22"/>
          <w:szCs w:val="22"/>
        </w:rPr>
        <w:t>er</w:t>
      </w:r>
      <w:r w:rsidRPr="00BD17CA">
        <w:rPr>
          <w:rFonts w:ascii="Arial" w:eastAsia="Arial" w:hAnsi="Arial" w:cs="Arial"/>
          <w:sz w:val="22"/>
          <w:szCs w:val="22"/>
        </w:rPr>
        <w:t>e</w:t>
      </w:r>
      <w:r w:rsidRPr="00FD4375">
        <w:rPr>
          <w:rFonts w:ascii="Arial" w:eastAsia="Arial" w:hAnsi="Arial" w:cs="Arial"/>
          <w:sz w:val="22"/>
          <w:szCs w:val="22"/>
        </w:rPr>
        <w:t>f</w:t>
      </w:r>
      <w:r w:rsidRPr="00BD17CA">
        <w:rPr>
          <w:rFonts w:ascii="Arial" w:eastAsia="Arial" w:hAnsi="Arial" w:cs="Arial"/>
          <w:sz w:val="22"/>
          <w:szCs w:val="22"/>
        </w:rPr>
        <w:t>or</w:t>
      </w:r>
      <w:r w:rsidRPr="00FD4375">
        <w:rPr>
          <w:rFonts w:ascii="Arial" w:eastAsia="Arial" w:hAnsi="Arial" w:cs="Arial"/>
          <w:sz w:val="22"/>
          <w:szCs w:val="22"/>
        </w:rPr>
        <w:t>e</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ai</w:t>
      </w:r>
      <w:r w:rsidRPr="00BD17CA">
        <w:rPr>
          <w:rFonts w:ascii="Arial" w:eastAsia="Arial" w:hAnsi="Arial" w:cs="Arial"/>
          <w:sz w:val="22"/>
          <w:szCs w:val="22"/>
        </w:rPr>
        <w:t>m</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me</w:t>
      </w:r>
      <w:r w:rsidRPr="00BD17CA">
        <w:rPr>
          <w:rFonts w:ascii="Arial" w:eastAsia="Arial" w:hAnsi="Arial" w:cs="Arial"/>
          <w:sz w:val="22"/>
          <w:szCs w:val="22"/>
        </w:rPr>
        <w:t>nt</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g</w:t>
      </w:r>
      <w:r w:rsidRPr="00BD17CA">
        <w:rPr>
          <w:rFonts w:ascii="Arial" w:eastAsia="Arial" w:hAnsi="Arial" w:cs="Arial"/>
          <w:sz w:val="22"/>
          <w:szCs w:val="22"/>
        </w:rPr>
        <w:t>e</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w:t>
      </w:r>
      <w:proofErr w:type="spellStart"/>
      <w:r w:rsidRPr="00FD4375">
        <w:rPr>
          <w:rFonts w:ascii="Arial" w:eastAsia="Arial" w:hAnsi="Arial" w:cs="Arial"/>
          <w:sz w:val="22"/>
          <w:szCs w:val="22"/>
        </w:rPr>
        <w:t>mi</w:t>
      </w:r>
      <w:r w:rsidRPr="00BD17CA">
        <w:rPr>
          <w:rFonts w:ascii="Arial" w:eastAsia="Arial" w:hAnsi="Arial" w:cs="Arial"/>
          <w:sz w:val="22"/>
          <w:szCs w:val="22"/>
        </w:rPr>
        <w:t>n</w:t>
      </w:r>
      <w:r w:rsidRPr="00FD4375">
        <w:rPr>
          <w:rFonts w:ascii="Arial" w:eastAsia="Arial" w:hAnsi="Arial" w:cs="Arial"/>
          <w:sz w:val="22"/>
          <w:szCs w:val="22"/>
        </w:rPr>
        <w:t>imis</w:t>
      </w:r>
      <w:r w:rsidRPr="00BD17CA">
        <w:rPr>
          <w:rFonts w:ascii="Arial" w:eastAsia="Arial" w:hAnsi="Arial" w:cs="Arial"/>
          <w:sz w:val="22"/>
          <w:szCs w:val="22"/>
        </w:rPr>
        <w:t>e</w:t>
      </w:r>
      <w:proofErr w:type="spellEnd"/>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w:t>
      </w:r>
      <w:r w:rsidRPr="00BD17CA">
        <w:rPr>
          <w:rFonts w:ascii="Arial" w:eastAsia="Arial" w:hAnsi="Arial" w:cs="Arial"/>
          <w:sz w:val="22"/>
          <w:szCs w:val="22"/>
        </w:rPr>
        <w:t>an</w:t>
      </w:r>
      <w:r w:rsidRPr="00FD4375">
        <w:rPr>
          <w:rFonts w:ascii="Arial" w:eastAsia="Arial" w:hAnsi="Arial" w:cs="Arial"/>
          <w:sz w:val="22"/>
          <w:szCs w:val="22"/>
        </w:rPr>
        <w:t xml:space="preserve"> </w:t>
      </w:r>
      <w:r w:rsidRPr="00BD17CA">
        <w:rPr>
          <w:rFonts w:ascii="Arial" w:eastAsia="Arial" w:hAnsi="Arial" w:cs="Arial"/>
          <w:sz w:val="22"/>
          <w:szCs w:val="22"/>
        </w:rPr>
        <w:t>o</w:t>
      </w:r>
      <w:r w:rsidRPr="00FD4375">
        <w:rPr>
          <w:rFonts w:ascii="Arial" w:eastAsia="Arial" w:hAnsi="Arial" w:cs="Arial"/>
          <w:sz w:val="22"/>
          <w:szCs w:val="22"/>
        </w:rPr>
        <w:t>ver</w:t>
      </w:r>
      <w:r w:rsidRPr="00BD17CA">
        <w:rPr>
          <w:rFonts w:ascii="Arial" w:eastAsia="Arial" w:hAnsi="Arial" w:cs="Arial"/>
          <w:sz w:val="22"/>
          <w:szCs w:val="22"/>
        </w:rPr>
        <w:t>a</w:t>
      </w:r>
      <w:r w:rsidRPr="00FD4375">
        <w:rPr>
          <w:rFonts w:ascii="Arial" w:eastAsia="Arial" w:hAnsi="Arial" w:cs="Arial"/>
          <w:sz w:val="22"/>
          <w:szCs w:val="22"/>
        </w:rPr>
        <w:t>l</w:t>
      </w:r>
      <w:r w:rsidRPr="00BD17CA">
        <w:rPr>
          <w:rFonts w:ascii="Arial" w:eastAsia="Arial" w:hAnsi="Arial" w:cs="Arial"/>
          <w:sz w:val="22"/>
          <w:szCs w:val="22"/>
        </w:rPr>
        <w:t xml:space="preserve">l </w:t>
      </w:r>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d</w:t>
      </w:r>
      <w:r w:rsidRPr="00BD17CA">
        <w:rPr>
          <w:rFonts w:ascii="Arial" w:eastAsia="Arial" w:hAnsi="Arial" w:cs="Arial"/>
          <w:sz w:val="22"/>
          <w:szCs w:val="22"/>
        </w:rPr>
        <w:t>u</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io</w:t>
      </w:r>
      <w:r w:rsidRPr="00BD17CA">
        <w:rPr>
          <w:rFonts w:ascii="Arial" w:eastAsia="Arial" w:hAnsi="Arial" w:cs="Arial"/>
          <w:sz w:val="22"/>
          <w:szCs w:val="22"/>
        </w:rPr>
        <w:t>n</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val</w:t>
      </w:r>
      <w:r w:rsidRPr="00BD17CA">
        <w:rPr>
          <w:rFonts w:ascii="Arial" w:eastAsia="Arial" w:hAnsi="Arial" w:cs="Arial"/>
          <w:sz w:val="22"/>
          <w:szCs w:val="22"/>
        </w:rPr>
        <w:t>ue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w:t>
      </w:r>
      <w:proofErr w:type="spellStart"/>
      <w:r w:rsidRPr="00FD4375">
        <w:rPr>
          <w:rFonts w:ascii="Arial" w:eastAsia="Arial" w:hAnsi="Arial" w:cs="Arial"/>
          <w:sz w:val="22"/>
          <w:szCs w:val="22"/>
        </w:rPr>
        <w:t>m</w:t>
      </w:r>
      <w:r w:rsidRPr="00BD17CA">
        <w:rPr>
          <w:rFonts w:ascii="Arial" w:eastAsia="Arial" w:hAnsi="Arial" w:cs="Arial"/>
          <w:sz w:val="22"/>
          <w:szCs w:val="22"/>
        </w:rPr>
        <w:t>a</w:t>
      </w:r>
      <w:r w:rsidRPr="00FD4375">
        <w:rPr>
          <w:rFonts w:ascii="Arial" w:eastAsia="Arial" w:hAnsi="Arial" w:cs="Arial"/>
          <w:sz w:val="22"/>
          <w:szCs w:val="22"/>
        </w:rPr>
        <w:t>ximis</w:t>
      </w:r>
      <w:r w:rsidRPr="00BD17CA">
        <w:rPr>
          <w:rFonts w:ascii="Arial" w:eastAsia="Arial" w:hAnsi="Arial" w:cs="Arial"/>
          <w:sz w:val="22"/>
          <w:szCs w:val="22"/>
        </w:rPr>
        <w:t>e</w:t>
      </w:r>
      <w:proofErr w:type="spellEnd"/>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o</w:t>
      </w:r>
      <w:r w:rsidRPr="00BD17CA">
        <w:rPr>
          <w:rFonts w:ascii="Arial" w:eastAsia="Arial" w:hAnsi="Arial" w:cs="Arial"/>
          <w:sz w:val="22"/>
          <w:szCs w:val="22"/>
        </w:rPr>
        <w:t>p</w:t>
      </w:r>
      <w:r w:rsidRPr="00FD4375">
        <w:rPr>
          <w:rFonts w:ascii="Arial" w:eastAsia="Arial" w:hAnsi="Arial" w:cs="Arial"/>
          <w:sz w:val="22"/>
          <w:szCs w:val="22"/>
        </w:rPr>
        <w:t>p</w:t>
      </w:r>
      <w:r w:rsidRPr="00BD17CA">
        <w:rPr>
          <w:rFonts w:ascii="Arial" w:eastAsia="Arial" w:hAnsi="Arial" w:cs="Arial"/>
          <w:sz w:val="22"/>
          <w:szCs w:val="22"/>
        </w:rPr>
        <w:t>ort</w:t>
      </w:r>
      <w:r w:rsidRPr="00FD4375">
        <w:rPr>
          <w:rFonts w:ascii="Arial" w:eastAsia="Arial" w:hAnsi="Arial" w:cs="Arial"/>
          <w:sz w:val="22"/>
          <w:szCs w:val="22"/>
        </w:rPr>
        <w:t>u</w:t>
      </w:r>
      <w:r w:rsidRPr="00BD17CA">
        <w:rPr>
          <w:rFonts w:ascii="Arial" w:eastAsia="Arial" w:hAnsi="Arial" w:cs="Arial"/>
          <w:sz w:val="22"/>
          <w:szCs w:val="22"/>
        </w:rPr>
        <w:t>n</w:t>
      </w:r>
      <w:r w:rsidRPr="00FD4375">
        <w:rPr>
          <w:rFonts w:ascii="Arial" w:eastAsia="Arial" w:hAnsi="Arial" w:cs="Arial"/>
          <w:sz w:val="22"/>
          <w:szCs w:val="22"/>
        </w:rPr>
        <w:t>it</w:t>
      </w:r>
      <w:r w:rsidRPr="00BD17CA">
        <w:rPr>
          <w:rFonts w:ascii="Arial" w:eastAsia="Arial" w:hAnsi="Arial" w:cs="Arial"/>
          <w:sz w:val="22"/>
          <w:szCs w:val="22"/>
        </w:rPr>
        <w:t>y</w:t>
      </w:r>
      <w:r w:rsidRPr="00FD4375">
        <w:rPr>
          <w:rFonts w:ascii="Arial" w:eastAsia="Arial" w:hAnsi="Arial" w:cs="Arial"/>
          <w:sz w:val="22"/>
          <w:szCs w:val="22"/>
        </w:rPr>
        <w:t xml:space="preserve"> f</w:t>
      </w:r>
      <w:r w:rsidRPr="00BD17CA">
        <w:rPr>
          <w:rFonts w:ascii="Arial" w:eastAsia="Arial" w:hAnsi="Arial" w:cs="Arial"/>
          <w:sz w:val="22"/>
          <w:szCs w:val="22"/>
        </w:rPr>
        <w:t>or</w:t>
      </w:r>
      <w:r w:rsidRPr="00FD4375">
        <w:rPr>
          <w:rFonts w:ascii="Arial" w:eastAsia="Arial" w:hAnsi="Arial" w:cs="Arial"/>
          <w:sz w:val="22"/>
          <w:szCs w:val="22"/>
        </w:rPr>
        <w:t xml:space="preserve"> </w:t>
      </w:r>
      <w:r w:rsidRPr="00BD17CA">
        <w:rPr>
          <w:rFonts w:ascii="Arial" w:eastAsia="Arial" w:hAnsi="Arial" w:cs="Arial"/>
          <w:sz w:val="22"/>
          <w:szCs w:val="22"/>
        </w:rPr>
        <w:t>g</w:t>
      </w:r>
      <w:r w:rsidRPr="00FD4375">
        <w:rPr>
          <w:rFonts w:ascii="Arial" w:eastAsia="Arial" w:hAnsi="Arial" w:cs="Arial"/>
          <w:sz w:val="22"/>
          <w:szCs w:val="22"/>
        </w:rPr>
        <w:t>ai</w:t>
      </w:r>
      <w:r w:rsidRPr="00BD17CA">
        <w:rPr>
          <w:rFonts w:ascii="Arial" w:eastAsia="Arial" w:hAnsi="Arial" w:cs="Arial"/>
          <w:sz w:val="22"/>
          <w:szCs w:val="22"/>
        </w:rPr>
        <w:t>ns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cr</w:t>
      </w:r>
      <w:r w:rsidRPr="00BD17CA">
        <w:rPr>
          <w:rFonts w:ascii="Arial" w:eastAsia="Arial" w:hAnsi="Arial" w:cs="Arial"/>
          <w:sz w:val="22"/>
          <w:szCs w:val="22"/>
        </w:rPr>
        <w:t>o</w:t>
      </w:r>
      <w:r w:rsidRPr="00FD4375">
        <w:rPr>
          <w:rFonts w:ascii="Arial" w:eastAsia="Arial" w:hAnsi="Arial" w:cs="Arial"/>
          <w:sz w:val="22"/>
          <w:szCs w:val="22"/>
        </w:rPr>
        <w:t>s</w:t>
      </w:r>
      <w:r w:rsidRPr="00BD17CA">
        <w:rPr>
          <w:rFonts w:ascii="Arial" w:eastAsia="Arial" w:hAnsi="Arial" w:cs="Arial"/>
          <w:sz w:val="22"/>
          <w:szCs w:val="22"/>
        </w:rPr>
        <w:t>s</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w:t>
      </w:r>
      <w:r w:rsidRPr="00BD17CA">
        <w:rPr>
          <w:rFonts w:ascii="Arial" w:eastAsia="Arial" w:hAnsi="Arial" w:cs="Arial"/>
          <w:sz w:val="22"/>
          <w:szCs w:val="22"/>
        </w:rPr>
        <w:t>wh</w:t>
      </w:r>
      <w:r w:rsidRPr="00FD4375">
        <w:rPr>
          <w:rFonts w:ascii="Arial" w:eastAsia="Arial" w:hAnsi="Arial" w:cs="Arial"/>
          <w:sz w:val="22"/>
          <w:szCs w:val="22"/>
        </w:rPr>
        <w:t>ol</w:t>
      </w:r>
      <w:r w:rsidRPr="00BD17CA">
        <w:rPr>
          <w:rFonts w:ascii="Arial" w:eastAsia="Arial" w:hAnsi="Arial" w:cs="Arial"/>
          <w:sz w:val="22"/>
          <w:szCs w:val="22"/>
        </w:rPr>
        <w:t>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or</w:t>
      </w:r>
      <w:r w:rsidRPr="00BD17CA">
        <w:rPr>
          <w:rFonts w:ascii="Arial" w:eastAsia="Arial" w:hAnsi="Arial" w:cs="Arial"/>
          <w:sz w:val="22"/>
          <w:szCs w:val="22"/>
        </w:rPr>
        <w:t>t</w:t>
      </w:r>
      <w:r w:rsidRPr="00FD4375">
        <w:rPr>
          <w:rFonts w:ascii="Arial" w:eastAsia="Arial" w:hAnsi="Arial" w:cs="Arial"/>
          <w:sz w:val="22"/>
          <w:szCs w:val="22"/>
        </w:rPr>
        <w:t>f</w:t>
      </w:r>
      <w:r w:rsidRPr="00BD17CA">
        <w:rPr>
          <w:rFonts w:ascii="Arial" w:eastAsia="Arial" w:hAnsi="Arial" w:cs="Arial"/>
          <w:sz w:val="22"/>
          <w:szCs w:val="22"/>
        </w:rPr>
        <w:t>o</w:t>
      </w:r>
      <w:r w:rsidRPr="00FD4375">
        <w:rPr>
          <w:rFonts w:ascii="Arial" w:eastAsia="Arial" w:hAnsi="Arial" w:cs="Arial"/>
          <w:sz w:val="22"/>
          <w:szCs w:val="22"/>
        </w:rPr>
        <w:t>li</w:t>
      </w:r>
      <w:r w:rsidRPr="00BD17CA">
        <w:rPr>
          <w:rFonts w:ascii="Arial" w:eastAsia="Arial" w:hAnsi="Arial" w:cs="Arial"/>
          <w:sz w:val="22"/>
          <w:szCs w:val="22"/>
        </w:rPr>
        <w:t>o.</w:t>
      </w:r>
      <w:r w:rsidRPr="00FD4375">
        <w:rPr>
          <w:rFonts w:ascii="Arial" w:eastAsia="Arial" w:hAnsi="Arial" w:cs="Arial"/>
          <w:sz w:val="22"/>
          <w:szCs w:val="22"/>
        </w:rPr>
        <w:t xml:space="preserve"> T</w:t>
      </w:r>
      <w:r w:rsidRPr="00BD17CA">
        <w:rPr>
          <w:rFonts w:ascii="Arial" w:eastAsia="Arial" w:hAnsi="Arial" w:cs="Arial"/>
          <w:sz w:val="22"/>
          <w:szCs w:val="22"/>
        </w:rPr>
        <w:t xml:space="preserve">he </w:t>
      </w:r>
      <w:r w:rsidRPr="00FD4375">
        <w:rPr>
          <w:rFonts w:ascii="Arial" w:eastAsia="Arial" w:hAnsi="Arial" w:cs="Arial"/>
          <w:sz w:val="22"/>
          <w:szCs w:val="22"/>
        </w:rPr>
        <w:t>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chiev</w:t>
      </w:r>
      <w:r w:rsidRPr="00BD17CA">
        <w:rPr>
          <w:rFonts w:ascii="Arial" w:eastAsia="Arial" w:hAnsi="Arial" w:cs="Arial"/>
          <w:sz w:val="22"/>
          <w:szCs w:val="22"/>
        </w:rPr>
        <w:t>es</w:t>
      </w:r>
      <w:r w:rsidRPr="00FD4375">
        <w:rPr>
          <w:rFonts w:ascii="Arial" w:eastAsia="Arial" w:hAnsi="Arial" w:cs="Arial"/>
          <w:sz w:val="22"/>
          <w:szCs w:val="22"/>
        </w:rPr>
        <w:t xml:space="preserve"> t</w:t>
      </w:r>
      <w:r w:rsidRPr="00BD17CA">
        <w:rPr>
          <w:rFonts w:ascii="Arial" w:eastAsia="Arial" w:hAnsi="Arial" w:cs="Arial"/>
          <w:sz w:val="22"/>
          <w:szCs w:val="22"/>
        </w:rPr>
        <w:t>h</w:t>
      </w:r>
      <w:r w:rsidRPr="00FD4375">
        <w:rPr>
          <w:rFonts w:ascii="Arial" w:eastAsia="Arial" w:hAnsi="Arial" w:cs="Arial"/>
          <w:sz w:val="22"/>
          <w:szCs w:val="22"/>
        </w:rPr>
        <w:t>i</w:t>
      </w:r>
      <w:r w:rsidRPr="00BD17CA">
        <w:rPr>
          <w:rFonts w:ascii="Arial" w:eastAsia="Arial" w:hAnsi="Arial" w:cs="Arial"/>
          <w:sz w:val="22"/>
          <w:szCs w:val="22"/>
        </w:rPr>
        <w:t xml:space="preserve">s </w:t>
      </w:r>
      <w:r w:rsidRPr="00FD4375">
        <w:rPr>
          <w:rFonts w:ascii="Arial" w:eastAsia="Arial" w:hAnsi="Arial" w:cs="Arial"/>
          <w:sz w:val="22"/>
          <w:szCs w:val="22"/>
        </w:rPr>
        <w:t>t</w:t>
      </w:r>
      <w:r w:rsidRPr="00BD17CA">
        <w:rPr>
          <w:rFonts w:ascii="Arial" w:eastAsia="Arial" w:hAnsi="Arial" w:cs="Arial"/>
          <w:sz w:val="22"/>
          <w:szCs w:val="22"/>
        </w:rPr>
        <w:t>hro</w:t>
      </w:r>
      <w:r w:rsidRPr="00FD4375">
        <w:rPr>
          <w:rFonts w:ascii="Arial" w:eastAsia="Arial" w:hAnsi="Arial" w:cs="Arial"/>
          <w:sz w:val="22"/>
          <w:szCs w:val="22"/>
        </w:rPr>
        <w:t>u</w:t>
      </w:r>
      <w:r w:rsidRPr="00BD17CA">
        <w:rPr>
          <w:rFonts w:ascii="Arial" w:eastAsia="Arial" w:hAnsi="Arial" w:cs="Arial"/>
          <w:sz w:val="22"/>
          <w:szCs w:val="22"/>
        </w:rPr>
        <w:t>gh</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ss</w:t>
      </w:r>
      <w:r w:rsidRPr="00BD17CA">
        <w:rPr>
          <w:rFonts w:ascii="Arial" w:eastAsia="Arial" w:hAnsi="Arial" w:cs="Arial"/>
          <w:sz w:val="22"/>
          <w:szCs w:val="22"/>
        </w:rPr>
        <w:t>et</w:t>
      </w:r>
      <w:r w:rsidRPr="00FD4375">
        <w:rPr>
          <w:rFonts w:ascii="Arial" w:eastAsia="Arial" w:hAnsi="Arial" w:cs="Arial"/>
          <w:sz w:val="22"/>
          <w:szCs w:val="22"/>
        </w:rPr>
        <w:t xml:space="preserve"> div</w:t>
      </w:r>
      <w:r w:rsidRPr="00BD17CA">
        <w:rPr>
          <w:rFonts w:ascii="Arial" w:eastAsia="Arial" w:hAnsi="Arial" w:cs="Arial"/>
          <w:sz w:val="22"/>
          <w:szCs w:val="22"/>
        </w:rPr>
        <w:t>er</w:t>
      </w:r>
      <w:r w:rsidRPr="00FD4375">
        <w:rPr>
          <w:rFonts w:ascii="Arial" w:eastAsia="Arial" w:hAnsi="Arial" w:cs="Arial"/>
          <w:sz w:val="22"/>
          <w:szCs w:val="22"/>
        </w:rPr>
        <w:t>sific</w:t>
      </w:r>
      <w:r w:rsidRPr="00BD17CA">
        <w:rPr>
          <w:rFonts w:ascii="Arial" w:eastAsia="Arial" w:hAnsi="Arial" w:cs="Arial"/>
          <w:sz w:val="22"/>
          <w:szCs w:val="22"/>
        </w:rPr>
        <w:t>at</w:t>
      </w:r>
      <w:r w:rsidRPr="00FD4375">
        <w:rPr>
          <w:rFonts w:ascii="Arial" w:eastAsia="Arial" w:hAnsi="Arial" w:cs="Arial"/>
          <w:sz w:val="22"/>
          <w:szCs w:val="22"/>
        </w:rPr>
        <w:t>io</w:t>
      </w:r>
      <w:r w:rsidRPr="00BD17CA">
        <w:rPr>
          <w:rFonts w:ascii="Arial" w:eastAsia="Arial" w:hAnsi="Arial" w:cs="Arial"/>
          <w:sz w:val="22"/>
          <w:szCs w:val="22"/>
        </w:rPr>
        <w:t>n</w:t>
      </w:r>
      <w:r w:rsidRPr="00FD4375">
        <w:rPr>
          <w:rFonts w:ascii="Arial" w:eastAsia="Arial" w:hAnsi="Arial" w:cs="Arial"/>
          <w:sz w:val="22"/>
          <w:szCs w:val="22"/>
        </w:rPr>
        <w:t xml:space="preserve"> t</w:t>
      </w:r>
      <w:r w:rsidRPr="00BD17CA">
        <w:rPr>
          <w:rFonts w:ascii="Arial" w:eastAsia="Arial" w:hAnsi="Arial" w:cs="Arial"/>
          <w:sz w:val="22"/>
          <w:szCs w:val="22"/>
        </w:rPr>
        <w:t xml:space="preserve">o </w:t>
      </w:r>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duc</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x</w:t>
      </w:r>
      <w:r w:rsidRPr="00BD17CA">
        <w:rPr>
          <w:rFonts w:ascii="Arial" w:eastAsia="Arial" w:hAnsi="Arial" w:cs="Arial"/>
          <w:sz w:val="22"/>
          <w:szCs w:val="22"/>
        </w:rPr>
        <w:t>p</w:t>
      </w:r>
      <w:r w:rsidRPr="00FD4375">
        <w:rPr>
          <w:rFonts w:ascii="Arial" w:eastAsia="Arial" w:hAnsi="Arial" w:cs="Arial"/>
          <w:sz w:val="22"/>
          <w:szCs w:val="22"/>
        </w:rPr>
        <w:t>os</w:t>
      </w:r>
      <w:r w:rsidRPr="00BD17CA">
        <w:rPr>
          <w:rFonts w:ascii="Arial" w:eastAsia="Arial" w:hAnsi="Arial" w:cs="Arial"/>
          <w:sz w:val="22"/>
          <w:szCs w:val="22"/>
        </w:rPr>
        <w:t>ure</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rk</w:t>
      </w:r>
      <w:r w:rsidRPr="00BD17CA">
        <w:rPr>
          <w:rFonts w:ascii="Arial" w:eastAsia="Arial" w:hAnsi="Arial" w:cs="Arial"/>
          <w:sz w:val="22"/>
          <w:szCs w:val="22"/>
        </w:rPr>
        <w:t>et</w:t>
      </w:r>
      <w:r w:rsidRPr="00FD4375">
        <w:rPr>
          <w:rFonts w:ascii="Arial" w:eastAsia="Arial" w:hAnsi="Arial" w:cs="Arial"/>
          <w:sz w:val="22"/>
          <w:szCs w:val="22"/>
        </w:rPr>
        <w:t xml:space="preserve"> ris</w:t>
      </w:r>
      <w:r w:rsidRPr="00BD17CA">
        <w:rPr>
          <w:rFonts w:ascii="Arial" w:eastAsia="Arial" w:hAnsi="Arial" w:cs="Arial"/>
          <w:sz w:val="22"/>
          <w:szCs w:val="22"/>
        </w:rPr>
        <w:t>k (price</w:t>
      </w:r>
      <w:r w:rsidRPr="00FD4375">
        <w:rPr>
          <w:rFonts w:ascii="Arial" w:eastAsia="Arial" w:hAnsi="Arial" w:cs="Arial"/>
          <w:sz w:val="22"/>
          <w:szCs w:val="22"/>
        </w:rPr>
        <w:t xml:space="preserve"> risk</w:t>
      </w:r>
      <w:r w:rsidRPr="00BD17CA">
        <w:rPr>
          <w:rFonts w:ascii="Arial" w:eastAsia="Arial" w:hAnsi="Arial" w:cs="Arial"/>
          <w:sz w:val="22"/>
          <w:szCs w:val="22"/>
        </w:rPr>
        <w:t>,</w:t>
      </w:r>
      <w:r w:rsidRPr="00FD4375">
        <w:rPr>
          <w:rFonts w:ascii="Arial" w:eastAsia="Arial" w:hAnsi="Arial" w:cs="Arial"/>
          <w:sz w:val="22"/>
          <w:szCs w:val="22"/>
        </w:rPr>
        <w:t xml:space="preserve"> c</w:t>
      </w:r>
      <w:r w:rsidRPr="00BD17CA">
        <w:rPr>
          <w:rFonts w:ascii="Arial" w:eastAsia="Arial" w:hAnsi="Arial" w:cs="Arial"/>
          <w:sz w:val="22"/>
          <w:szCs w:val="22"/>
        </w:rPr>
        <w:t>ur</w:t>
      </w:r>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nc</w:t>
      </w:r>
      <w:r w:rsidRPr="00BD17CA">
        <w:rPr>
          <w:rFonts w:ascii="Arial" w:eastAsia="Arial" w:hAnsi="Arial" w:cs="Arial"/>
          <w:sz w:val="22"/>
          <w:szCs w:val="22"/>
        </w:rPr>
        <w:t>y</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 xml:space="preserve">d </w:t>
      </w:r>
      <w:r w:rsidRPr="00FD4375">
        <w:rPr>
          <w:rFonts w:ascii="Arial" w:eastAsia="Arial" w:hAnsi="Arial" w:cs="Arial"/>
          <w:sz w:val="22"/>
          <w:szCs w:val="22"/>
        </w:rPr>
        <w:t>i</w:t>
      </w:r>
      <w:r w:rsidRPr="00BD17CA">
        <w:rPr>
          <w:rFonts w:ascii="Arial" w:eastAsia="Arial" w:hAnsi="Arial" w:cs="Arial"/>
          <w:sz w:val="22"/>
          <w:szCs w:val="22"/>
        </w:rPr>
        <w:t>nte</w:t>
      </w:r>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rate</w:t>
      </w:r>
      <w:r w:rsidRPr="00FD4375">
        <w:rPr>
          <w:rFonts w:ascii="Arial" w:eastAsia="Arial" w:hAnsi="Arial" w:cs="Arial"/>
          <w:sz w:val="22"/>
          <w:szCs w:val="22"/>
        </w:rPr>
        <w:t xml:space="preserve"> risk</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c</w:t>
      </w:r>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di</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r</w:t>
      </w:r>
      <w:r w:rsidRPr="00FD4375">
        <w:rPr>
          <w:rFonts w:ascii="Arial" w:eastAsia="Arial" w:hAnsi="Arial" w:cs="Arial"/>
          <w:sz w:val="22"/>
          <w:szCs w:val="22"/>
        </w:rPr>
        <w:t>is</w:t>
      </w:r>
      <w:r w:rsidRPr="00BD17CA">
        <w:rPr>
          <w:rFonts w:ascii="Arial" w:eastAsia="Arial" w:hAnsi="Arial" w:cs="Arial"/>
          <w:sz w:val="22"/>
          <w:szCs w:val="22"/>
        </w:rPr>
        <w:t>k to</w:t>
      </w:r>
      <w:r w:rsidRPr="00FD4375">
        <w:rPr>
          <w:rFonts w:ascii="Arial" w:eastAsia="Arial" w:hAnsi="Arial" w:cs="Arial"/>
          <w:sz w:val="22"/>
          <w:szCs w:val="22"/>
        </w:rPr>
        <w:t xml:space="preserve"> </w:t>
      </w:r>
      <w:r w:rsidRPr="00BD17CA">
        <w:rPr>
          <w:rFonts w:ascii="Arial" w:eastAsia="Arial" w:hAnsi="Arial" w:cs="Arial"/>
          <w:sz w:val="22"/>
          <w:szCs w:val="22"/>
        </w:rPr>
        <w:t>an</w:t>
      </w:r>
      <w:r w:rsidRPr="00FD4375">
        <w:rPr>
          <w:rFonts w:ascii="Arial" w:eastAsia="Arial" w:hAnsi="Arial" w:cs="Arial"/>
          <w:sz w:val="22"/>
          <w:szCs w:val="22"/>
        </w:rPr>
        <w:t xml:space="preserve"> </w:t>
      </w:r>
      <w:r w:rsidRPr="00BD17CA">
        <w:rPr>
          <w:rFonts w:ascii="Arial" w:eastAsia="Arial" w:hAnsi="Arial" w:cs="Arial"/>
          <w:sz w:val="22"/>
          <w:szCs w:val="22"/>
        </w:rPr>
        <w:t>ac</w:t>
      </w:r>
      <w:r w:rsidRPr="00FD4375">
        <w:rPr>
          <w:rFonts w:ascii="Arial" w:eastAsia="Arial" w:hAnsi="Arial" w:cs="Arial"/>
          <w:sz w:val="22"/>
          <w:szCs w:val="22"/>
        </w:rPr>
        <w:t>c</w:t>
      </w:r>
      <w:r w:rsidRPr="00BD17CA">
        <w:rPr>
          <w:rFonts w:ascii="Arial" w:eastAsia="Arial" w:hAnsi="Arial" w:cs="Arial"/>
          <w:sz w:val="22"/>
          <w:szCs w:val="22"/>
        </w:rPr>
        <w:t>e</w:t>
      </w:r>
      <w:r w:rsidRPr="00FD4375">
        <w:rPr>
          <w:rFonts w:ascii="Arial" w:eastAsia="Arial" w:hAnsi="Arial" w:cs="Arial"/>
          <w:sz w:val="22"/>
          <w:szCs w:val="22"/>
        </w:rPr>
        <w:t>pt</w:t>
      </w:r>
      <w:r w:rsidRPr="00BD17CA">
        <w:rPr>
          <w:rFonts w:ascii="Arial" w:eastAsia="Arial" w:hAnsi="Arial" w:cs="Arial"/>
          <w:sz w:val="22"/>
          <w:szCs w:val="22"/>
        </w:rPr>
        <w:t>a</w:t>
      </w:r>
      <w:r w:rsidRPr="00FD4375">
        <w:rPr>
          <w:rFonts w:ascii="Arial" w:eastAsia="Arial" w:hAnsi="Arial" w:cs="Arial"/>
          <w:sz w:val="22"/>
          <w:szCs w:val="22"/>
        </w:rPr>
        <w:t>bl</w:t>
      </w:r>
      <w:r w:rsidRPr="00BD17CA">
        <w:rPr>
          <w:rFonts w:ascii="Arial" w:eastAsia="Arial" w:hAnsi="Arial" w:cs="Arial"/>
          <w:sz w:val="22"/>
          <w:szCs w:val="22"/>
        </w:rPr>
        <w:t>e</w:t>
      </w:r>
      <w:r w:rsidRPr="00FD4375">
        <w:rPr>
          <w:rFonts w:ascii="Arial" w:eastAsia="Arial" w:hAnsi="Arial" w:cs="Arial"/>
          <w:sz w:val="22"/>
          <w:szCs w:val="22"/>
        </w:rPr>
        <w:t xml:space="preserve"> level</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In</w:t>
      </w:r>
      <w:r w:rsidRPr="00FD4375">
        <w:rPr>
          <w:rFonts w:ascii="Arial" w:eastAsia="Arial" w:hAnsi="Arial" w:cs="Arial"/>
          <w:sz w:val="22"/>
          <w:szCs w:val="22"/>
        </w:rPr>
        <w:t xml:space="preserve"> a</w:t>
      </w:r>
      <w:r w:rsidRPr="00BD17CA">
        <w:rPr>
          <w:rFonts w:ascii="Arial" w:eastAsia="Arial" w:hAnsi="Arial" w:cs="Arial"/>
          <w:sz w:val="22"/>
          <w:szCs w:val="22"/>
        </w:rPr>
        <w:t>d</w:t>
      </w:r>
      <w:r w:rsidRPr="00FD4375">
        <w:rPr>
          <w:rFonts w:ascii="Arial" w:eastAsia="Arial" w:hAnsi="Arial" w:cs="Arial"/>
          <w:sz w:val="22"/>
          <w:szCs w:val="22"/>
        </w:rPr>
        <w:t>di</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g</w:t>
      </w:r>
      <w:r w:rsidRPr="00BD17CA">
        <w:rPr>
          <w:rFonts w:ascii="Arial" w:eastAsia="Arial" w:hAnsi="Arial" w:cs="Arial"/>
          <w:sz w:val="22"/>
          <w:szCs w:val="22"/>
        </w:rPr>
        <w:t>es</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li</w:t>
      </w:r>
      <w:r w:rsidRPr="00BD17CA">
        <w:rPr>
          <w:rFonts w:ascii="Arial" w:eastAsia="Arial" w:hAnsi="Arial" w:cs="Arial"/>
          <w:sz w:val="22"/>
          <w:szCs w:val="22"/>
        </w:rPr>
        <w:t>q</w:t>
      </w:r>
      <w:r w:rsidRPr="00FD4375">
        <w:rPr>
          <w:rFonts w:ascii="Arial" w:eastAsia="Arial" w:hAnsi="Arial" w:cs="Arial"/>
          <w:sz w:val="22"/>
          <w:szCs w:val="22"/>
        </w:rPr>
        <w:t>ui</w:t>
      </w:r>
      <w:r w:rsidRPr="00BD17CA">
        <w:rPr>
          <w:rFonts w:ascii="Arial" w:eastAsia="Arial" w:hAnsi="Arial" w:cs="Arial"/>
          <w:sz w:val="22"/>
          <w:szCs w:val="22"/>
        </w:rPr>
        <w:t>d</w:t>
      </w:r>
      <w:r w:rsidRPr="00FD4375">
        <w:rPr>
          <w:rFonts w:ascii="Arial" w:eastAsia="Arial" w:hAnsi="Arial" w:cs="Arial"/>
          <w:sz w:val="22"/>
          <w:szCs w:val="22"/>
        </w:rPr>
        <w:t>it</w:t>
      </w:r>
      <w:r w:rsidRPr="00BD17CA">
        <w:rPr>
          <w:rFonts w:ascii="Arial" w:eastAsia="Arial" w:hAnsi="Arial" w:cs="Arial"/>
          <w:sz w:val="22"/>
          <w:szCs w:val="22"/>
        </w:rPr>
        <w:t>y</w:t>
      </w:r>
      <w:r w:rsidRPr="00FD4375">
        <w:rPr>
          <w:rFonts w:ascii="Arial" w:eastAsia="Arial" w:hAnsi="Arial" w:cs="Arial"/>
          <w:sz w:val="22"/>
          <w:szCs w:val="22"/>
        </w:rPr>
        <w:t xml:space="preserve"> ris</w:t>
      </w:r>
      <w:r w:rsidRPr="00BD17CA">
        <w:rPr>
          <w:rFonts w:ascii="Arial" w:eastAsia="Arial" w:hAnsi="Arial" w:cs="Arial"/>
          <w:sz w:val="22"/>
          <w:szCs w:val="22"/>
        </w:rPr>
        <w:t>k to</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ns</w:t>
      </w:r>
      <w:r w:rsidRPr="00BD17CA">
        <w:rPr>
          <w:rFonts w:ascii="Arial" w:eastAsia="Arial" w:hAnsi="Arial" w:cs="Arial"/>
          <w:sz w:val="22"/>
          <w:szCs w:val="22"/>
        </w:rPr>
        <w:t>u</w:t>
      </w:r>
      <w:r w:rsidRPr="00FD4375">
        <w:rPr>
          <w:rFonts w:ascii="Arial" w:eastAsia="Arial" w:hAnsi="Arial" w:cs="Arial"/>
          <w:sz w:val="22"/>
          <w:szCs w:val="22"/>
        </w:rPr>
        <w:t>r</w:t>
      </w:r>
      <w:r w:rsidRPr="00BD17CA">
        <w:rPr>
          <w:rFonts w:ascii="Arial" w:eastAsia="Arial" w:hAnsi="Arial" w:cs="Arial"/>
          <w:sz w:val="22"/>
          <w:szCs w:val="22"/>
        </w:rPr>
        <w:t>e th</w:t>
      </w:r>
      <w:r w:rsidRPr="00FD4375">
        <w:rPr>
          <w:rFonts w:ascii="Arial" w:eastAsia="Arial" w:hAnsi="Arial" w:cs="Arial"/>
          <w:sz w:val="22"/>
          <w:szCs w:val="22"/>
        </w:rPr>
        <w:t>er</w:t>
      </w:r>
      <w:r w:rsidRPr="00BD17CA">
        <w:rPr>
          <w:rFonts w:ascii="Arial" w:eastAsia="Arial" w:hAnsi="Arial" w:cs="Arial"/>
          <w:sz w:val="22"/>
          <w:szCs w:val="22"/>
        </w:rPr>
        <w:t>e</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w:t>
      </w:r>
      <w:proofErr w:type="gramStart"/>
      <w:r w:rsidRPr="00FD4375">
        <w:rPr>
          <w:rFonts w:ascii="Arial" w:eastAsia="Arial" w:hAnsi="Arial" w:cs="Arial"/>
          <w:sz w:val="22"/>
          <w:szCs w:val="22"/>
        </w:rPr>
        <w:t>s</w:t>
      </w:r>
      <w:r w:rsidRPr="00BD17CA">
        <w:rPr>
          <w:rFonts w:ascii="Arial" w:eastAsia="Arial" w:hAnsi="Arial" w:cs="Arial"/>
          <w:sz w:val="22"/>
          <w:szCs w:val="22"/>
        </w:rPr>
        <w:t>u</w:t>
      </w:r>
      <w:r w:rsidRPr="00FD4375">
        <w:rPr>
          <w:rFonts w:ascii="Arial" w:eastAsia="Arial" w:hAnsi="Arial" w:cs="Arial"/>
          <w:sz w:val="22"/>
          <w:szCs w:val="22"/>
        </w:rPr>
        <w:t>ffici</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proofErr w:type="gramEnd"/>
      <w:r w:rsidRPr="00FD4375">
        <w:rPr>
          <w:rFonts w:ascii="Arial" w:eastAsia="Arial" w:hAnsi="Arial" w:cs="Arial"/>
          <w:sz w:val="22"/>
          <w:szCs w:val="22"/>
        </w:rPr>
        <w:t xml:space="preserve"> liquidit</w:t>
      </w:r>
      <w:r w:rsidRPr="00BD17CA">
        <w:rPr>
          <w:rFonts w:ascii="Arial" w:eastAsia="Arial" w:hAnsi="Arial" w:cs="Arial"/>
          <w:sz w:val="22"/>
          <w:szCs w:val="22"/>
        </w:rPr>
        <w:t>y</w:t>
      </w:r>
      <w:r w:rsidRPr="00FD4375">
        <w:rPr>
          <w:rFonts w:ascii="Arial" w:eastAsia="Arial" w:hAnsi="Arial" w:cs="Arial"/>
          <w:sz w:val="22"/>
          <w:szCs w:val="22"/>
        </w:rPr>
        <w:t xml:space="preserve"> t</w:t>
      </w:r>
      <w:r w:rsidRPr="00BD17CA">
        <w:rPr>
          <w:rFonts w:ascii="Arial" w:eastAsia="Arial" w:hAnsi="Arial" w:cs="Arial"/>
          <w:sz w:val="22"/>
          <w:szCs w:val="22"/>
        </w:rPr>
        <w:t>o</w:t>
      </w:r>
      <w:r w:rsidRPr="00FD4375">
        <w:rPr>
          <w:rFonts w:ascii="Arial" w:eastAsia="Arial" w:hAnsi="Arial" w:cs="Arial"/>
          <w:sz w:val="22"/>
          <w:szCs w:val="22"/>
        </w:rPr>
        <w:t xml:space="preserve"> m</w:t>
      </w:r>
      <w:r w:rsidRPr="00BD17CA">
        <w:rPr>
          <w:rFonts w:ascii="Arial" w:eastAsia="Arial" w:hAnsi="Arial" w:cs="Arial"/>
          <w:sz w:val="22"/>
          <w:szCs w:val="22"/>
        </w:rPr>
        <w:t>e</w:t>
      </w:r>
      <w:r w:rsidRPr="00FD4375">
        <w:rPr>
          <w:rFonts w:ascii="Arial" w:eastAsia="Arial" w:hAnsi="Arial" w:cs="Arial"/>
          <w:sz w:val="22"/>
          <w:szCs w:val="22"/>
        </w:rPr>
        <w:t>e</w:t>
      </w:r>
      <w:r w:rsidRPr="00BD17CA">
        <w:rPr>
          <w:rFonts w:ascii="Arial" w:eastAsia="Arial" w:hAnsi="Arial" w:cs="Arial"/>
          <w:sz w:val="22"/>
          <w:szCs w:val="22"/>
        </w:rPr>
        <w:t>t 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 xml:space="preserve">d's </w:t>
      </w:r>
      <w:r w:rsidRPr="00FD4375">
        <w:rPr>
          <w:rFonts w:ascii="Arial" w:eastAsia="Arial" w:hAnsi="Arial" w:cs="Arial"/>
          <w:sz w:val="22"/>
          <w:szCs w:val="22"/>
        </w:rPr>
        <w:t>f</w:t>
      </w:r>
      <w:r w:rsidRPr="00BD17CA">
        <w:rPr>
          <w:rFonts w:ascii="Arial" w:eastAsia="Arial" w:hAnsi="Arial" w:cs="Arial"/>
          <w:sz w:val="22"/>
          <w:szCs w:val="22"/>
        </w:rPr>
        <w:t>ore</w:t>
      </w:r>
      <w:r w:rsidRPr="00FD4375">
        <w:rPr>
          <w:rFonts w:ascii="Arial" w:eastAsia="Arial" w:hAnsi="Arial" w:cs="Arial"/>
          <w:sz w:val="22"/>
          <w:szCs w:val="22"/>
        </w:rPr>
        <w:t>c</w:t>
      </w:r>
      <w:r w:rsidRPr="00BD17CA">
        <w:rPr>
          <w:rFonts w:ascii="Arial" w:eastAsia="Arial" w:hAnsi="Arial" w:cs="Arial"/>
          <w:sz w:val="22"/>
          <w:szCs w:val="22"/>
        </w:rPr>
        <w:t>a</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 xml:space="preserve"> c</w:t>
      </w:r>
      <w:r w:rsidRPr="00BD17CA">
        <w:rPr>
          <w:rFonts w:ascii="Arial" w:eastAsia="Arial" w:hAnsi="Arial" w:cs="Arial"/>
          <w:sz w:val="22"/>
          <w:szCs w:val="22"/>
        </w:rPr>
        <w:t>a</w:t>
      </w:r>
      <w:r w:rsidRPr="00FD4375">
        <w:rPr>
          <w:rFonts w:ascii="Arial" w:eastAsia="Arial" w:hAnsi="Arial" w:cs="Arial"/>
          <w:sz w:val="22"/>
          <w:szCs w:val="22"/>
        </w:rPr>
        <w:t>s</w:t>
      </w:r>
      <w:r w:rsidRPr="00BD17CA">
        <w:rPr>
          <w:rFonts w:ascii="Arial" w:eastAsia="Arial" w:hAnsi="Arial" w:cs="Arial"/>
          <w:sz w:val="22"/>
          <w:szCs w:val="22"/>
        </w:rPr>
        <w:t xml:space="preserve">h </w:t>
      </w:r>
      <w:r w:rsidRPr="00FD4375">
        <w:rPr>
          <w:rFonts w:ascii="Arial" w:eastAsia="Arial" w:hAnsi="Arial" w:cs="Arial"/>
          <w:sz w:val="22"/>
          <w:szCs w:val="22"/>
        </w:rPr>
        <w:t>fl</w:t>
      </w:r>
      <w:r w:rsidRPr="00BD17CA">
        <w:rPr>
          <w:rFonts w:ascii="Arial" w:eastAsia="Arial" w:hAnsi="Arial" w:cs="Arial"/>
          <w:sz w:val="22"/>
          <w:szCs w:val="22"/>
        </w:rPr>
        <w:t>o</w:t>
      </w:r>
      <w:r w:rsidRPr="00FD4375">
        <w:rPr>
          <w:rFonts w:ascii="Arial" w:eastAsia="Arial" w:hAnsi="Arial" w:cs="Arial"/>
          <w:sz w:val="22"/>
          <w:szCs w:val="22"/>
        </w:rPr>
        <w:t>ws</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 xml:space="preserve">d </w:t>
      </w:r>
      <w:r w:rsidRPr="00FD4375">
        <w:rPr>
          <w:rFonts w:ascii="Arial" w:eastAsia="Arial" w:hAnsi="Arial" w:cs="Arial"/>
          <w:sz w:val="22"/>
          <w:szCs w:val="22"/>
        </w:rPr>
        <w:t>m</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g</w:t>
      </w:r>
      <w:r w:rsidRPr="00BD17CA">
        <w:rPr>
          <w:rFonts w:ascii="Arial" w:eastAsia="Arial" w:hAnsi="Arial" w:cs="Arial"/>
          <w:sz w:val="22"/>
          <w:szCs w:val="22"/>
        </w:rPr>
        <w:t>es</w:t>
      </w:r>
      <w:r w:rsidRPr="00FD4375">
        <w:rPr>
          <w:rFonts w:ascii="Arial" w:eastAsia="Arial" w:hAnsi="Arial" w:cs="Arial"/>
          <w:sz w:val="22"/>
          <w:szCs w:val="22"/>
        </w:rPr>
        <w:t xml:space="preserve"> </w:t>
      </w:r>
      <w:r w:rsidRPr="00BD17CA">
        <w:rPr>
          <w:rFonts w:ascii="Arial" w:eastAsia="Arial" w:hAnsi="Arial" w:cs="Arial"/>
          <w:sz w:val="22"/>
          <w:szCs w:val="22"/>
        </w:rPr>
        <w:t>th</w:t>
      </w:r>
      <w:r w:rsidRPr="00FD4375">
        <w:rPr>
          <w:rFonts w:ascii="Arial" w:eastAsia="Arial" w:hAnsi="Arial" w:cs="Arial"/>
          <w:sz w:val="22"/>
          <w:szCs w:val="22"/>
        </w:rPr>
        <w:t>es</w:t>
      </w:r>
      <w:r w:rsidRPr="00BD17CA">
        <w:rPr>
          <w:rFonts w:ascii="Arial" w:eastAsia="Arial" w:hAnsi="Arial" w:cs="Arial"/>
          <w:sz w:val="22"/>
          <w:szCs w:val="22"/>
        </w:rPr>
        <w:t>e</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risk</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as p</w:t>
      </w:r>
      <w:r w:rsidRPr="00FD4375">
        <w:rPr>
          <w:rFonts w:ascii="Arial" w:eastAsia="Arial" w:hAnsi="Arial" w:cs="Arial"/>
          <w:sz w:val="22"/>
          <w:szCs w:val="22"/>
        </w:rPr>
        <w:t>ar</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ov</w:t>
      </w:r>
      <w:r w:rsidRPr="00BD17CA">
        <w:rPr>
          <w:rFonts w:ascii="Arial" w:eastAsia="Arial" w:hAnsi="Arial" w:cs="Arial"/>
          <w:sz w:val="22"/>
          <w:szCs w:val="22"/>
        </w:rPr>
        <w:t>er</w:t>
      </w:r>
      <w:r w:rsidRPr="00FD4375">
        <w:rPr>
          <w:rFonts w:ascii="Arial" w:eastAsia="Arial" w:hAnsi="Arial" w:cs="Arial"/>
          <w:sz w:val="22"/>
          <w:szCs w:val="22"/>
        </w:rPr>
        <w:t>al</w:t>
      </w:r>
      <w:r w:rsidRPr="00BD17CA">
        <w:rPr>
          <w:rFonts w:ascii="Arial" w:eastAsia="Arial" w:hAnsi="Arial" w:cs="Arial"/>
          <w:sz w:val="22"/>
          <w:szCs w:val="22"/>
        </w:rPr>
        <w:t>l</w:t>
      </w:r>
      <w:r w:rsidRPr="00FD4375">
        <w:rPr>
          <w:rFonts w:ascii="Arial" w:eastAsia="Arial" w:hAnsi="Arial" w:cs="Arial"/>
          <w:sz w:val="22"/>
          <w:szCs w:val="22"/>
        </w:rPr>
        <w:t xml:space="preserve"> Pe</w:t>
      </w:r>
      <w:r w:rsidRPr="00BD17CA">
        <w:rPr>
          <w:rFonts w:ascii="Arial" w:eastAsia="Arial" w:hAnsi="Arial" w:cs="Arial"/>
          <w:sz w:val="22"/>
          <w:szCs w:val="22"/>
        </w:rPr>
        <w:t>n</w:t>
      </w:r>
      <w:r w:rsidRPr="00FD4375">
        <w:rPr>
          <w:rFonts w:ascii="Arial" w:eastAsia="Arial" w:hAnsi="Arial" w:cs="Arial"/>
          <w:sz w:val="22"/>
          <w:szCs w:val="22"/>
        </w:rPr>
        <w:t>sio</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Fu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g</w:t>
      </w:r>
      <w:r w:rsidRPr="00BD17CA">
        <w:rPr>
          <w:rFonts w:ascii="Arial" w:eastAsia="Arial" w:hAnsi="Arial" w:cs="Arial"/>
          <w:sz w:val="22"/>
          <w:szCs w:val="22"/>
        </w:rPr>
        <w:t>e</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w:t>
      </w:r>
      <w:proofErr w:type="spellStart"/>
      <w:r w:rsidRPr="00BD17CA">
        <w:rPr>
          <w:rFonts w:ascii="Arial" w:eastAsia="Arial" w:hAnsi="Arial" w:cs="Arial"/>
          <w:sz w:val="22"/>
          <w:szCs w:val="22"/>
        </w:rPr>
        <w:t>pr</w:t>
      </w:r>
      <w:r w:rsidRPr="00FD4375">
        <w:rPr>
          <w:rFonts w:ascii="Arial" w:eastAsia="Arial" w:hAnsi="Arial" w:cs="Arial"/>
          <w:sz w:val="22"/>
          <w:szCs w:val="22"/>
        </w:rPr>
        <w:t>o</w:t>
      </w:r>
      <w:r w:rsidRPr="00BD17CA">
        <w:rPr>
          <w:rFonts w:ascii="Arial" w:eastAsia="Arial" w:hAnsi="Arial" w:cs="Arial"/>
          <w:sz w:val="22"/>
          <w:szCs w:val="22"/>
        </w:rPr>
        <w:t>gra</w:t>
      </w:r>
      <w:r w:rsidRPr="00FD4375">
        <w:rPr>
          <w:rFonts w:ascii="Arial" w:eastAsia="Arial" w:hAnsi="Arial" w:cs="Arial"/>
          <w:sz w:val="22"/>
          <w:szCs w:val="22"/>
        </w:rPr>
        <w:t>mm</w:t>
      </w:r>
      <w:r w:rsidRPr="00BD17CA">
        <w:rPr>
          <w:rFonts w:ascii="Arial" w:eastAsia="Arial" w:hAnsi="Arial" w:cs="Arial"/>
          <w:sz w:val="22"/>
          <w:szCs w:val="22"/>
        </w:rPr>
        <w:t>e</w:t>
      </w:r>
      <w:proofErr w:type="spellEnd"/>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lastRenderedPageBreak/>
        <w:t>Re</w:t>
      </w:r>
      <w:r w:rsidRPr="00FD4375">
        <w:rPr>
          <w:rFonts w:ascii="Arial" w:eastAsia="Arial" w:hAnsi="Arial" w:cs="Arial"/>
          <w:sz w:val="22"/>
          <w:szCs w:val="22"/>
        </w:rPr>
        <w:t>s</w:t>
      </w:r>
      <w:r w:rsidRPr="00BD17CA">
        <w:rPr>
          <w:rFonts w:ascii="Arial" w:eastAsia="Arial" w:hAnsi="Arial" w:cs="Arial"/>
          <w:sz w:val="22"/>
          <w:szCs w:val="22"/>
        </w:rPr>
        <w:t>p</w:t>
      </w:r>
      <w:r w:rsidRPr="00FD4375">
        <w:rPr>
          <w:rFonts w:ascii="Arial" w:eastAsia="Arial" w:hAnsi="Arial" w:cs="Arial"/>
          <w:sz w:val="22"/>
          <w:szCs w:val="22"/>
        </w:rPr>
        <w:t>o</w:t>
      </w:r>
      <w:r w:rsidRPr="00BD17CA">
        <w:rPr>
          <w:rFonts w:ascii="Arial" w:eastAsia="Arial" w:hAnsi="Arial" w:cs="Arial"/>
          <w:sz w:val="22"/>
          <w:szCs w:val="22"/>
        </w:rPr>
        <w:t>n</w:t>
      </w:r>
      <w:r w:rsidRPr="00FD4375">
        <w:rPr>
          <w:rFonts w:ascii="Arial" w:eastAsia="Arial" w:hAnsi="Arial" w:cs="Arial"/>
          <w:sz w:val="22"/>
          <w:szCs w:val="22"/>
        </w:rPr>
        <w:t>si</w:t>
      </w:r>
      <w:r w:rsidRPr="00BD17CA">
        <w:rPr>
          <w:rFonts w:ascii="Arial" w:eastAsia="Arial" w:hAnsi="Arial" w:cs="Arial"/>
          <w:sz w:val="22"/>
          <w:szCs w:val="22"/>
        </w:rPr>
        <w:t>b</w:t>
      </w:r>
      <w:r w:rsidRPr="00FD4375">
        <w:rPr>
          <w:rFonts w:ascii="Arial" w:eastAsia="Arial" w:hAnsi="Arial" w:cs="Arial"/>
          <w:sz w:val="22"/>
          <w:szCs w:val="22"/>
        </w:rPr>
        <w:t>ilit</w:t>
      </w:r>
      <w:r w:rsidRPr="00BD17CA">
        <w:rPr>
          <w:rFonts w:ascii="Arial" w:eastAsia="Arial" w:hAnsi="Arial" w:cs="Arial"/>
          <w:sz w:val="22"/>
          <w:szCs w:val="22"/>
        </w:rPr>
        <w:t>y</w:t>
      </w:r>
      <w:r w:rsidRPr="00FD4375">
        <w:rPr>
          <w:rFonts w:ascii="Arial" w:eastAsia="Arial" w:hAnsi="Arial" w:cs="Arial"/>
          <w:sz w:val="22"/>
          <w:szCs w:val="22"/>
        </w:rPr>
        <w:t xml:space="preserve"> f</w:t>
      </w:r>
      <w:r w:rsidRPr="00BD17CA">
        <w:rPr>
          <w:rFonts w:ascii="Arial" w:eastAsia="Arial" w:hAnsi="Arial" w:cs="Arial"/>
          <w:sz w:val="22"/>
          <w:szCs w:val="22"/>
        </w:rPr>
        <w:t>or</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g</w:t>
      </w:r>
      <w:r w:rsidRPr="00BD17CA">
        <w:rPr>
          <w:rFonts w:ascii="Arial" w:eastAsia="Arial" w:hAnsi="Arial" w:cs="Arial"/>
          <w:sz w:val="22"/>
          <w:szCs w:val="22"/>
        </w:rPr>
        <w:t>e</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 xml:space="preserve">t </w:t>
      </w:r>
      <w:r w:rsidRPr="00FD4375">
        <w:rPr>
          <w:rFonts w:ascii="Arial" w:eastAsia="Arial" w:hAnsi="Arial" w:cs="Arial"/>
          <w:sz w:val="22"/>
          <w:szCs w:val="22"/>
        </w:rPr>
        <w:t>s</w:t>
      </w:r>
      <w:r w:rsidRPr="00BD17CA">
        <w:rPr>
          <w:rFonts w:ascii="Arial" w:eastAsia="Arial" w:hAnsi="Arial" w:cs="Arial"/>
          <w:sz w:val="22"/>
          <w:szCs w:val="22"/>
        </w:rPr>
        <w:t>trat</w:t>
      </w:r>
      <w:r w:rsidRPr="00FD4375">
        <w:rPr>
          <w:rFonts w:ascii="Arial" w:eastAsia="Arial" w:hAnsi="Arial" w:cs="Arial"/>
          <w:sz w:val="22"/>
          <w:szCs w:val="22"/>
        </w:rPr>
        <w:t>eg</w:t>
      </w:r>
      <w:r w:rsidRPr="00BD17CA">
        <w:rPr>
          <w:rFonts w:ascii="Arial" w:eastAsia="Arial" w:hAnsi="Arial" w:cs="Arial"/>
          <w:sz w:val="22"/>
          <w:szCs w:val="22"/>
        </w:rPr>
        <w:t>y</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w:t>
      </w:r>
      <w:r w:rsidRPr="00BD17CA">
        <w:rPr>
          <w:rFonts w:ascii="Arial" w:eastAsia="Arial" w:hAnsi="Arial" w:cs="Arial"/>
          <w:sz w:val="22"/>
          <w:szCs w:val="22"/>
        </w:rPr>
        <w:t>th</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Pe</w:t>
      </w:r>
      <w:r w:rsidRPr="00BD17CA">
        <w:rPr>
          <w:rFonts w:ascii="Arial" w:eastAsia="Arial" w:hAnsi="Arial" w:cs="Arial"/>
          <w:sz w:val="22"/>
          <w:szCs w:val="22"/>
        </w:rPr>
        <w:t>n</w:t>
      </w:r>
      <w:r w:rsidRPr="00FD4375">
        <w:rPr>
          <w:rFonts w:ascii="Arial" w:eastAsia="Arial" w:hAnsi="Arial" w:cs="Arial"/>
          <w:sz w:val="22"/>
          <w:szCs w:val="22"/>
        </w:rPr>
        <w:t>si</w:t>
      </w:r>
      <w:r w:rsidRPr="00BD17CA">
        <w:rPr>
          <w:rFonts w:ascii="Arial" w:eastAsia="Arial" w:hAnsi="Arial" w:cs="Arial"/>
          <w:sz w:val="22"/>
          <w:szCs w:val="22"/>
        </w:rPr>
        <w:t>on</w:t>
      </w:r>
      <w:r w:rsidRPr="00FD4375">
        <w:rPr>
          <w:rFonts w:ascii="Arial" w:eastAsia="Arial" w:hAnsi="Arial" w:cs="Arial"/>
          <w:sz w:val="22"/>
          <w:szCs w:val="22"/>
        </w:rPr>
        <w:t xml:space="preserve"> </w:t>
      </w:r>
      <w:r w:rsidRPr="00BD17CA">
        <w:rPr>
          <w:rFonts w:ascii="Arial" w:eastAsia="Arial" w:hAnsi="Arial" w:cs="Arial"/>
          <w:sz w:val="22"/>
          <w:szCs w:val="22"/>
        </w:rPr>
        <w:t>F</w:t>
      </w:r>
      <w:r w:rsidRPr="00FD4375">
        <w:rPr>
          <w:rFonts w:ascii="Arial" w:eastAsia="Arial" w:hAnsi="Arial" w:cs="Arial"/>
          <w:sz w:val="22"/>
          <w:szCs w:val="22"/>
        </w:rPr>
        <w:t>u</w:t>
      </w:r>
      <w:r w:rsidRPr="00BD17CA">
        <w:rPr>
          <w:rFonts w:ascii="Arial" w:eastAsia="Arial" w:hAnsi="Arial" w:cs="Arial"/>
          <w:sz w:val="22"/>
          <w:szCs w:val="22"/>
        </w:rPr>
        <w:t>nd</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mmi</w:t>
      </w:r>
      <w:r w:rsidRPr="00BD17CA">
        <w:rPr>
          <w:rFonts w:ascii="Arial" w:eastAsia="Arial" w:hAnsi="Arial" w:cs="Arial"/>
          <w:sz w:val="22"/>
          <w:szCs w:val="22"/>
        </w:rPr>
        <w:t>tt</w:t>
      </w:r>
      <w:r w:rsidRPr="00FD4375">
        <w:rPr>
          <w:rFonts w:ascii="Arial" w:eastAsia="Arial" w:hAnsi="Arial" w:cs="Arial"/>
          <w:sz w:val="22"/>
          <w:szCs w:val="22"/>
        </w:rPr>
        <w:t>e</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R</w:t>
      </w:r>
      <w:r w:rsidRPr="00FD4375">
        <w:rPr>
          <w:rFonts w:ascii="Arial" w:eastAsia="Arial" w:hAnsi="Arial" w:cs="Arial"/>
          <w:sz w:val="22"/>
          <w:szCs w:val="22"/>
        </w:rPr>
        <w:t>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M</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g</w:t>
      </w:r>
      <w:r w:rsidRPr="00FD4375">
        <w:rPr>
          <w:rFonts w:ascii="Arial" w:eastAsia="Arial" w:hAnsi="Arial" w:cs="Arial"/>
          <w:sz w:val="22"/>
          <w:szCs w:val="22"/>
        </w:rPr>
        <w:t>em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 p</w:t>
      </w:r>
      <w:r w:rsidRPr="00FD4375">
        <w:rPr>
          <w:rFonts w:ascii="Arial" w:eastAsia="Arial" w:hAnsi="Arial" w:cs="Arial"/>
          <w:sz w:val="22"/>
          <w:szCs w:val="22"/>
        </w:rPr>
        <w:t>olici</w:t>
      </w:r>
      <w:r w:rsidRPr="00BD17CA">
        <w:rPr>
          <w:rFonts w:ascii="Arial" w:eastAsia="Arial" w:hAnsi="Arial" w:cs="Arial"/>
          <w:sz w:val="22"/>
          <w:szCs w:val="22"/>
        </w:rPr>
        <w:t>es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ta</w:t>
      </w:r>
      <w:r w:rsidRPr="00FD4375">
        <w:rPr>
          <w:rFonts w:ascii="Arial" w:eastAsia="Arial" w:hAnsi="Arial" w:cs="Arial"/>
          <w:sz w:val="22"/>
          <w:szCs w:val="22"/>
        </w:rPr>
        <w:t>blish</w:t>
      </w:r>
      <w:r w:rsidRPr="00BD17CA">
        <w:rPr>
          <w:rFonts w:ascii="Arial" w:eastAsia="Arial" w:hAnsi="Arial" w:cs="Arial"/>
          <w:sz w:val="22"/>
          <w:szCs w:val="22"/>
        </w:rPr>
        <w:t>ed</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i</w:t>
      </w:r>
      <w:r w:rsidRPr="00BD17CA">
        <w:rPr>
          <w:rFonts w:ascii="Arial" w:eastAsia="Arial" w:hAnsi="Arial" w:cs="Arial"/>
          <w:sz w:val="22"/>
          <w:szCs w:val="22"/>
        </w:rPr>
        <w:t>d</w:t>
      </w:r>
      <w:r w:rsidRPr="00FD4375">
        <w:rPr>
          <w:rFonts w:ascii="Arial" w:eastAsia="Arial" w:hAnsi="Arial" w:cs="Arial"/>
          <w:sz w:val="22"/>
          <w:szCs w:val="22"/>
        </w:rPr>
        <w:t>e</w:t>
      </w:r>
      <w:r w:rsidRPr="00BD17CA">
        <w:rPr>
          <w:rFonts w:ascii="Arial" w:eastAsia="Arial" w:hAnsi="Arial" w:cs="Arial"/>
          <w:sz w:val="22"/>
          <w:szCs w:val="22"/>
        </w:rPr>
        <w:t>nt</w:t>
      </w:r>
      <w:r w:rsidRPr="00FD4375">
        <w:rPr>
          <w:rFonts w:ascii="Arial" w:eastAsia="Arial" w:hAnsi="Arial" w:cs="Arial"/>
          <w:sz w:val="22"/>
          <w:szCs w:val="22"/>
        </w:rPr>
        <w:t>if</w:t>
      </w:r>
      <w:r w:rsidRPr="00BD17CA">
        <w:rPr>
          <w:rFonts w:ascii="Arial" w:eastAsia="Arial" w:hAnsi="Arial" w:cs="Arial"/>
          <w:sz w:val="22"/>
          <w:szCs w:val="22"/>
        </w:rPr>
        <w:t>y</w:t>
      </w:r>
      <w:r w:rsidRPr="00FD4375">
        <w:rPr>
          <w:rFonts w:ascii="Arial" w:eastAsia="Arial" w:hAnsi="Arial" w:cs="Arial"/>
          <w:sz w:val="22"/>
          <w:szCs w:val="22"/>
        </w:rPr>
        <w:t xml:space="preserve"> a</w:t>
      </w:r>
      <w:r w:rsidRPr="00BD17CA">
        <w:rPr>
          <w:rFonts w:ascii="Arial" w:eastAsia="Arial" w:hAnsi="Arial" w:cs="Arial"/>
          <w:sz w:val="22"/>
          <w:szCs w:val="22"/>
        </w:rPr>
        <w:t xml:space="preserve">nd </w:t>
      </w:r>
      <w:proofErr w:type="spellStart"/>
      <w:r w:rsidRPr="00BD17CA">
        <w:rPr>
          <w:rFonts w:ascii="Arial" w:eastAsia="Arial" w:hAnsi="Arial" w:cs="Arial"/>
          <w:sz w:val="22"/>
          <w:szCs w:val="22"/>
        </w:rPr>
        <w:t>a</w:t>
      </w:r>
      <w:r w:rsidRPr="00FD4375">
        <w:rPr>
          <w:rFonts w:ascii="Arial" w:eastAsia="Arial" w:hAnsi="Arial" w:cs="Arial"/>
          <w:sz w:val="22"/>
          <w:szCs w:val="22"/>
        </w:rPr>
        <w:t>nalys</w:t>
      </w:r>
      <w:r w:rsidRPr="00BD17CA">
        <w:rPr>
          <w:rFonts w:ascii="Arial" w:eastAsia="Arial" w:hAnsi="Arial" w:cs="Arial"/>
          <w:sz w:val="22"/>
          <w:szCs w:val="22"/>
        </w:rPr>
        <w:t>e</w:t>
      </w:r>
      <w:proofErr w:type="spellEnd"/>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f</w:t>
      </w:r>
      <w:r w:rsidRPr="00BD17CA">
        <w:rPr>
          <w:rFonts w:ascii="Arial" w:eastAsia="Arial" w:hAnsi="Arial" w:cs="Arial"/>
          <w:sz w:val="22"/>
          <w:szCs w:val="22"/>
        </w:rPr>
        <w:t>a</w:t>
      </w:r>
      <w:r w:rsidRPr="00FD4375">
        <w:rPr>
          <w:rFonts w:ascii="Arial" w:eastAsia="Arial" w:hAnsi="Arial" w:cs="Arial"/>
          <w:sz w:val="22"/>
          <w:szCs w:val="22"/>
        </w:rPr>
        <w:t>c</w:t>
      </w:r>
      <w:r w:rsidRPr="00BD17CA">
        <w:rPr>
          <w:rFonts w:ascii="Arial" w:eastAsia="Arial" w:hAnsi="Arial" w:cs="Arial"/>
          <w:sz w:val="22"/>
          <w:szCs w:val="22"/>
        </w:rPr>
        <w:t>ed</w:t>
      </w:r>
      <w:r w:rsidRPr="00FD4375">
        <w:rPr>
          <w:rFonts w:ascii="Arial" w:eastAsia="Arial" w:hAnsi="Arial" w:cs="Arial"/>
          <w:sz w:val="22"/>
          <w:szCs w:val="22"/>
        </w:rPr>
        <w:t xml:space="preserve"> b</w:t>
      </w:r>
      <w:r w:rsidRPr="00BD17CA">
        <w:rPr>
          <w:rFonts w:ascii="Arial" w:eastAsia="Arial" w:hAnsi="Arial" w:cs="Arial"/>
          <w:sz w:val="22"/>
          <w:szCs w:val="22"/>
        </w:rPr>
        <w:t>y</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p</w:t>
      </w:r>
      <w:r w:rsidRPr="00BD17CA">
        <w:rPr>
          <w:rFonts w:ascii="Arial" w:eastAsia="Arial" w:hAnsi="Arial" w:cs="Arial"/>
          <w:sz w:val="22"/>
          <w:szCs w:val="22"/>
        </w:rPr>
        <w:t>e</w:t>
      </w:r>
      <w:r w:rsidRPr="00FD4375">
        <w:rPr>
          <w:rFonts w:ascii="Arial" w:eastAsia="Arial" w:hAnsi="Arial" w:cs="Arial"/>
          <w:sz w:val="22"/>
          <w:szCs w:val="22"/>
        </w:rPr>
        <w:t>nsi</w:t>
      </w:r>
      <w:r w:rsidRPr="00BD17CA">
        <w:rPr>
          <w:rFonts w:ascii="Arial" w:eastAsia="Arial" w:hAnsi="Arial" w:cs="Arial"/>
          <w:sz w:val="22"/>
          <w:szCs w:val="22"/>
        </w:rPr>
        <w:t>on</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o</w:t>
      </w:r>
      <w:r w:rsidRPr="00BD17CA">
        <w:rPr>
          <w:rFonts w:ascii="Arial" w:eastAsia="Arial" w:hAnsi="Arial" w:cs="Arial"/>
          <w:sz w:val="22"/>
          <w:szCs w:val="22"/>
        </w:rPr>
        <w:t>p</w:t>
      </w:r>
      <w:r w:rsidRPr="00FD4375">
        <w:rPr>
          <w:rFonts w:ascii="Arial" w:eastAsia="Arial" w:hAnsi="Arial" w:cs="Arial"/>
          <w:sz w:val="22"/>
          <w:szCs w:val="22"/>
        </w:rPr>
        <w:t>er</w:t>
      </w:r>
      <w:r w:rsidRPr="00BD17CA">
        <w:rPr>
          <w:rFonts w:ascii="Arial" w:eastAsia="Arial" w:hAnsi="Arial" w:cs="Arial"/>
          <w:sz w:val="22"/>
          <w:szCs w:val="22"/>
        </w:rPr>
        <w:t>a</w:t>
      </w:r>
      <w:r w:rsidRPr="00FD4375">
        <w:rPr>
          <w:rFonts w:ascii="Arial" w:eastAsia="Arial" w:hAnsi="Arial" w:cs="Arial"/>
          <w:sz w:val="22"/>
          <w:szCs w:val="22"/>
        </w:rPr>
        <w:t>tio</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Polici</w:t>
      </w:r>
      <w:r w:rsidRPr="00BD17CA">
        <w:rPr>
          <w:rFonts w:ascii="Arial" w:eastAsia="Arial" w:hAnsi="Arial" w:cs="Arial"/>
          <w:sz w:val="22"/>
          <w:szCs w:val="22"/>
        </w:rPr>
        <w:t>es</w:t>
      </w:r>
      <w:r w:rsidRPr="00FD4375">
        <w:rPr>
          <w:rFonts w:ascii="Arial" w:eastAsia="Arial" w:hAnsi="Arial" w:cs="Arial"/>
          <w:sz w:val="22"/>
          <w:szCs w:val="22"/>
        </w:rPr>
        <w:t xml:space="preserve"> </w:t>
      </w:r>
      <w:r w:rsidRPr="00BD17CA">
        <w:rPr>
          <w:rFonts w:ascii="Arial" w:eastAsia="Arial" w:hAnsi="Arial" w:cs="Arial"/>
          <w:sz w:val="22"/>
          <w:szCs w:val="22"/>
        </w:rPr>
        <w:t>are</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vie</w:t>
      </w:r>
      <w:r w:rsidRPr="00BD17CA">
        <w:rPr>
          <w:rFonts w:ascii="Arial" w:eastAsia="Arial" w:hAnsi="Arial" w:cs="Arial"/>
          <w:sz w:val="22"/>
          <w:szCs w:val="22"/>
        </w:rPr>
        <w:t>wed</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gul</w:t>
      </w:r>
      <w:r w:rsidRPr="00BD17CA">
        <w:rPr>
          <w:rFonts w:ascii="Arial" w:eastAsia="Arial" w:hAnsi="Arial" w:cs="Arial"/>
          <w:sz w:val="22"/>
          <w:szCs w:val="22"/>
        </w:rPr>
        <w:t>ar</w:t>
      </w:r>
      <w:r w:rsidRPr="00FD4375">
        <w:rPr>
          <w:rFonts w:ascii="Arial" w:eastAsia="Arial" w:hAnsi="Arial" w:cs="Arial"/>
          <w:sz w:val="22"/>
          <w:szCs w:val="22"/>
        </w:rPr>
        <w:t>l</w:t>
      </w:r>
      <w:r w:rsidRPr="00BD17CA">
        <w:rPr>
          <w:rFonts w:ascii="Arial" w:eastAsia="Arial" w:hAnsi="Arial" w:cs="Arial"/>
          <w:sz w:val="22"/>
          <w:szCs w:val="22"/>
        </w:rPr>
        <w:t xml:space="preserve">y </w:t>
      </w:r>
      <w:r w:rsidRPr="00FD4375">
        <w:rPr>
          <w:rFonts w:ascii="Arial" w:eastAsia="Arial" w:hAnsi="Arial" w:cs="Arial"/>
          <w:sz w:val="22"/>
          <w:szCs w:val="22"/>
        </w:rPr>
        <w:t>t</w:t>
      </w:r>
      <w:r w:rsidRPr="00BD17CA">
        <w:rPr>
          <w:rFonts w:ascii="Arial" w:eastAsia="Arial" w:hAnsi="Arial" w:cs="Arial"/>
          <w:sz w:val="22"/>
          <w:szCs w:val="22"/>
        </w:rPr>
        <w:t>o</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fl</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 xml:space="preserve"> c</w:t>
      </w:r>
      <w:r w:rsidRPr="00BD17CA">
        <w:rPr>
          <w:rFonts w:ascii="Arial" w:eastAsia="Arial" w:hAnsi="Arial" w:cs="Arial"/>
          <w:sz w:val="22"/>
          <w:szCs w:val="22"/>
        </w:rPr>
        <w:t>h</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g</w:t>
      </w:r>
      <w:r w:rsidRPr="00BD17CA">
        <w:rPr>
          <w:rFonts w:ascii="Arial" w:eastAsia="Arial" w:hAnsi="Arial" w:cs="Arial"/>
          <w:sz w:val="22"/>
          <w:szCs w:val="22"/>
        </w:rPr>
        <w:t>es</w:t>
      </w:r>
      <w:r w:rsidRPr="00FD4375">
        <w:rPr>
          <w:rFonts w:ascii="Arial" w:eastAsia="Arial" w:hAnsi="Arial" w:cs="Arial"/>
          <w:sz w:val="22"/>
          <w:szCs w:val="22"/>
        </w:rPr>
        <w:t xml:space="preserve"> i</w:t>
      </w:r>
      <w:r w:rsidRPr="00BD17CA">
        <w:rPr>
          <w:rFonts w:ascii="Arial" w:eastAsia="Arial" w:hAnsi="Arial" w:cs="Arial"/>
          <w:sz w:val="22"/>
          <w:szCs w:val="22"/>
        </w:rPr>
        <w:t>n a</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ivit</w:t>
      </w:r>
      <w:r w:rsidRPr="00BD17CA">
        <w:rPr>
          <w:rFonts w:ascii="Arial" w:eastAsia="Arial" w:hAnsi="Arial" w:cs="Arial"/>
          <w:sz w:val="22"/>
          <w:szCs w:val="22"/>
        </w:rPr>
        <w:t>y</w:t>
      </w:r>
      <w:r w:rsidRPr="00FD4375">
        <w:rPr>
          <w:rFonts w:ascii="Arial" w:eastAsia="Arial" w:hAnsi="Arial" w:cs="Arial"/>
          <w:sz w:val="22"/>
          <w:szCs w:val="22"/>
        </w:rPr>
        <w:t xml:space="preserve"> a</w:t>
      </w:r>
      <w:r w:rsidRPr="00BD17CA">
        <w:rPr>
          <w:rFonts w:ascii="Arial" w:eastAsia="Arial" w:hAnsi="Arial" w:cs="Arial"/>
          <w:sz w:val="22"/>
          <w:szCs w:val="22"/>
        </w:rPr>
        <w:t>nd</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rk</w:t>
      </w:r>
      <w:r w:rsidRPr="00BD17CA">
        <w:rPr>
          <w:rFonts w:ascii="Arial" w:eastAsia="Arial" w:hAnsi="Arial" w:cs="Arial"/>
          <w:sz w:val="22"/>
          <w:szCs w:val="22"/>
        </w:rPr>
        <w:t>et</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i</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o</w:t>
      </w:r>
      <w:r w:rsidRPr="00FD4375">
        <w:rPr>
          <w:rFonts w:ascii="Arial" w:eastAsia="Arial" w:hAnsi="Arial" w:cs="Arial"/>
          <w:sz w:val="22"/>
          <w:szCs w:val="22"/>
        </w:rPr>
        <w:t>ns</w:t>
      </w:r>
      <w:r w:rsidRPr="00BD17CA">
        <w:rPr>
          <w:rFonts w:ascii="Arial" w:eastAsia="Arial" w:hAnsi="Arial" w:cs="Arial"/>
          <w:sz w:val="22"/>
          <w:szCs w:val="22"/>
        </w:rPr>
        <w:t>.</w:t>
      </w:r>
    </w:p>
    <w:p w14:paraId="0B704DB3" w14:textId="37F8F02F" w:rsidR="009C7422" w:rsidRPr="00FD4375" w:rsidRDefault="001706EB" w:rsidP="00FD4375">
      <w:pPr>
        <w:spacing w:after="200" w:line="276" w:lineRule="auto"/>
        <w:ind w:right="74"/>
        <w:jc w:val="both"/>
        <w:rPr>
          <w:rFonts w:ascii="Arial" w:eastAsia="Arial" w:hAnsi="Arial" w:cs="Arial"/>
          <w:b/>
          <w:bCs/>
          <w:sz w:val="22"/>
          <w:szCs w:val="22"/>
        </w:rPr>
      </w:pPr>
      <w:r w:rsidRPr="00FD4375">
        <w:rPr>
          <w:rFonts w:ascii="Arial" w:eastAsia="Arial" w:hAnsi="Arial" w:cs="Arial"/>
          <w:b/>
          <w:bCs/>
          <w:sz w:val="22"/>
          <w:szCs w:val="22"/>
        </w:rPr>
        <w:t>Market risk</w:t>
      </w:r>
    </w:p>
    <w:p w14:paraId="6E6182DF" w14:textId="77777777" w:rsidR="009C7422" w:rsidRPr="00BD17CA" w:rsidRDefault="001706EB" w:rsidP="00FD4375">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M</w:t>
      </w:r>
      <w:r w:rsidRPr="00FD4375">
        <w:rPr>
          <w:rFonts w:ascii="Arial" w:eastAsia="Arial" w:hAnsi="Arial" w:cs="Arial"/>
          <w:sz w:val="22"/>
          <w:szCs w:val="22"/>
        </w:rPr>
        <w:t>ark</w:t>
      </w:r>
      <w:r w:rsidRPr="00BD17CA">
        <w:rPr>
          <w:rFonts w:ascii="Arial" w:eastAsia="Arial" w:hAnsi="Arial" w:cs="Arial"/>
          <w:sz w:val="22"/>
          <w:szCs w:val="22"/>
        </w:rPr>
        <w:t>et</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l</w:t>
      </w:r>
      <w:r w:rsidRPr="00BD17CA">
        <w:rPr>
          <w:rFonts w:ascii="Arial" w:eastAsia="Arial" w:hAnsi="Arial" w:cs="Arial"/>
          <w:sz w:val="22"/>
          <w:szCs w:val="22"/>
        </w:rPr>
        <w:t>o</w:t>
      </w:r>
      <w:r w:rsidRPr="00FD4375">
        <w:rPr>
          <w:rFonts w:ascii="Arial" w:eastAsia="Arial" w:hAnsi="Arial" w:cs="Arial"/>
          <w:sz w:val="22"/>
          <w:szCs w:val="22"/>
        </w:rPr>
        <w:t>s</w:t>
      </w:r>
      <w:r w:rsidRPr="00BD17CA">
        <w:rPr>
          <w:rFonts w:ascii="Arial" w:eastAsia="Arial" w:hAnsi="Arial" w:cs="Arial"/>
          <w:sz w:val="22"/>
          <w:szCs w:val="22"/>
        </w:rPr>
        <w:t>s</w:t>
      </w:r>
      <w:r w:rsidRPr="00FD4375">
        <w:rPr>
          <w:rFonts w:ascii="Arial" w:eastAsia="Arial" w:hAnsi="Arial" w:cs="Arial"/>
          <w:sz w:val="22"/>
          <w:szCs w:val="22"/>
        </w:rPr>
        <w:t xml:space="preserve"> fro</w:t>
      </w:r>
      <w:r w:rsidRPr="00BD17CA">
        <w:rPr>
          <w:rFonts w:ascii="Arial" w:eastAsia="Arial" w:hAnsi="Arial" w:cs="Arial"/>
          <w:sz w:val="22"/>
          <w:szCs w:val="22"/>
        </w:rPr>
        <w:t>m</w:t>
      </w:r>
      <w:r w:rsidRPr="00FD4375">
        <w:rPr>
          <w:rFonts w:ascii="Arial" w:eastAsia="Arial" w:hAnsi="Arial" w:cs="Arial"/>
          <w:sz w:val="22"/>
          <w:szCs w:val="22"/>
        </w:rPr>
        <w:t xml:space="preserve"> fl</w:t>
      </w:r>
      <w:r w:rsidRPr="00BD17CA">
        <w:rPr>
          <w:rFonts w:ascii="Arial" w:eastAsia="Arial" w:hAnsi="Arial" w:cs="Arial"/>
          <w:sz w:val="22"/>
          <w:szCs w:val="22"/>
        </w:rPr>
        <w:t>u</w:t>
      </w:r>
      <w:r w:rsidRPr="00FD4375">
        <w:rPr>
          <w:rFonts w:ascii="Arial" w:eastAsia="Arial" w:hAnsi="Arial" w:cs="Arial"/>
          <w:sz w:val="22"/>
          <w:szCs w:val="22"/>
        </w:rPr>
        <w:t>c</w:t>
      </w:r>
      <w:r w:rsidRPr="00BD17CA">
        <w:rPr>
          <w:rFonts w:ascii="Arial" w:eastAsia="Arial" w:hAnsi="Arial" w:cs="Arial"/>
          <w:sz w:val="22"/>
          <w:szCs w:val="22"/>
        </w:rPr>
        <w:t>tu</w:t>
      </w:r>
      <w:r w:rsidRPr="00FD4375">
        <w:rPr>
          <w:rFonts w:ascii="Arial" w:eastAsia="Arial" w:hAnsi="Arial" w:cs="Arial"/>
          <w:sz w:val="22"/>
          <w:szCs w:val="22"/>
        </w:rPr>
        <w:t>a</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e</w:t>
      </w:r>
      <w:r w:rsidRPr="00BD17CA">
        <w:rPr>
          <w:rFonts w:ascii="Arial" w:eastAsia="Arial" w:hAnsi="Arial" w:cs="Arial"/>
          <w:sz w:val="22"/>
          <w:szCs w:val="22"/>
        </w:rPr>
        <w:t>q</w:t>
      </w:r>
      <w:r w:rsidRPr="00FD4375">
        <w:rPr>
          <w:rFonts w:ascii="Arial" w:eastAsia="Arial" w:hAnsi="Arial" w:cs="Arial"/>
          <w:sz w:val="22"/>
          <w:szCs w:val="22"/>
        </w:rPr>
        <w:t>uit</w:t>
      </w:r>
      <w:r w:rsidRPr="00BD17CA">
        <w:rPr>
          <w:rFonts w:ascii="Arial" w:eastAsia="Arial" w:hAnsi="Arial" w:cs="Arial"/>
          <w:sz w:val="22"/>
          <w:szCs w:val="22"/>
        </w:rPr>
        <w:t>y</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mm</w:t>
      </w:r>
      <w:r w:rsidRPr="00BD17CA">
        <w:rPr>
          <w:rFonts w:ascii="Arial" w:eastAsia="Arial" w:hAnsi="Arial" w:cs="Arial"/>
          <w:sz w:val="22"/>
          <w:szCs w:val="22"/>
        </w:rPr>
        <w:t>o</w:t>
      </w:r>
      <w:r w:rsidRPr="00FD4375">
        <w:rPr>
          <w:rFonts w:ascii="Arial" w:eastAsia="Arial" w:hAnsi="Arial" w:cs="Arial"/>
          <w:sz w:val="22"/>
          <w:szCs w:val="22"/>
        </w:rPr>
        <w:t>dit</w:t>
      </w:r>
      <w:r w:rsidRPr="00BD17CA">
        <w:rPr>
          <w:rFonts w:ascii="Arial" w:eastAsia="Arial" w:hAnsi="Arial" w:cs="Arial"/>
          <w:sz w:val="22"/>
          <w:szCs w:val="22"/>
        </w:rPr>
        <w:t>y</w:t>
      </w:r>
      <w:r w:rsidRPr="00FD4375">
        <w:rPr>
          <w:rFonts w:ascii="Arial" w:eastAsia="Arial" w:hAnsi="Arial" w:cs="Arial"/>
          <w:sz w:val="22"/>
          <w:szCs w:val="22"/>
        </w:rPr>
        <w:t xml:space="preserve"> </w:t>
      </w:r>
      <w:r w:rsidRPr="00BD17CA">
        <w:rPr>
          <w:rFonts w:ascii="Arial" w:eastAsia="Arial" w:hAnsi="Arial" w:cs="Arial"/>
          <w:sz w:val="22"/>
          <w:szCs w:val="22"/>
        </w:rPr>
        <w:t>price</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i</w:t>
      </w:r>
      <w:r w:rsidRPr="00BD17CA">
        <w:rPr>
          <w:rFonts w:ascii="Arial" w:eastAsia="Arial" w:hAnsi="Arial" w:cs="Arial"/>
          <w:sz w:val="22"/>
          <w:szCs w:val="22"/>
        </w:rPr>
        <w:t>nt</w:t>
      </w:r>
      <w:r w:rsidRPr="00FD4375">
        <w:rPr>
          <w:rFonts w:ascii="Arial" w:eastAsia="Arial" w:hAnsi="Arial" w:cs="Arial"/>
          <w:sz w:val="22"/>
          <w:szCs w:val="22"/>
        </w:rPr>
        <w:t>er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f</w:t>
      </w:r>
      <w:r w:rsidRPr="00BD17CA">
        <w:rPr>
          <w:rFonts w:ascii="Arial" w:eastAsia="Arial" w:hAnsi="Arial" w:cs="Arial"/>
          <w:sz w:val="22"/>
          <w:szCs w:val="22"/>
        </w:rPr>
        <w:t>ore</w:t>
      </w:r>
      <w:r w:rsidRPr="00FD4375">
        <w:rPr>
          <w:rFonts w:ascii="Arial" w:eastAsia="Arial" w:hAnsi="Arial" w:cs="Arial"/>
          <w:sz w:val="22"/>
          <w:szCs w:val="22"/>
        </w:rPr>
        <w:t>i</w:t>
      </w:r>
      <w:r w:rsidRPr="00BD17CA">
        <w:rPr>
          <w:rFonts w:ascii="Arial" w:eastAsia="Arial" w:hAnsi="Arial" w:cs="Arial"/>
          <w:sz w:val="22"/>
          <w:szCs w:val="22"/>
        </w:rPr>
        <w:t>gn</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xc</w:t>
      </w:r>
      <w:r w:rsidRPr="00BD17CA">
        <w:rPr>
          <w:rFonts w:ascii="Arial" w:eastAsia="Arial" w:hAnsi="Arial" w:cs="Arial"/>
          <w:sz w:val="22"/>
          <w:szCs w:val="22"/>
        </w:rPr>
        <w:t>h</w:t>
      </w:r>
      <w:r w:rsidRPr="00FD4375">
        <w:rPr>
          <w:rFonts w:ascii="Arial" w:eastAsia="Arial" w:hAnsi="Arial" w:cs="Arial"/>
          <w:sz w:val="22"/>
          <w:szCs w:val="22"/>
        </w:rPr>
        <w:t>an</w:t>
      </w:r>
      <w:r w:rsidRPr="00BD17CA">
        <w:rPr>
          <w:rFonts w:ascii="Arial" w:eastAsia="Arial" w:hAnsi="Arial" w:cs="Arial"/>
          <w:sz w:val="22"/>
          <w:szCs w:val="22"/>
        </w:rPr>
        <w:t xml:space="preserve">ge </w:t>
      </w:r>
      <w:r w:rsidRPr="00FD4375">
        <w:rPr>
          <w:rFonts w:ascii="Arial" w:eastAsia="Arial" w:hAnsi="Arial" w:cs="Arial"/>
          <w:sz w:val="22"/>
          <w:szCs w:val="22"/>
        </w:rPr>
        <w:t>r</w:t>
      </w:r>
      <w:r w:rsidRPr="00BD17CA">
        <w:rPr>
          <w:rFonts w:ascii="Arial" w:eastAsia="Arial" w:hAnsi="Arial" w:cs="Arial"/>
          <w:sz w:val="22"/>
          <w:szCs w:val="22"/>
        </w:rPr>
        <w:t>at</w:t>
      </w:r>
      <w:r w:rsidRPr="00FD4375">
        <w:rPr>
          <w:rFonts w:ascii="Arial" w:eastAsia="Arial" w:hAnsi="Arial" w:cs="Arial"/>
          <w:sz w:val="22"/>
          <w:szCs w:val="22"/>
        </w:rPr>
        <w:t>e</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cr</w:t>
      </w:r>
      <w:r w:rsidRPr="00BD17CA">
        <w:rPr>
          <w:rFonts w:ascii="Arial" w:eastAsia="Arial" w:hAnsi="Arial" w:cs="Arial"/>
          <w:sz w:val="22"/>
          <w:szCs w:val="22"/>
        </w:rPr>
        <w:t>e</w:t>
      </w:r>
      <w:r w:rsidRPr="00FD4375">
        <w:rPr>
          <w:rFonts w:ascii="Arial" w:eastAsia="Arial" w:hAnsi="Arial" w:cs="Arial"/>
          <w:sz w:val="22"/>
          <w:szCs w:val="22"/>
        </w:rPr>
        <w:t>di</w:t>
      </w:r>
      <w:r w:rsidRPr="00BD17CA">
        <w:rPr>
          <w:rFonts w:ascii="Arial" w:eastAsia="Arial" w:hAnsi="Arial" w:cs="Arial"/>
          <w:sz w:val="22"/>
          <w:szCs w:val="22"/>
        </w:rPr>
        <w:t>t</w:t>
      </w:r>
      <w:r w:rsidRPr="00FD4375">
        <w:rPr>
          <w:rFonts w:ascii="Arial" w:eastAsia="Arial" w:hAnsi="Arial" w:cs="Arial"/>
          <w:sz w:val="22"/>
          <w:szCs w:val="22"/>
        </w:rPr>
        <w:t xml:space="preserve"> s</w:t>
      </w:r>
      <w:r w:rsidRPr="00BD17CA">
        <w:rPr>
          <w:rFonts w:ascii="Arial" w:eastAsia="Arial" w:hAnsi="Arial" w:cs="Arial"/>
          <w:sz w:val="22"/>
          <w:szCs w:val="22"/>
        </w:rPr>
        <w:t>pr</w:t>
      </w:r>
      <w:r w:rsidRPr="00FD4375">
        <w:rPr>
          <w:rFonts w:ascii="Arial" w:eastAsia="Arial" w:hAnsi="Arial" w:cs="Arial"/>
          <w:sz w:val="22"/>
          <w:szCs w:val="22"/>
        </w:rPr>
        <w:t>e</w:t>
      </w:r>
      <w:r w:rsidRPr="00BD17CA">
        <w:rPr>
          <w:rFonts w:ascii="Arial" w:eastAsia="Arial" w:hAnsi="Arial" w:cs="Arial"/>
          <w:sz w:val="22"/>
          <w:szCs w:val="22"/>
        </w:rPr>
        <w:t>a</w:t>
      </w:r>
      <w:r w:rsidRPr="00FD4375">
        <w:rPr>
          <w:rFonts w:ascii="Arial" w:eastAsia="Arial" w:hAnsi="Arial" w:cs="Arial"/>
          <w:sz w:val="22"/>
          <w:szCs w:val="22"/>
        </w:rPr>
        <w:t>ds</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xp</w:t>
      </w:r>
      <w:r w:rsidRPr="00BD17CA">
        <w:rPr>
          <w:rFonts w:ascii="Arial" w:eastAsia="Arial" w:hAnsi="Arial" w:cs="Arial"/>
          <w:sz w:val="22"/>
          <w:szCs w:val="22"/>
        </w:rPr>
        <w:t>o</w:t>
      </w:r>
      <w:r w:rsidRPr="00FD4375">
        <w:rPr>
          <w:rFonts w:ascii="Arial" w:eastAsia="Arial" w:hAnsi="Arial" w:cs="Arial"/>
          <w:sz w:val="22"/>
          <w:szCs w:val="22"/>
        </w:rPr>
        <w:t>s</w:t>
      </w:r>
      <w:r w:rsidRPr="00BD17CA">
        <w:rPr>
          <w:rFonts w:ascii="Arial" w:eastAsia="Arial" w:hAnsi="Arial" w:cs="Arial"/>
          <w:sz w:val="22"/>
          <w:szCs w:val="22"/>
        </w:rPr>
        <w:t>ed</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m</w:t>
      </w:r>
      <w:r w:rsidRPr="00BD17CA">
        <w:rPr>
          <w:rFonts w:ascii="Arial" w:eastAsia="Arial" w:hAnsi="Arial" w:cs="Arial"/>
          <w:sz w:val="22"/>
          <w:szCs w:val="22"/>
        </w:rPr>
        <w:t>ar</w:t>
      </w:r>
      <w:r w:rsidRPr="00FD4375">
        <w:rPr>
          <w:rFonts w:ascii="Arial" w:eastAsia="Arial" w:hAnsi="Arial" w:cs="Arial"/>
          <w:sz w:val="22"/>
          <w:szCs w:val="22"/>
        </w:rPr>
        <w:t>k</w:t>
      </w:r>
      <w:r w:rsidRPr="00BD17CA">
        <w:rPr>
          <w:rFonts w:ascii="Arial" w:eastAsia="Arial" w:hAnsi="Arial" w:cs="Arial"/>
          <w:sz w:val="22"/>
          <w:szCs w:val="22"/>
        </w:rPr>
        <w:t>et</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fro</w:t>
      </w:r>
      <w:r w:rsidRPr="00BD17CA">
        <w:rPr>
          <w:rFonts w:ascii="Arial" w:eastAsia="Arial" w:hAnsi="Arial" w:cs="Arial"/>
          <w:sz w:val="22"/>
          <w:szCs w:val="22"/>
        </w:rPr>
        <w:t>m</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iviti</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p</w:t>
      </w:r>
      <w:r w:rsidRPr="00BD17CA">
        <w:rPr>
          <w:rFonts w:ascii="Arial" w:eastAsia="Arial" w:hAnsi="Arial" w:cs="Arial"/>
          <w:sz w:val="22"/>
          <w:szCs w:val="22"/>
        </w:rPr>
        <w:t>art</w:t>
      </w:r>
      <w:r w:rsidRPr="00FD4375">
        <w:rPr>
          <w:rFonts w:ascii="Arial" w:eastAsia="Arial" w:hAnsi="Arial" w:cs="Arial"/>
          <w:sz w:val="22"/>
          <w:szCs w:val="22"/>
        </w:rPr>
        <w:t>icul</w:t>
      </w:r>
      <w:r w:rsidRPr="00BD17CA">
        <w:rPr>
          <w:rFonts w:ascii="Arial" w:eastAsia="Arial" w:hAnsi="Arial" w:cs="Arial"/>
          <w:sz w:val="22"/>
          <w:szCs w:val="22"/>
        </w:rPr>
        <w:t>ar</w:t>
      </w:r>
      <w:r w:rsidRPr="00FD4375">
        <w:rPr>
          <w:rFonts w:ascii="Arial" w:eastAsia="Arial" w:hAnsi="Arial" w:cs="Arial"/>
          <w:sz w:val="22"/>
          <w:szCs w:val="22"/>
        </w:rPr>
        <w:t>l</w:t>
      </w:r>
      <w:r w:rsidRPr="00BD17CA">
        <w:rPr>
          <w:rFonts w:ascii="Arial" w:eastAsia="Arial" w:hAnsi="Arial" w:cs="Arial"/>
          <w:sz w:val="22"/>
          <w:szCs w:val="22"/>
        </w:rPr>
        <w:t>y</w:t>
      </w:r>
      <w:r w:rsidRPr="00FD4375">
        <w:rPr>
          <w:rFonts w:ascii="Arial" w:eastAsia="Arial" w:hAnsi="Arial" w:cs="Arial"/>
          <w:sz w:val="22"/>
          <w:szCs w:val="22"/>
        </w:rPr>
        <w:t xml:space="preserve"> </w:t>
      </w:r>
      <w:r w:rsidRPr="00BD17CA">
        <w:rPr>
          <w:rFonts w:ascii="Arial" w:eastAsia="Arial" w:hAnsi="Arial" w:cs="Arial"/>
          <w:sz w:val="22"/>
          <w:szCs w:val="22"/>
        </w:rPr>
        <w:t>thro</w:t>
      </w:r>
      <w:r w:rsidRPr="00FD4375">
        <w:rPr>
          <w:rFonts w:ascii="Arial" w:eastAsia="Arial" w:hAnsi="Arial" w:cs="Arial"/>
          <w:sz w:val="22"/>
          <w:szCs w:val="22"/>
        </w:rPr>
        <w:t>u</w:t>
      </w:r>
      <w:r w:rsidRPr="00BD17CA">
        <w:rPr>
          <w:rFonts w:ascii="Arial" w:eastAsia="Arial" w:hAnsi="Arial" w:cs="Arial"/>
          <w:sz w:val="22"/>
          <w:szCs w:val="22"/>
        </w:rPr>
        <w:t xml:space="preserve">gh </w:t>
      </w:r>
      <w:r w:rsidRPr="00FD4375">
        <w:rPr>
          <w:rFonts w:ascii="Arial" w:eastAsia="Arial" w:hAnsi="Arial" w:cs="Arial"/>
          <w:sz w:val="22"/>
          <w:szCs w:val="22"/>
        </w:rPr>
        <w:t>i</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q</w:t>
      </w:r>
      <w:r w:rsidRPr="00BD17CA">
        <w:rPr>
          <w:rFonts w:ascii="Arial" w:eastAsia="Arial" w:hAnsi="Arial" w:cs="Arial"/>
          <w:sz w:val="22"/>
          <w:szCs w:val="22"/>
        </w:rPr>
        <w:t>u</w:t>
      </w:r>
      <w:r w:rsidRPr="00FD4375">
        <w:rPr>
          <w:rFonts w:ascii="Arial" w:eastAsia="Arial" w:hAnsi="Arial" w:cs="Arial"/>
          <w:sz w:val="22"/>
          <w:szCs w:val="22"/>
        </w:rPr>
        <w:t>it</w:t>
      </w:r>
      <w:r w:rsidRPr="00BD17CA">
        <w:rPr>
          <w:rFonts w:ascii="Arial" w:eastAsia="Arial" w:hAnsi="Arial" w:cs="Arial"/>
          <w:sz w:val="22"/>
          <w:szCs w:val="22"/>
        </w:rPr>
        <w:t>y</w:t>
      </w:r>
      <w:r w:rsidRPr="00FD4375">
        <w:rPr>
          <w:rFonts w:ascii="Arial" w:eastAsia="Arial" w:hAnsi="Arial" w:cs="Arial"/>
          <w:sz w:val="22"/>
          <w:szCs w:val="22"/>
        </w:rPr>
        <w:t xml:space="preserve"> </w:t>
      </w:r>
      <w:r w:rsidRPr="00BD17CA">
        <w:rPr>
          <w:rFonts w:ascii="Arial" w:eastAsia="Arial" w:hAnsi="Arial" w:cs="Arial"/>
          <w:sz w:val="22"/>
          <w:szCs w:val="22"/>
        </w:rPr>
        <w:t>h</w:t>
      </w:r>
      <w:r w:rsidRPr="00FD4375">
        <w:rPr>
          <w:rFonts w:ascii="Arial" w:eastAsia="Arial" w:hAnsi="Arial" w:cs="Arial"/>
          <w:sz w:val="22"/>
          <w:szCs w:val="22"/>
        </w:rPr>
        <w:t>ol</w:t>
      </w:r>
      <w:r w:rsidRPr="00BD17CA">
        <w:rPr>
          <w:rFonts w:ascii="Arial" w:eastAsia="Arial" w:hAnsi="Arial" w:cs="Arial"/>
          <w:sz w:val="22"/>
          <w:szCs w:val="22"/>
        </w:rPr>
        <w:t>d</w:t>
      </w:r>
      <w:r w:rsidRPr="00FD4375">
        <w:rPr>
          <w:rFonts w:ascii="Arial" w:eastAsia="Arial" w:hAnsi="Arial" w:cs="Arial"/>
          <w:sz w:val="22"/>
          <w:szCs w:val="22"/>
        </w:rPr>
        <w:t>i</w:t>
      </w:r>
      <w:r w:rsidRPr="00BD17CA">
        <w:rPr>
          <w:rFonts w:ascii="Arial" w:eastAsia="Arial" w:hAnsi="Arial" w:cs="Arial"/>
          <w:sz w:val="22"/>
          <w:szCs w:val="22"/>
        </w:rPr>
        <w:t>n</w:t>
      </w:r>
      <w:r w:rsidRPr="00FD4375">
        <w:rPr>
          <w:rFonts w:ascii="Arial" w:eastAsia="Arial" w:hAnsi="Arial" w:cs="Arial"/>
          <w:sz w:val="22"/>
          <w:szCs w:val="22"/>
        </w:rPr>
        <w:t>gs</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lev</w:t>
      </w:r>
      <w:r w:rsidRPr="00BD17CA">
        <w:rPr>
          <w:rFonts w:ascii="Arial" w:eastAsia="Arial" w:hAnsi="Arial" w:cs="Arial"/>
          <w:sz w:val="22"/>
          <w:szCs w:val="22"/>
        </w:rPr>
        <w:t>el</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x</w:t>
      </w:r>
      <w:r w:rsidRPr="00BD17CA">
        <w:rPr>
          <w:rFonts w:ascii="Arial" w:eastAsia="Arial" w:hAnsi="Arial" w:cs="Arial"/>
          <w:sz w:val="22"/>
          <w:szCs w:val="22"/>
        </w:rPr>
        <w:t>p</w:t>
      </w:r>
      <w:r w:rsidRPr="00FD4375">
        <w:rPr>
          <w:rFonts w:ascii="Arial" w:eastAsia="Arial" w:hAnsi="Arial" w:cs="Arial"/>
          <w:sz w:val="22"/>
          <w:szCs w:val="22"/>
        </w:rPr>
        <w:t>os</w:t>
      </w:r>
      <w:r w:rsidRPr="00BD17CA">
        <w:rPr>
          <w:rFonts w:ascii="Arial" w:eastAsia="Arial" w:hAnsi="Arial" w:cs="Arial"/>
          <w:sz w:val="22"/>
          <w:szCs w:val="22"/>
        </w:rPr>
        <w:t>ure</w:t>
      </w:r>
      <w:r w:rsidRPr="00FD4375">
        <w:rPr>
          <w:rFonts w:ascii="Arial" w:eastAsia="Arial" w:hAnsi="Arial" w:cs="Arial"/>
          <w:sz w:val="22"/>
          <w:szCs w:val="22"/>
        </w:rPr>
        <w:t xml:space="preserve"> </w:t>
      </w:r>
      <w:r w:rsidRPr="00BD17CA">
        <w:rPr>
          <w:rFonts w:ascii="Arial" w:eastAsia="Arial" w:hAnsi="Arial" w:cs="Arial"/>
          <w:sz w:val="22"/>
          <w:szCs w:val="22"/>
        </w:rPr>
        <w:t>d</w:t>
      </w:r>
      <w:r w:rsidRPr="00FD4375">
        <w:rPr>
          <w:rFonts w:ascii="Arial" w:eastAsia="Arial" w:hAnsi="Arial" w:cs="Arial"/>
          <w:sz w:val="22"/>
          <w:szCs w:val="22"/>
        </w:rPr>
        <w:t>ep</w:t>
      </w:r>
      <w:r w:rsidRPr="00BD17CA">
        <w:rPr>
          <w:rFonts w:ascii="Arial" w:eastAsia="Arial" w:hAnsi="Arial" w:cs="Arial"/>
          <w:sz w:val="22"/>
          <w:szCs w:val="22"/>
        </w:rPr>
        <w:t>e</w:t>
      </w:r>
      <w:r w:rsidRPr="00FD4375">
        <w:rPr>
          <w:rFonts w:ascii="Arial" w:eastAsia="Arial" w:hAnsi="Arial" w:cs="Arial"/>
          <w:sz w:val="22"/>
          <w:szCs w:val="22"/>
        </w:rPr>
        <w:t>nd</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on</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rk</w:t>
      </w:r>
      <w:r w:rsidRPr="00BD17CA">
        <w:rPr>
          <w:rFonts w:ascii="Arial" w:eastAsia="Arial" w:hAnsi="Arial" w:cs="Arial"/>
          <w:sz w:val="22"/>
          <w:szCs w:val="22"/>
        </w:rPr>
        <w:t>et</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itio</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x</w:t>
      </w:r>
      <w:r w:rsidRPr="00BD17CA">
        <w:rPr>
          <w:rFonts w:ascii="Arial" w:eastAsia="Arial" w:hAnsi="Arial" w:cs="Arial"/>
          <w:sz w:val="22"/>
          <w:szCs w:val="22"/>
        </w:rPr>
        <w:t>p</w:t>
      </w:r>
      <w:r w:rsidRPr="00FD4375">
        <w:rPr>
          <w:rFonts w:ascii="Arial" w:eastAsia="Arial" w:hAnsi="Arial" w:cs="Arial"/>
          <w:sz w:val="22"/>
          <w:szCs w:val="22"/>
        </w:rPr>
        <w:t>ec</w:t>
      </w:r>
      <w:r w:rsidRPr="00BD17CA">
        <w:rPr>
          <w:rFonts w:ascii="Arial" w:eastAsia="Arial" w:hAnsi="Arial" w:cs="Arial"/>
          <w:sz w:val="22"/>
          <w:szCs w:val="22"/>
        </w:rPr>
        <w:t>ta</w:t>
      </w:r>
      <w:r w:rsidRPr="00FD4375">
        <w:rPr>
          <w:rFonts w:ascii="Arial" w:eastAsia="Arial" w:hAnsi="Arial" w:cs="Arial"/>
          <w:sz w:val="22"/>
          <w:szCs w:val="22"/>
        </w:rPr>
        <w:t>ti</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f</w:t>
      </w:r>
      <w:r w:rsidRPr="00BD17CA">
        <w:rPr>
          <w:rFonts w:ascii="Arial" w:eastAsia="Arial" w:hAnsi="Arial" w:cs="Arial"/>
          <w:sz w:val="22"/>
          <w:szCs w:val="22"/>
        </w:rPr>
        <w:t>ut</w:t>
      </w:r>
      <w:r w:rsidRPr="00FD4375">
        <w:rPr>
          <w:rFonts w:ascii="Arial" w:eastAsia="Arial" w:hAnsi="Arial" w:cs="Arial"/>
          <w:sz w:val="22"/>
          <w:szCs w:val="22"/>
        </w:rPr>
        <w:t>ur</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price</w:t>
      </w:r>
      <w:r w:rsidRPr="00FD4375">
        <w:rPr>
          <w:rFonts w:ascii="Arial" w:eastAsia="Arial" w:hAnsi="Arial" w:cs="Arial"/>
          <w:sz w:val="22"/>
          <w:szCs w:val="22"/>
        </w:rPr>
        <w:t xml:space="preserve"> a</w:t>
      </w:r>
      <w:r w:rsidRPr="00BD17CA">
        <w:rPr>
          <w:rFonts w:ascii="Arial" w:eastAsia="Arial" w:hAnsi="Arial" w:cs="Arial"/>
          <w:sz w:val="22"/>
          <w:szCs w:val="22"/>
        </w:rPr>
        <w:t xml:space="preserve">nd </w:t>
      </w:r>
      <w:r w:rsidRPr="00FD4375">
        <w:rPr>
          <w:rFonts w:ascii="Arial" w:eastAsia="Arial" w:hAnsi="Arial" w:cs="Arial"/>
          <w:sz w:val="22"/>
          <w:szCs w:val="22"/>
        </w:rPr>
        <w:t>yiel</w:t>
      </w:r>
      <w:r w:rsidRPr="00BD17CA">
        <w:rPr>
          <w:rFonts w:ascii="Arial" w:eastAsia="Arial" w:hAnsi="Arial" w:cs="Arial"/>
          <w:sz w:val="22"/>
          <w:szCs w:val="22"/>
        </w:rPr>
        <w:t>d</w:t>
      </w:r>
      <w:r w:rsidRPr="00FD4375">
        <w:rPr>
          <w:rFonts w:ascii="Arial" w:eastAsia="Arial" w:hAnsi="Arial" w:cs="Arial"/>
          <w:sz w:val="22"/>
          <w:szCs w:val="22"/>
        </w:rPr>
        <w:t xml:space="preserve"> m</w:t>
      </w:r>
      <w:r w:rsidRPr="00BD17CA">
        <w:rPr>
          <w:rFonts w:ascii="Arial" w:eastAsia="Arial" w:hAnsi="Arial" w:cs="Arial"/>
          <w:sz w:val="22"/>
          <w:szCs w:val="22"/>
        </w:rPr>
        <w:t>o</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ass</w:t>
      </w:r>
      <w:r w:rsidRPr="00BD17CA">
        <w:rPr>
          <w:rFonts w:ascii="Arial" w:eastAsia="Arial" w:hAnsi="Arial" w:cs="Arial"/>
          <w:sz w:val="22"/>
          <w:szCs w:val="22"/>
        </w:rPr>
        <w:t>et</w:t>
      </w:r>
      <w:r w:rsidRPr="00FD4375">
        <w:rPr>
          <w:rFonts w:ascii="Arial" w:eastAsia="Arial" w:hAnsi="Arial" w:cs="Arial"/>
          <w:sz w:val="22"/>
          <w:szCs w:val="22"/>
        </w:rPr>
        <w:t xml:space="preserve"> mix</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w:t>
      </w:r>
      <w:r w:rsidRPr="00BD17CA">
        <w:rPr>
          <w:rFonts w:ascii="Arial" w:eastAsia="Arial" w:hAnsi="Arial" w:cs="Arial"/>
          <w:sz w:val="22"/>
          <w:szCs w:val="22"/>
        </w:rPr>
        <w:t>o</w:t>
      </w:r>
      <w:r w:rsidRPr="00FD4375">
        <w:rPr>
          <w:rFonts w:ascii="Arial" w:eastAsia="Arial" w:hAnsi="Arial" w:cs="Arial"/>
          <w:sz w:val="22"/>
          <w:szCs w:val="22"/>
        </w:rPr>
        <w:t>bj</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iv</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gem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s</w:t>
      </w:r>
      <w:r w:rsidRPr="00BD17CA">
        <w:rPr>
          <w:rFonts w:ascii="Arial" w:eastAsia="Arial" w:hAnsi="Arial" w:cs="Arial"/>
          <w:sz w:val="22"/>
          <w:szCs w:val="22"/>
        </w:rPr>
        <w:t>trat</w:t>
      </w:r>
      <w:r w:rsidRPr="00FD4375">
        <w:rPr>
          <w:rFonts w:ascii="Arial" w:eastAsia="Arial" w:hAnsi="Arial" w:cs="Arial"/>
          <w:sz w:val="22"/>
          <w:szCs w:val="22"/>
        </w:rPr>
        <w:t>eg</w:t>
      </w:r>
      <w:r w:rsidRPr="00BD17CA">
        <w:rPr>
          <w:rFonts w:ascii="Arial" w:eastAsia="Arial" w:hAnsi="Arial" w:cs="Arial"/>
          <w:sz w:val="22"/>
          <w:szCs w:val="22"/>
        </w:rPr>
        <w:t>y</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id</w:t>
      </w:r>
      <w:r w:rsidRPr="00BD17CA">
        <w:rPr>
          <w:rFonts w:ascii="Arial" w:eastAsia="Arial" w:hAnsi="Arial" w:cs="Arial"/>
          <w:sz w:val="22"/>
          <w:szCs w:val="22"/>
        </w:rPr>
        <w:t>e</w:t>
      </w:r>
      <w:r w:rsidRPr="00FD4375">
        <w:rPr>
          <w:rFonts w:ascii="Arial" w:eastAsia="Arial" w:hAnsi="Arial" w:cs="Arial"/>
          <w:sz w:val="22"/>
          <w:szCs w:val="22"/>
        </w:rPr>
        <w:t>ntify</w:t>
      </w:r>
      <w:r w:rsidRPr="00BD17CA">
        <w:rPr>
          <w:rFonts w:ascii="Arial" w:eastAsia="Arial" w:hAnsi="Arial" w:cs="Arial"/>
          <w:sz w:val="22"/>
          <w:szCs w:val="22"/>
        </w:rPr>
        <w:t>,</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g</w:t>
      </w:r>
      <w:r w:rsidRPr="00BD17CA">
        <w:rPr>
          <w:rFonts w:ascii="Arial" w:eastAsia="Arial" w:hAnsi="Arial" w:cs="Arial"/>
          <w:sz w:val="22"/>
          <w:szCs w:val="22"/>
        </w:rPr>
        <w:t>e 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trol</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rk</w:t>
      </w:r>
      <w:r w:rsidRPr="00BD17CA">
        <w:rPr>
          <w:rFonts w:ascii="Arial" w:eastAsia="Arial" w:hAnsi="Arial" w:cs="Arial"/>
          <w:sz w:val="22"/>
          <w:szCs w:val="22"/>
        </w:rPr>
        <w:t>et</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xp</w:t>
      </w:r>
      <w:r w:rsidRPr="00BD17CA">
        <w:rPr>
          <w:rFonts w:ascii="Arial" w:eastAsia="Arial" w:hAnsi="Arial" w:cs="Arial"/>
          <w:sz w:val="22"/>
          <w:szCs w:val="22"/>
        </w:rPr>
        <w:t>o</w:t>
      </w:r>
      <w:r w:rsidRPr="00FD4375">
        <w:rPr>
          <w:rFonts w:ascii="Arial" w:eastAsia="Arial" w:hAnsi="Arial" w:cs="Arial"/>
          <w:sz w:val="22"/>
          <w:szCs w:val="22"/>
        </w:rPr>
        <w:t>s</w:t>
      </w:r>
      <w:r w:rsidRPr="00BD17CA">
        <w:rPr>
          <w:rFonts w:ascii="Arial" w:eastAsia="Arial" w:hAnsi="Arial" w:cs="Arial"/>
          <w:sz w:val="22"/>
          <w:szCs w:val="22"/>
        </w:rPr>
        <w:t>ure</w:t>
      </w:r>
      <w:r w:rsidRPr="00FD4375">
        <w:rPr>
          <w:rFonts w:ascii="Arial" w:eastAsia="Arial" w:hAnsi="Arial" w:cs="Arial"/>
          <w:sz w:val="22"/>
          <w:szCs w:val="22"/>
        </w:rPr>
        <w:t xml:space="preserve"> wit</w:t>
      </w:r>
      <w:r w:rsidRPr="00BD17CA">
        <w:rPr>
          <w:rFonts w:ascii="Arial" w:eastAsia="Arial" w:hAnsi="Arial" w:cs="Arial"/>
          <w:sz w:val="22"/>
          <w:szCs w:val="22"/>
        </w:rPr>
        <w:t>h</w:t>
      </w:r>
      <w:r w:rsidRPr="00FD4375">
        <w:rPr>
          <w:rFonts w:ascii="Arial" w:eastAsia="Arial" w:hAnsi="Arial" w:cs="Arial"/>
          <w:sz w:val="22"/>
          <w:szCs w:val="22"/>
        </w:rPr>
        <w:t>i</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cc</w:t>
      </w:r>
      <w:r w:rsidRPr="00BD17CA">
        <w:rPr>
          <w:rFonts w:ascii="Arial" w:eastAsia="Arial" w:hAnsi="Arial" w:cs="Arial"/>
          <w:sz w:val="22"/>
          <w:szCs w:val="22"/>
        </w:rPr>
        <w:t>e</w:t>
      </w:r>
      <w:r w:rsidRPr="00FD4375">
        <w:rPr>
          <w:rFonts w:ascii="Arial" w:eastAsia="Arial" w:hAnsi="Arial" w:cs="Arial"/>
          <w:sz w:val="22"/>
          <w:szCs w:val="22"/>
        </w:rPr>
        <w:t>pt</w:t>
      </w:r>
      <w:r w:rsidRPr="00BD17CA">
        <w:rPr>
          <w:rFonts w:ascii="Arial" w:eastAsia="Arial" w:hAnsi="Arial" w:cs="Arial"/>
          <w:sz w:val="22"/>
          <w:szCs w:val="22"/>
        </w:rPr>
        <w:t>a</w:t>
      </w:r>
      <w:r w:rsidRPr="00FD4375">
        <w:rPr>
          <w:rFonts w:ascii="Arial" w:eastAsia="Arial" w:hAnsi="Arial" w:cs="Arial"/>
          <w:sz w:val="22"/>
          <w:szCs w:val="22"/>
        </w:rPr>
        <w:t>bl</w:t>
      </w:r>
      <w:r w:rsidRPr="00BD17CA">
        <w:rPr>
          <w:rFonts w:ascii="Arial" w:eastAsia="Arial" w:hAnsi="Arial" w:cs="Arial"/>
          <w:sz w:val="22"/>
          <w:szCs w:val="22"/>
        </w:rPr>
        <w:t>e</w:t>
      </w:r>
      <w:r w:rsidRPr="00FD4375">
        <w:rPr>
          <w:rFonts w:ascii="Arial" w:eastAsia="Arial" w:hAnsi="Arial" w:cs="Arial"/>
          <w:sz w:val="22"/>
          <w:szCs w:val="22"/>
        </w:rPr>
        <w:t xml:space="preserve"> p</w:t>
      </w:r>
      <w:r w:rsidRPr="00BD17CA">
        <w:rPr>
          <w:rFonts w:ascii="Arial" w:eastAsia="Arial" w:hAnsi="Arial" w:cs="Arial"/>
          <w:sz w:val="22"/>
          <w:szCs w:val="22"/>
        </w:rPr>
        <w:t>ara</w:t>
      </w:r>
      <w:r w:rsidRPr="00FD4375">
        <w:rPr>
          <w:rFonts w:ascii="Arial" w:eastAsia="Arial" w:hAnsi="Arial" w:cs="Arial"/>
          <w:sz w:val="22"/>
          <w:szCs w:val="22"/>
        </w:rPr>
        <w:t>m</w:t>
      </w:r>
      <w:r w:rsidRPr="00BD17CA">
        <w:rPr>
          <w:rFonts w:ascii="Arial" w:eastAsia="Arial" w:hAnsi="Arial" w:cs="Arial"/>
          <w:sz w:val="22"/>
          <w:szCs w:val="22"/>
        </w:rPr>
        <w:t>et</w:t>
      </w:r>
      <w:r w:rsidRPr="00FD4375">
        <w:rPr>
          <w:rFonts w:ascii="Arial" w:eastAsia="Arial" w:hAnsi="Arial" w:cs="Arial"/>
          <w:sz w:val="22"/>
          <w:szCs w:val="22"/>
        </w:rPr>
        <w:t>ers</w:t>
      </w:r>
      <w:r w:rsidRPr="00BD17CA">
        <w:rPr>
          <w:rFonts w:ascii="Arial" w:eastAsia="Arial" w:hAnsi="Arial" w:cs="Arial"/>
          <w:sz w:val="22"/>
          <w:szCs w:val="22"/>
        </w:rPr>
        <w:t>,</w:t>
      </w:r>
      <w:r w:rsidRPr="00FD4375">
        <w:rPr>
          <w:rFonts w:ascii="Arial" w:eastAsia="Arial" w:hAnsi="Arial" w:cs="Arial"/>
          <w:sz w:val="22"/>
          <w:szCs w:val="22"/>
        </w:rPr>
        <w:t xml:space="preserve"> w</w:t>
      </w:r>
      <w:r w:rsidRPr="00BD17CA">
        <w:rPr>
          <w:rFonts w:ascii="Arial" w:eastAsia="Arial" w:hAnsi="Arial" w:cs="Arial"/>
          <w:sz w:val="22"/>
          <w:szCs w:val="22"/>
        </w:rPr>
        <w:t>h</w:t>
      </w:r>
      <w:r w:rsidRPr="00FD4375">
        <w:rPr>
          <w:rFonts w:ascii="Arial" w:eastAsia="Arial" w:hAnsi="Arial" w:cs="Arial"/>
          <w:sz w:val="22"/>
          <w:szCs w:val="22"/>
        </w:rPr>
        <w:t>il</w:t>
      </w:r>
      <w:r w:rsidRPr="00BD17CA">
        <w:rPr>
          <w:rFonts w:ascii="Arial" w:eastAsia="Arial" w:hAnsi="Arial" w:cs="Arial"/>
          <w:sz w:val="22"/>
          <w:szCs w:val="22"/>
        </w:rPr>
        <w:t>e</w:t>
      </w:r>
      <w:r w:rsidRPr="00FD4375">
        <w:rPr>
          <w:rFonts w:ascii="Arial" w:eastAsia="Arial" w:hAnsi="Arial" w:cs="Arial"/>
          <w:sz w:val="22"/>
          <w:szCs w:val="22"/>
        </w:rPr>
        <w:t xml:space="preserve"> </w:t>
      </w:r>
      <w:proofErr w:type="spellStart"/>
      <w:r w:rsidRPr="00BD17CA">
        <w:rPr>
          <w:rFonts w:ascii="Arial" w:eastAsia="Arial" w:hAnsi="Arial" w:cs="Arial"/>
          <w:sz w:val="22"/>
          <w:szCs w:val="22"/>
        </w:rPr>
        <w:t>o</w:t>
      </w:r>
      <w:r w:rsidRPr="00FD4375">
        <w:rPr>
          <w:rFonts w:ascii="Arial" w:eastAsia="Arial" w:hAnsi="Arial" w:cs="Arial"/>
          <w:sz w:val="22"/>
          <w:szCs w:val="22"/>
        </w:rPr>
        <w:t>ptimisi</w:t>
      </w:r>
      <w:r w:rsidRPr="00BD17CA">
        <w:rPr>
          <w:rFonts w:ascii="Arial" w:eastAsia="Arial" w:hAnsi="Arial" w:cs="Arial"/>
          <w:sz w:val="22"/>
          <w:szCs w:val="22"/>
        </w:rPr>
        <w:t>ng</w:t>
      </w:r>
      <w:proofErr w:type="spellEnd"/>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r</w:t>
      </w:r>
      <w:r w:rsidRPr="00BD17CA">
        <w:rPr>
          <w:rFonts w:ascii="Arial" w:eastAsia="Arial" w:hAnsi="Arial" w:cs="Arial"/>
          <w:sz w:val="22"/>
          <w:szCs w:val="22"/>
        </w:rPr>
        <w:t>et</w:t>
      </w:r>
      <w:r w:rsidRPr="00FD4375">
        <w:rPr>
          <w:rFonts w:ascii="Arial" w:eastAsia="Arial" w:hAnsi="Arial" w:cs="Arial"/>
          <w:sz w:val="22"/>
          <w:szCs w:val="22"/>
        </w:rPr>
        <w:t>ur</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In</w:t>
      </w:r>
      <w:r w:rsidRPr="00FD4375">
        <w:rPr>
          <w:rFonts w:ascii="Arial" w:eastAsia="Arial" w:hAnsi="Arial" w:cs="Arial"/>
          <w:sz w:val="22"/>
          <w:szCs w:val="22"/>
        </w:rPr>
        <w:t xml:space="preserve"> g</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e</w:t>
      </w:r>
      <w:r w:rsidRPr="00FD4375">
        <w:rPr>
          <w:rFonts w:ascii="Arial" w:eastAsia="Arial" w:hAnsi="Arial" w:cs="Arial"/>
          <w:sz w:val="22"/>
          <w:szCs w:val="22"/>
        </w:rPr>
        <w:t>r</w:t>
      </w:r>
      <w:r w:rsidRPr="00BD17CA">
        <w:rPr>
          <w:rFonts w:ascii="Arial" w:eastAsia="Arial" w:hAnsi="Arial" w:cs="Arial"/>
          <w:sz w:val="22"/>
          <w:szCs w:val="22"/>
        </w:rPr>
        <w:t>a</w:t>
      </w:r>
      <w:r w:rsidRPr="00FD4375">
        <w:rPr>
          <w:rFonts w:ascii="Arial" w:eastAsia="Arial" w:hAnsi="Arial" w:cs="Arial"/>
          <w:sz w:val="22"/>
          <w:szCs w:val="22"/>
        </w:rPr>
        <w:t>l</w:t>
      </w:r>
      <w:r w:rsidRPr="00BD17CA">
        <w:rPr>
          <w:rFonts w:ascii="Arial" w:eastAsia="Arial" w:hAnsi="Arial" w:cs="Arial"/>
          <w:sz w:val="22"/>
          <w:szCs w:val="22"/>
        </w:rPr>
        <w:t>, e</w:t>
      </w:r>
      <w:r w:rsidRPr="00FD4375">
        <w:rPr>
          <w:rFonts w:ascii="Arial" w:eastAsia="Arial" w:hAnsi="Arial" w:cs="Arial"/>
          <w:sz w:val="22"/>
          <w:szCs w:val="22"/>
        </w:rPr>
        <w:t>xc</w:t>
      </w:r>
      <w:r w:rsidRPr="00BD17CA">
        <w:rPr>
          <w:rFonts w:ascii="Arial" w:eastAsia="Arial" w:hAnsi="Arial" w:cs="Arial"/>
          <w:sz w:val="22"/>
          <w:szCs w:val="22"/>
        </w:rPr>
        <w:t>e</w:t>
      </w:r>
      <w:r w:rsidRPr="00FD4375">
        <w:rPr>
          <w:rFonts w:ascii="Arial" w:eastAsia="Arial" w:hAnsi="Arial" w:cs="Arial"/>
          <w:sz w:val="22"/>
          <w:szCs w:val="22"/>
        </w:rPr>
        <w:t>ssiv</w:t>
      </w:r>
      <w:r w:rsidRPr="00BD17CA">
        <w:rPr>
          <w:rFonts w:ascii="Arial" w:eastAsia="Arial" w:hAnsi="Arial" w:cs="Arial"/>
          <w:sz w:val="22"/>
          <w:szCs w:val="22"/>
        </w:rPr>
        <w:t>e</w:t>
      </w:r>
      <w:r w:rsidRPr="00FD4375">
        <w:rPr>
          <w:rFonts w:ascii="Arial" w:eastAsia="Arial" w:hAnsi="Arial" w:cs="Arial"/>
          <w:sz w:val="22"/>
          <w:szCs w:val="22"/>
        </w:rPr>
        <w:t xml:space="preserve"> vol</w:t>
      </w:r>
      <w:r w:rsidRPr="00BD17CA">
        <w:rPr>
          <w:rFonts w:ascii="Arial" w:eastAsia="Arial" w:hAnsi="Arial" w:cs="Arial"/>
          <w:sz w:val="22"/>
          <w:szCs w:val="22"/>
        </w:rPr>
        <w:t>a</w:t>
      </w:r>
      <w:r w:rsidRPr="00FD4375">
        <w:rPr>
          <w:rFonts w:ascii="Arial" w:eastAsia="Arial" w:hAnsi="Arial" w:cs="Arial"/>
          <w:sz w:val="22"/>
          <w:szCs w:val="22"/>
        </w:rPr>
        <w:t>tilit</w:t>
      </w:r>
      <w:r w:rsidRPr="00BD17CA">
        <w:rPr>
          <w:rFonts w:ascii="Arial" w:eastAsia="Arial" w:hAnsi="Arial" w:cs="Arial"/>
          <w:sz w:val="22"/>
          <w:szCs w:val="22"/>
        </w:rPr>
        <w:t>y</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rke</w:t>
      </w:r>
      <w:r w:rsidRPr="00BD17CA">
        <w:rPr>
          <w:rFonts w:ascii="Arial" w:eastAsia="Arial" w:hAnsi="Arial" w:cs="Arial"/>
          <w:sz w:val="22"/>
          <w:szCs w:val="22"/>
        </w:rPr>
        <w:t>t</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g</w:t>
      </w:r>
      <w:r w:rsidRPr="00BD17CA">
        <w:rPr>
          <w:rFonts w:ascii="Arial" w:eastAsia="Arial" w:hAnsi="Arial" w:cs="Arial"/>
          <w:sz w:val="22"/>
          <w:szCs w:val="22"/>
        </w:rPr>
        <w:t>ed</w:t>
      </w:r>
      <w:r w:rsidRPr="00FD4375">
        <w:rPr>
          <w:rFonts w:ascii="Arial" w:eastAsia="Arial" w:hAnsi="Arial" w:cs="Arial"/>
          <w:sz w:val="22"/>
          <w:szCs w:val="22"/>
        </w:rPr>
        <w:t xml:space="preserve"> </w:t>
      </w:r>
      <w:r w:rsidRPr="00BD17CA">
        <w:rPr>
          <w:rFonts w:ascii="Arial" w:eastAsia="Arial" w:hAnsi="Arial" w:cs="Arial"/>
          <w:sz w:val="22"/>
          <w:szCs w:val="22"/>
        </w:rPr>
        <w:t>th</w:t>
      </w:r>
      <w:r w:rsidRPr="00FD4375">
        <w:rPr>
          <w:rFonts w:ascii="Arial" w:eastAsia="Arial" w:hAnsi="Arial" w:cs="Arial"/>
          <w:sz w:val="22"/>
          <w:szCs w:val="22"/>
        </w:rPr>
        <w:t>r</w:t>
      </w:r>
      <w:r w:rsidRPr="00BD17CA">
        <w:rPr>
          <w:rFonts w:ascii="Arial" w:eastAsia="Arial" w:hAnsi="Arial" w:cs="Arial"/>
          <w:sz w:val="22"/>
          <w:szCs w:val="22"/>
        </w:rPr>
        <w:t>o</w:t>
      </w:r>
      <w:r w:rsidRPr="00FD4375">
        <w:rPr>
          <w:rFonts w:ascii="Arial" w:eastAsia="Arial" w:hAnsi="Arial" w:cs="Arial"/>
          <w:sz w:val="22"/>
          <w:szCs w:val="22"/>
        </w:rPr>
        <w:t>ug</w:t>
      </w:r>
      <w:r w:rsidRPr="00BD17CA">
        <w:rPr>
          <w:rFonts w:ascii="Arial" w:eastAsia="Arial" w:hAnsi="Arial" w:cs="Arial"/>
          <w:sz w:val="22"/>
          <w:szCs w:val="22"/>
        </w:rPr>
        <w:t>h</w:t>
      </w:r>
      <w:r w:rsidRPr="00FD4375">
        <w:rPr>
          <w:rFonts w:ascii="Arial" w:eastAsia="Arial" w:hAnsi="Arial" w:cs="Arial"/>
          <w:sz w:val="22"/>
          <w:szCs w:val="22"/>
        </w:rPr>
        <w:t xml:space="preserve"> div</w:t>
      </w:r>
      <w:r w:rsidRPr="00BD17CA">
        <w:rPr>
          <w:rFonts w:ascii="Arial" w:eastAsia="Arial" w:hAnsi="Arial" w:cs="Arial"/>
          <w:sz w:val="22"/>
          <w:szCs w:val="22"/>
        </w:rPr>
        <w:t>er</w:t>
      </w:r>
      <w:r w:rsidRPr="00FD4375">
        <w:rPr>
          <w:rFonts w:ascii="Arial" w:eastAsia="Arial" w:hAnsi="Arial" w:cs="Arial"/>
          <w:sz w:val="22"/>
          <w:szCs w:val="22"/>
        </w:rPr>
        <w:t>sific</w:t>
      </w:r>
      <w:r w:rsidRPr="00BD17CA">
        <w:rPr>
          <w:rFonts w:ascii="Arial" w:eastAsia="Arial" w:hAnsi="Arial" w:cs="Arial"/>
          <w:sz w:val="22"/>
          <w:szCs w:val="22"/>
        </w:rPr>
        <w:t>at</w:t>
      </w:r>
      <w:r w:rsidRPr="00FD4375">
        <w:rPr>
          <w:rFonts w:ascii="Arial" w:eastAsia="Arial" w:hAnsi="Arial" w:cs="Arial"/>
          <w:sz w:val="22"/>
          <w:szCs w:val="22"/>
        </w:rPr>
        <w:t>i</w:t>
      </w:r>
      <w:r w:rsidRPr="00BD17CA">
        <w:rPr>
          <w:rFonts w:ascii="Arial" w:eastAsia="Arial" w:hAnsi="Arial" w:cs="Arial"/>
          <w:sz w:val="22"/>
          <w:szCs w:val="22"/>
        </w:rPr>
        <w:t>on</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or</w:t>
      </w:r>
      <w:r w:rsidRPr="00BD17CA">
        <w:rPr>
          <w:rFonts w:ascii="Arial" w:eastAsia="Arial" w:hAnsi="Arial" w:cs="Arial"/>
          <w:sz w:val="22"/>
          <w:szCs w:val="22"/>
        </w:rPr>
        <w:t>t</w:t>
      </w:r>
      <w:r w:rsidRPr="00FD4375">
        <w:rPr>
          <w:rFonts w:ascii="Arial" w:eastAsia="Arial" w:hAnsi="Arial" w:cs="Arial"/>
          <w:sz w:val="22"/>
          <w:szCs w:val="22"/>
        </w:rPr>
        <w:t>f</w:t>
      </w:r>
      <w:r w:rsidRPr="00BD17CA">
        <w:rPr>
          <w:rFonts w:ascii="Arial" w:eastAsia="Arial" w:hAnsi="Arial" w:cs="Arial"/>
          <w:sz w:val="22"/>
          <w:szCs w:val="22"/>
        </w:rPr>
        <w:t>o</w:t>
      </w:r>
      <w:r w:rsidRPr="00FD4375">
        <w:rPr>
          <w:rFonts w:ascii="Arial" w:eastAsia="Arial" w:hAnsi="Arial" w:cs="Arial"/>
          <w:sz w:val="22"/>
          <w:szCs w:val="22"/>
        </w:rPr>
        <w:t>li</w:t>
      </w:r>
      <w:r w:rsidRPr="00BD17CA">
        <w:rPr>
          <w:rFonts w:ascii="Arial" w:eastAsia="Arial" w:hAnsi="Arial" w:cs="Arial"/>
          <w:sz w:val="22"/>
          <w:szCs w:val="22"/>
        </w:rPr>
        <w:t>o</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ter</w:t>
      </w:r>
      <w:r w:rsidRPr="00FD4375">
        <w:rPr>
          <w:rFonts w:ascii="Arial" w:eastAsia="Arial" w:hAnsi="Arial" w:cs="Arial"/>
          <w:sz w:val="22"/>
          <w:szCs w:val="22"/>
        </w:rPr>
        <w:t>m</w:t>
      </w:r>
      <w:r w:rsidRPr="00BD17CA">
        <w:rPr>
          <w:rFonts w:ascii="Arial" w:eastAsia="Arial" w:hAnsi="Arial" w:cs="Arial"/>
          <w:sz w:val="22"/>
          <w:szCs w:val="22"/>
        </w:rPr>
        <w:t>s</w:t>
      </w:r>
      <w:r w:rsidRPr="00FD4375">
        <w:rPr>
          <w:rFonts w:ascii="Arial" w:eastAsia="Arial" w:hAnsi="Arial" w:cs="Arial"/>
          <w:sz w:val="22"/>
          <w:szCs w:val="22"/>
        </w:rPr>
        <w:t xml:space="preserve"> o</w:t>
      </w:r>
      <w:r w:rsidRPr="00BD17CA">
        <w:rPr>
          <w:rFonts w:ascii="Arial" w:eastAsia="Arial" w:hAnsi="Arial" w:cs="Arial"/>
          <w:sz w:val="22"/>
          <w:szCs w:val="22"/>
        </w:rPr>
        <w:t>f</w:t>
      </w:r>
      <w:r w:rsidRPr="00FD4375">
        <w:rPr>
          <w:rFonts w:ascii="Arial" w:eastAsia="Arial" w:hAnsi="Arial" w:cs="Arial"/>
          <w:sz w:val="22"/>
          <w:szCs w:val="22"/>
        </w:rPr>
        <w:t xml:space="preserve"> </w:t>
      </w:r>
      <w:r w:rsidRPr="00BD17CA">
        <w:rPr>
          <w:rFonts w:ascii="Arial" w:eastAsia="Arial" w:hAnsi="Arial" w:cs="Arial"/>
          <w:sz w:val="22"/>
          <w:szCs w:val="22"/>
        </w:rPr>
        <w:t>g</w:t>
      </w:r>
      <w:r w:rsidRPr="00FD4375">
        <w:rPr>
          <w:rFonts w:ascii="Arial" w:eastAsia="Arial" w:hAnsi="Arial" w:cs="Arial"/>
          <w:sz w:val="22"/>
          <w:szCs w:val="22"/>
        </w:rPr>
        <w:t>e</w:t>
      </w:r>
      <w:r w:rsidRPr="00BD17CA">
        <w:rPr>
          <w:rFonts w:ascii="Arial" w:eastAsia="Arial" w:hAnsi="Arial" w:cs="Arial"/>
          <w:sz w:val="22"/>
          <w:szCs w:val="22"/>
        </w:rPr>
        <w:t>o</w:t>
      </w:r>
      <w:r w:rsidRPr="00FD4375">
        <w:rPr>
          <w:rFonts w:ascii="Arial" w:eastAsia="Arial" w:hAnsi="Arial" w:cs="Arial"/>
          <w:sz w:val="22"/>
          <w:szCs w:val="22"/>
        </w:rPr>
        <w:t>gr</w:t>
      </w:r>
      <w:r w:rsidRPr="00BD17CA">
        <w:rPr>
          <w:rFonts w:ascii="Arial" w:eastAsia="Arial" w:hAnsi="Arial" w:cs="Arial"/>
          <w:sz w:val="22"/>
          <w:szCs w:val="22"/>
        </w:rPr>
        <w:t>a</w:t>
      </w:r>
      <w:r w:rsidRPr="00FD4375">
        <w:rPr>
          <w:rFonts w:ascii="Arial" w:eastAsia="Arial" w:hAnsi="Arial" w:cs="Arial"/>
          <w:sz w:val="22"/>
          <w:szCs w:val="22"/>
        </w:rPr>
        <w:t>p</w:t>
      </w:r>
      <w:r w:rsidRPr="00BD17CA">
        <w:rPr>
          <w:rFonts w:ascii="Arial" w:eastAsia="Arial" w:hAnsi="Arial" w:cs="Arial"/>
          <w:sz w:val="22"/>
          <w:szCs w:val="22"/>
        </w:rPr>
        <w:t>h</w:t>
      </w:r>
      <w:r w:rsidRPr="00FD4375">
        <w:rPr>
          <w:rFonts w:ascii="Arial" w:eastAsia="Arial" w:hAnsi="Arial" w:cs="Arial"/>
          <w:sz w:val="22"/>
          <w:szCs w:val="22"/>
        </w:rPr>
        <w:t>ica</w:t>
      </w:r>
      <w:r w:rsidRPr="00BD17CA">
        <w:rPr>
          <w:rFonts w:ascii="Arial" w:eastAsia="Arial" w:hAnsi="Arial" w:cs="Arial"/>
          <w:sz w:val="22"/>
          <w:szCs w:val="22"/>
        </w:rPr>
        <w:t>l</w:t>
      </w:r>
      <w:r w:rsidRPr="00FD4375">
        <w:rPr>
          <w:rFonts w:ascii="Arial" w:eastAsia="Arial" w:hAnsi="Arial" w:cs="Arial"/>
          <w:sz w:val="22"/>
          <w:szCs w:val="22"/>
        </w:rPr>
        <w:t xml:space="preserve"> a</w:t>
      </w:r>
      <w:r w:rsidRPr="00BD17CA">
        <w:rPr>
          <w:rFonts w:ascii="Arial" w:eastAsia="Arial" w:hAnsi="Arial" w:cs="Arial"/>
          <w:sz w:val="22"/>
          <w:szCs w:val="22"/>
        </w:rPr>
        <w:t xml:space="preserve">nd </w:t>
      </w:r>
      <w:r w:rsidRPr="00FD4375">
        <w:rPr>
          <w:rFonts w:ascii="Arial" w:eastAsia="Arial" w:hAnsi="Arial" w:cs="Arial"/>
          <w:sz w:val="22"/>
          <w:szCs w:val="22"/>
        </w:rPr>
        <w:t>i</w:t>
      </w:r>
      <w:r w:rsidRPr="00BD17CA">
        <w:rPr>
          <w:rFonts w:ascii="Arial" w:eastAsia="Arial" w:hAnsi="Arial" w:cs="Arial"/>
          <w:sz w:val="22"/>
          <w:szCs w:val="22"/>
        </w:rPr>
        <w:t>n</w:t>
      </w:r>
      <w:r w:rsidRPr="00FD4375">
        <w:rPr>
          <w:rFonts w:ascii="Arial" w:eastAsia="Arial" w:hAnsi="Arial" w:cs="Arial"/>
          <w:sz w:val="22"/>
          <w:szCs w:val="22"/>
        </w:rPr>
        <w:t>d</w:t>
      </w:r>
      <w:r w:rsidRPr="00BD17CA">
        <w:rPr>
          <w:rFonts w:ascii="Arial" w:eastAsia="Arial" w:hAnsi="Arial" w:cs="Arial"/>
          <w:sz w:val="22"/>
          <w:szCs w:val="22"/>
        </w:rPr>
        <w:t>u</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r</w:t>
      </w:r>
      <w:r w:rsidRPr="00BD17CA">
        <w:rPr>
          <w:rFonts w:ascii="Arial" w:eastAsia="Arial" w:hAnsi="Arial" w:cs="Arial"/>
          <w:sz w:val="22"/>
          <w:szCs w:val="22"/>
        </w:rPr>
        <w:t>y</w:t>
      </w:r>
      <w:r w:rsidRPr="00FD4375">
        <w:rPr>
          <w:rFonts w:ascii="Arial" w:eastAsia="Arial" w:hAnsi="Arial" w:cs="Arial"/>
          <w:sz w:val="22"/>
          <w:szCs w:val="22"/>
        </w:rPr>
        <w:t xml:space="preserve"> s</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tors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in</w:t>
      </w:r>
      <w:r w:rsidRPr="00BD17CA">
        <w:rPr>
          <w:rFonts w:ascii="Arial" w:eastAsia="Arial" w:hAnsi="Arial" w:cs="Arial"/>
          <w:sz w:val="22"/>
          <w:szCs w:val="22"/>
        </w:rPr>
        <w:t>d</w:t>
      </w:r>
      <w:r w:rsidRPr="00FD4375">
        <w:rPr>
          <w:rFonts w:ascii="Arial" w:eastAsia="Arial" w:hAnsi="Arial" w:cs="Arial"/>
          <w:sz w:val="22"/>
          <w:szCs w:val="22"/>
        </w:rPr>
        <w:t>ivid</w:t>
      </w:r>
      <w:r w:rsidRPr="00BD17CA">
        <w:rPr>
          <w:rFonts w:ascii="Arial" w:eastAsia="Arial" w:hAnsi="Arial" w:cs="Arial"/>
          <w:sz w:val="22"/>
          <w:szCs w:val="22"/>
        </w:rPr>
        <w:t>u</w:t>
      </w:r>
      <w:r w:rsidRPr="00FD4375">
        <w:rPr>
          <w:rFonts w:ascii="Arial" w:eastAsia="Arial" w:hAnsi="Arial" w:cs="Arial"/>
          <w:sz w:val="22"/>
          <w:szCs w:val="22"/>
        </w:rPr>
        <w:t>a</w:t>
      </w:r>
      <w:r w:rsidRPr="00BD17CA">
        <w:rPr>
          <w:rFonts w:ascii="Arial" w:eastAsia="Arial" w:hAnsi="Arial" w:cs="Arial"/>
          <w:sz w:val="22"/>
          <w:szCs w:val="22"/>
        </w:rPr>
        <w:t>l</w:t>
      </w:r>
      <w:r w:rsidRPr="00FD4375">
        <w:rPr>
          <w:rFonts w:ascii="Arial" w:eastAsia="Arial" w:hAnsi="Arial" w:cs="Arial"/>
          <w:sz w:val="22"/>
          <w:szCs w:val="22"/>
        </w:rPr>
        <w:t xml:space="preserve"> s</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u</w:t>
      </w:r>
      <w:r w:rsidRPr="00FD4375">
        <w:rPr>
          <w:rFonts w:ascii="Arial" w:eastAsia="Arial" w:hAnsi="Arial" w:cs="Arial"/>
          <w:sz w:val="22"/>
          <w:szCs w:val="22"/>
        </w:rPr>
        <w:t>ri</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o</w:t>
      </w:r>
      <w:r w:rsidRPr="00FD4375">
        <w:rPr>
          <w:rFonts w:ascii="Arial" w:eastAsia="Arial" w:hAnsi="Arial" w:cs="Arial"/>
          <w:sz w:val="22"/>
          <w:szCs w:val="22"/>
        </w:rPr>
        <w:t xml:space="preserve"> mi</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g</w:t>
      </w:r>
      <w:r w:rsidRPr="00FD4375">
        <w:rPr>
          <w:rFonts w:ascii="Arial" w:eastAsia="Arial" w:hAnsi="Arial" w:cs="Arial"/>
          <w:sz w:val="22"/>
          <w:szCs w:val="22"/>
        </w:rPr>
        <w:t>a</w:t>
      </w:r>
      <w:r w:rsidRPr="00BD17CA">
        <w:rPr>
          <w:rFonts w:ascii="Arial" w:eastAsia="Arial" w:hAnsi="Arial" w:cs="Arial"/>
          <w:sz w:val="22"/>
          <w:szCs w:val="22"/>
        </w:rPr>
        <w:t>te</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rk</w:t>
      </w:r>
      <w:r w:rsidRPr="00BD17CA">
        <w:rPr>
          <w:rFonts w:ascii="Arial" w:eastAsia="Arial" w:hAnsi="Arial" w:cs="Arial"/>
          <w:sz w:val="22"/>
          <w:szCs w:val="22"/>
        </w:rPr>
        <w:t>et</w:t>
      </w:r>
      <w:r w:rsidRPr="00FD4375">
        <w:rPr>
          <w:rFonts w:ascii="Arial" w:eastAsia="Arial" w:hAnsi="Arial" w:cs="Arial"/>
          <w:sz w:val="22"/>
          <w:szCs w:val="22"/>
        </w:rPr>
        <w:t xml:space="preserve"> risk</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p</w:t>
      </w:r>
      <w:r w:rsidRPr="00BD17CA">
        <w:rPr>
          <w:rFonts w:ascii="Arial" w:eastAsia="Arial" w:hAnsi="Arial" w:cs="Arial"/>
          <w:sz w:val="22"/>
          <w:szCs w:val="22"/>
        </w:rPr>
        <w:t>e</w:t>
      </w:r>
      <w:r w:rsidRPr="00FD4375">
        <w:rPr>
          <w:rFonts w:ascii="Arial" w:eastAsia="Arial" w:hAnsi="Arial" w:cs="Arial"/>
          <w:sz w:val="22"/>
          <w:szCs w:val="22"/>
        </w:rPr>
        <w:t>nsi</w:t>
      </w:r>
      <w:r w:rsidRPr="00BD17CA">
        <w:rPr>
          <w:rFonts w:ascii="Arial" w:eastAsia="Arial" w:hAnsi="Arial" w:cs="Arial"/>
          <w:sz w:val="22"/>
          <w:szCs w:val="22"/>
        </w:rPr>
        <w:t>on</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a</w:t>
      </w:r>
      <w:r w:rsidRPr="00BD17CA">
        <w:rPr>
          <w:rFonts w:ascii="Arial" w:eastAsia="Arial" w:hAnsi="Arial" w:cs="Arial"/>
          <w:sz w:val="22"/>
          <w:szCs w:val="22"/>
        </w:rPr>
        <w:t>nd</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a</w:t>
      </w:r>
      <w:r w:rsidRPr="00BD17CA">
        <w:rPr>
          <w:rFonts w:ascii="Arial" w:eastAsia="Arial" w:hAnsi="Arial" w:cs="Arial"/>
          <w:sz w:val="22"/>
          <w:szCs w:val="22"/>
        </w:rPr>
        <w:t>d</w:t>
      </w:r>
      <w:r w:rsidRPr="00FD4375">
        <w:rPr>
          <w:rFonts w:ascii="Arial" w:eastAsia="Arial" w:hAnsi="Arial" w:cs="Arial"/>
          <w:sz w:val="22"/>
          <w:szCs w:val="22"/>
        </w:rPr>
        <w:t>visor</w:t>
      </w:r>
      <w:r w:rsidRPr="00BD17CA">
        <w:rPr>
          <w:rFonts w:ascii="Arial" w:eastAsia="Arial" w:hAnsi="Arial" w:cs="Arial"/>
          <w:sz w:val="22"/>
          <w:szCs w:val="22"/>
        </w:rPr>
        <w:t>s 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ert</w:t>
      </w:r>
      <w:r w:rsidRPr="00BD17CA">
        <w:rPr>
          <w:rFonts w:ascii="Arial" w:eastAsia="Arial" w:hAnsi="Arial" w:cs="Arial"/>
          <w:sz w:val="22"/>
          <w:szCs w:val="22"/>
        </w:rPr>
        <w:t>a</w:t>
      </w:r>
      <w:r w:rsidRPr="00FD4375">
        <w:rPr>
          <w:rFonts w:ascii="Arial" w:eastAsia="Arial" w:hAnsi="Arial" w:cs="Arial"/>
          <w:sz w:val="22"/>
          <w:szCs w:val="22"/>
        </w:rPr>
        <w:t>k</w:t>
      </w:r>
      <w:r w:rsidRPr="00BD17CA">
        <w:rPr>
          <w:rFonts w:ascii="Arial" w:eastAsia="Arial" w:hAnsi="Arial" w:cs="Arial"/>
          <w:sz w:val="22"/>
          <w:szCs w:val="22"/>
        </w:rPr>
        <w:t>e</w:t>
      </w:r>
      <w:r w:rsidRPr="00FD4375">
        <w:rPr>
          <w:rFonts w:ascii="Arial" w:eastAsia="Arial" w:hAnsi="Arial" w:cs="Arial"/>
          <w:sz w:val="22"/>
          <w:szCs w:val="22"/>
        </w:rPr>
        <w:t xml:space="preserve"> appropriate m</w:t>
      </w:r>
      <w:r w:rsidRPr="00BD17CA">
        <w:rPr>
          <w:rFonts w:ascii="Arial" w:eastAsia="Arial" w:hAnsi="Arial" w:cs="Arial"/>
          <w:sz w:val="22"/>
          <w:szCs w:val="22"/>
        </w:rPr>
        <w:t>o</w:t>
      </w:r>
      <w:r w:rsidRPr="00FD4375">
        <w:rPr>
          <w:rFonts w:ascii="Arial" w:eastAsia="Arial" w:hAnsi="Arial" w:cs="Arial"/>
          <w:sz w:val="22"/>
          <w:szCs w:val="22"/>
        </w:rPr>
        <w:t>ni</w:t>
      </w:r>
      <w:r w:rsidRPr="00BD17CA">
        <w:rPr>
          <w:rFonts w:ascii="Arial" w:eastAsia="Arial" w:hAnsi="Arial" w:cs="Arial"/>
          <w:sz w:val="22"/>
          <w:szCs w:val="22"/>
        </w:rPr>
        <w:t>t</w:t>
      </w:r>
      <w:r w:rsidRPr="00FD4375">
        <w:rPr>
          <w:rFonts w:ascii="Arial" w:eastAsia="Arial" w:hAnsi="Arial" w:cs="Arial"/>
          <w:sz w:val="22"/>
          <w:szCs w:val="22"/>
        </w:rPr>
        <w:t>ori</w:t>
      </w:r>
      <w:r w:rsidRPr="00BD17CA">
        <w:rPr>
          <w:rFonts w:ascii="Arial" w:eastAsia="Arial" w:hAnsi="Arial" w:cs="Arial"/>
          <w:sz w:val="22"/>
          <w:szCs w:val="22"/>
        </w:rPr>
        <w:t>ng</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rk</w:t>
      </w:r>
      <w:r w:rsidRPr="00BD17CA">
        <w:rPr>
          <w:rFonts w:ascii="Arial" w:eastAsia="Arial" w:hAnsi="Arial" w:cs="Arial"/>
          <w:sz w:val="22"/>
          <w:szCs w:val="22"/>
        </w:rPr>
        <w:t>et</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i</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b</w:t>
      </w:r>
      <w:r w:rsidRPr="00BD17CA">
        <w:rPr>
          <w:rFonts w:ascii="Arial" w:eastAsia="Arial" w:hAnsi="Arial" w:cs="Arial"/>
          <w:sz w:val="22"/>
          <w:szCs w:val="22"/>
        </w:rPr>
        <w:t>e</w:t>
      </w:r>
      <w:r w:rsidRPr="00FD4375">
        <w:rPr>
          <w:rFonts w:ascii="Arial" w:eastAsia="Arial" w:hAnsi="Arial" w:cs="Arial"/>
          <w:sz w:val="22"/>
          <w:szCs w:val="22"/>
        </w:rPr>
        <w:t>nc</w:t>
      </w:r>
      <w:r w:rsidRPr="00BD17CA">
        <w:rPr>
          <w:rFonts w:ascii="Arial" w:eastAsia="Arial" w:hAnsi="Arial" w:cs="Arial"/>
          <w:sz w:val="22"/>
          <w:szCs w:val="22"/>
        </w:rPr>
        <w:t>h</w:t>
      </w:r>
      <w:r w:rsidRPr="00FD4375">
        <w:rPr>
          <w:rFonts w:ascii="Arial" w:eastAsia="Arial" w:hAnsi="Arial" w:cs="Arial"/>
          <w:sz w:val="22"/>
          <w:szCs w:val="22"/>
        </w:rPr>
        <w:t>m</w:t>
      </w:r>
      <w:r w:rsidRPr="00BD17CA">
        <w:rPr>
          <w:rFonts w:ascii="Arial" w:eastAsia="Arial" w:hAnsi="Arial" w:cs="Arial"/>
          <w:sz w:val="22"/>
          <w:szCs w:val="22"/>
        </w:rPr>
        <w:t>a</w:t>
      </w:r>
      <w:r w:rsidRPr="00FD4375">
        <w:rPr>
          <w:rFonts w:ascii="Arial" w:eastAsia="Arial" w:hAnsi="Arial" w:cs="Arial"/>
          <w:sz w:val="22"/>
          <w:szCs w:val="22"/>
        </w:rPr>
        <w:t>r</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lysis</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g</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y</w:t>
      </w:r>
      <w:r w:rsidRPr="00FD4375">
        <w:rPr>
          <w:rFonts w:ascii="Arial" w:eastAsia="Arial" w:hAnsi="Arial" w:cs="Arial"/>
          <w:sz w:val="22"/>
          <w:szCs w:val="22"/>
        </w:rPr>
        <w:t xml:space="preserve"> i</w:t>
      </w:r>
      <w:r w:rsidRPr="00BD17CA">
        <w:rPr>
          <w:rFonts w:ascii="Arial" w:eastAsia="Arial" w:hAnsi="Arial" w:cs="Arial"/>
          <w:sz w:val="22"/>
          <w:szCs w:val="22"/>
        </w:rPr>
        <w:t>d</w:t>
      </w:r>
      <w:r w:rsidRPr="00FD4375">
        <w:rPr>
          <w:rFonts w:ascii="Arial" w:eastAsia="Arial" w:hAnsi="Arial" w:cs="Arial"/>
          <w:sz w:val="22"/>
          <w:szCs w:val="22"/>
        </w:rPr>
        <w:t>en</w:t>
      </w:r>
      <w:r w:rsidRPr="00BD17CA">
        <w:rPr>
          <w:rFonts w:ascii="Arial" w:eastAsia="Arial" w:hAnsi="Arial" w:cs="Arial"/>
          <w:sz w:val="22"/>
          <w:szCs w:val="22"/>
        </w:rPr>
        <w:t>t</w:t>
      </w:r>
      <w:r w:rsidRPr="00FD4375">
        <w:rPr>
          <w:rFonts w:ascii="Arial" w:eastAsia="Arial" w:hAnsi="Arial" w:cs="Arial"/>
          <w:sz w:val="22"/>
          <w:szCs w:val="22"/>
        </w:rPr>
        <w:t>ifi</w:t>
      </w:r>
      <w:r w:rsidRPr="00BD17CA">
        <w:rPr>
          <w:rFonts w:ascii="Arial" w:eastAsia="Arial" w:hAnsi="Arial" w:cs="Arial"/>
          <w:sz w:val="22"/>
          <w:szCs w:val="22"/>
        </w:rPr>
        <w:t>ed</w:t>
      </w:r>
      <w:r w:rsidRPr="00FD4375">
        <w:rPr>
          <w:rFonts w:ascii="Arial" w:eastAsia="Arial" w:hAnsi="Arial" w:cs="Arial"/>
          <w:sz w:val="22"/>
          <w:szCs w:val="22"/>
        </w:rPr>
        <w:t xml:space="preserve"> risk</w:t>
      </w:r>
      <w:r w:rsidRPr="00BD17CA">
        <w:rPr>
          <w:rFonts w:ascii="Arial" w:eastAsia="Arial" w:hAnsi="Arial" w:cs="Arial"/>
          <w:sz w:val="22"/>
          <w:szCs w:val="22"/>
        </w:rPr>
        <w:t xml:space="preserve">s </w:t>
      </w:r>
      <w:r w:rsidRPr="00FD4375">
        <w:rPr>
          <w:rFonts w:ascii="Arial" w:eastAsia="Arial" w:hAnsi="Arial" w:cs="Arial"/>
          <w:sz w:val="22"/>
          <w:szCs w:val="22"/>
        </w:rPr>
        <w:t>i</w:t>
      </w:r>
      <w:r w:rsidRPr="00BD17CA">
        <w:rPr>
          <w:rFonts w:ascii="Arial" w:eastAsia="Arial" w:hAnsi="Arial" w:cs="Arial"/>
          <w:sz w:val="22"/>
          <w:szCs w:val="22"/>
        </w:rPr>
        <w:t>n</w:t>
      </w:r>
      <w:r w:rsidRPr="00FD4375">
        <w:rPr>
          <w:rFonts w:ascii="Arial" w:eastAsia="Arial" w:hAnsi="Arial" w:cs="Arial"/>
          <w:sz w:val="22"/>
          <w:szCs w:val="22"/>
        </w:rPr>
        <w:t xml:space="preserve"> t</w:t>
      </w:r>
      <w:r w:rsidRPr="00BD17CA">
        <w:rPr>
          <w:rFonts w:ascii="Arial" w:eastAsia="Arial" w:hAnsi="Arial" w:cs="Arial"/>
          <w:sz w:val="22"/>
          <w:szCs w:val="22"/>
        </w:rPr>
        <w:t>wo</w:t>
      </w:r>
      <w:r w:rsidRPr="00FD4375">
        <w:rPr>
          <w:rFonts w:ascii="Arial" w:eastAsia="Arial" w:hAnsi="Arial" w:cs="Arial"/>
          <w:sz w:val="22"/>
          <w:szCs w:val="22"/>
        </w:rPr>
        <w:t xml:space="preserve"> ways</w:t>
      </w:r>
      <w:r w:rsidRPr="00BD17CA">
        <w:rPr>
          <w:rFonts w:ascii="Arial" w:eastAsia="Arial" w:hAnsi="Arial" w:cs="Arial"/>
          <w:sz w:val="22"/>
          <w:szCs w:val="22"/>
        </w:rPr>
        <w:t>:</w:t>
      </w:r>
    </w:p>
    <w:p w14:paraId="04238351" w14:textId="2CE2E63C" w:rsidR="009C7422" w:rsidRPr="00FD4375" w:rsidRDefault="001706EB" w:rsidP="00FD4375">
      <w:pPr>
        <w:pStyle w:val="ListParagraph"/>
        <w:numPr>
          <w:ilvl w:val="0"/>
          <w:numId w:val="9"/>
        </w:numPr>
        <w:spacing w:after="200" w:line="276" w:lineRule="auto"/>
        <w:ind w:left="567" w:right="74" w:hanging="567"/>
        <w:jc w:val="both"/>
        <w:rPr>
          <w:rFonts w:ascii="Arial" w:eastAsia="Arial" w:hAnsi="Arial" w:cs="Arial"/>
          <w:sz w:val="22"/>
          <w:szCs w:val="22"/>
        </w:rPr>
      </w:pPr>
      <w:r w:rsidRPr="00FD4375">
        <w:rPr>
          <w:rFonts w:ascii="Arial" w:eastAsia="Arial" w:hAnsi="Arial" w:cs="Arial"/>
          <w:sz w:val="22"/>
          <w:szCs w:val="22"/>
        </w:rPr>
        <w:t>the exposure of the fund to market risk is monitored through a factor risk analysis, to ensure that risk remains within tolerable levels.</w:t>
      </w:r>
    </w:p>
    <w:p w14:paraId="61717A1D" w14:textId="6D4F1C78" w:rsidR="009C7422" w:rsidRPr="00FD4375" w:rsidRDefault="001706EB" w:rsidP="00FD4375">
      <w:pPr>
        <w:pStyle w:val="ListParagraph"/>
        <w:numPr>
          <w:ilvl w:val="0"/>
          <w:numId w:val="9"/>
        </w:numPr>
        <w:spacing w:after="200" w:line="276" w:lineRule="auto"/>
        <w:ind w:left="567" w:right="74" w:hanging="567"/>
        <w:jc w:val="both"/>
        <w:rPr>
          <w:rFonts w:ascii="Arial" w:eastAsia="Arial" w:hAnsi="Arial" w:cs="Arial"/>
          <w:sz w:val="22"/>
          <w:szCs w:val="22"/>
        </w:rPr>
      </w:pPr>
      <w:r w:rsidRPr="00FD4375">
        <w:rPr>
          <w:rFonts w:ascii="Arial" w:eastAsia="Arial" w:hAnsi="Arial" w:cs="Arial"/>
          <w:sz w:val="22"/>
          <w:szCs w:val="22"/>
        </w:rPr>
        <w:t>specific risk exposure is limited by applying risk weighted maximum exposures to individual investments.</w:t>
      </w:r>
    </w:p>
    <w:p w14:paraId="61F01A6F" w14:textId="77777777" w:rsidR="009C7422" w:rsidRPr="00FD4375" w:rsidRDefault="001706EB" w:rsidP="00FD4375">
      <w:pPr>
        <w:spacing w:after="200" w:line="276" w:lineRule="auto"/>
        <w:ind w:right="74"/>
        <w:jc w:val="both"/>
        <w:rPr>
          <w:rFonts w:ascii="Arial" w:eastAsia="Arial" w:hAnsi="Arial" w:cs="Arial"/>
          <w:b/>
          <w:bCs/>
          <w:sz w:val="22"/>
          <w:szCs w:val="22"/>
        </w:rPr>
      </w:pPr>
      <w:proofErr w:type="gramStart"/>
      <w:r w:rsidRPr="00FD4375">
        <w:rPr>
          <w:rFonts w:ascii="Arial" w:eastAsia="Arial" w:hAnsi="Arial" w:cs="Arial"/>
          <w:b/>
          <w:bCs/>
          <w:sz w:val="22"/>
          <w:szCs w:val="22"/>
        </w:rPr>
        <w:t>Other</w:t>
      </w:r>
      <w:proofErr w:type="gramEnd"/>
      <w:r w:rsidRPr="00FD4375">
        <w:rPr>
          <w:rFonts w:ascii="Arial" w:eastAsia="Arial" w:hAnsi="Arial" w:cs="Arial"/>
          <w:b/>
          <w:bCs/>
          <w:sz w:val="22"/>
          <w:szCs w:val="22"/>
        </w:rPr>
        <w:t xml:space="preserve"> price risk</w:t>
      </w:r>
    </w:p>
    <w:p w14:paraId="5332F19C" w14:textId="77777777" w:rsidR="009C7422" w:rsidRPr="00BD17CA" w:rsidRDefault="001706EB" w:rsidP="00FD4375">
      <w:pPr>
        <w:spacing w:after="200" w:line="276" w:lineRule="auto"/>
        <w:ind w:right="74"/>
        <w:jc w:val="both"/>
        <w:rPr>
          <w:rFonts w:ascii="Arial" w:eastAsia="Arial" w:hAnsi="Arial" w:cs="Arial"/>
          <w:sz w:val="22"/>
          <w:szCs w:val="22"/>
        </w:rPr>
      </w:pPr>
      <w:r w:rsidRPr="00FD4375">
        <w:rPr>
          <w:rFonts w:ascii="Arial" w:eastAsia="Arial" w:hAnsi="Arial" w:cs="Arial"/>
          <w:sz w:val="22"/>
          <w:szCs w:val="22"/>
        </w:rPr>
        <w:t>O</w:t>
      </w:r>
      <w:r w:rsidRPr="00BD17CA">
        <w:rPr>
          <w:rFonts w:ascii="Arial" w:eastAsia="Arial" w:hAnsi="Arial" w:cs="Arial"/>
          <w:sz w:val="22"/>
          <w:szCs w:val="22"/>
        </w:rPr>
        <w:t>th</w:t>
      </w:r>
      <w:r w:rsidRPr="00FD4375">
        <w:rPr>
          <w:rFonts w:ascii="Arial" w:eastAsia="Arial" w:hAnsi="Arial" w:cs="Arial"/>
          <w:sz w:val="22"/>
          <w:szCs w:val="22"/>
        </w:rPr>
        <w:t>e</w:t>
      </w:r>
      <w:r w:rsidRPr="00BD17CA">
        <w:rPr>
          <w:rFonts w:ascii="Arial" w:eastAsia="Arial" w:hAnsi="Arial" w:cs="Arial"/>
          <w:sz w:val="22"/>
          <w:szCs w:val="22"/>
        </w:rPr>
        <w:t>r</w:t>
      </w:r>
      <w:r w:rsidRPr="00FD4375">
        <w:rPr>
          <w:rFonts w:ascii="Arial" w:eastAsia="Arial" w:hAnsi="Arial" w:cs="Arial"/>
          <w:sz w:val="22"/>
          <w:szCs w:val="22"/>
        </w:rPr>
        <w:t xml:space="preserve"> </w:t>
      </w:r>
      <w:r w:rsidRPr="00BD17CA">
        <w:rPr>
          <w:rFonts w:ascii="Arial" w:eastAsia="Arial" w:hAnsi="Arial" w:cs="Arial"/>
          <w:sz w:val="22"/>
          <w:szCs w:val="22"/>
        </w:rPr>
        <w:t>pr</w:t>
      </w:r>
      <w:r w:rsidRPr="00FD4375">
        <w:rPr>
          <w:rFonts w:ascii="Arial" w:eastAsia="Arial" w:hAnsi="Arial" w:cs="Arial"/>
          <w:sz w:val="22"/>
          <w:szCs w:val="22"/>
        </w:rPr>
        <w:t>ic</w:t>
      </w:r>
      <w:r w:rsidRPr="00BD17CA">
        <w:rPr>
          <w:rFonts w:ascii="Arial" w:eastAsia="Arial" w:hAnsi="Arial" w:cs="Arial"/>
          <w:sz w:val="22"/>
          <w:szCs w:val="22"/>
        </w:rPr>
        <w:t>e</w:t>
      </w:r>
      <w:r w:rsidRPr="00FD4375">
        <w:rPr>
          <w:rFonts w:ascii="Arial" w:eastAsia="Arial" w:hAnsi="Arial" w:cs="Arial"/>
          <w:sz w:val="22"/>
          <w:szCs w:val="22"/>
        </w:rPr>
        <w:t xml:space="preserve"> ris</w:t>
      </w:r>
      <w:r w:rsidRPr="00BD17CA">
        <w:rPr>
          <w:rFonts w:ascii="Arial" w:eastAsia="Arial" w:hAnsi="Arial" w:cs="Arial"/>
          <w:sz w:val="22"/>
          <w:szCs w:val="22"/>
        </w:rPr>
        <w:t>k re</w:t>
      </w:r>
      <w:r w:rsidRPr="00FD4375">
        <w:rPr>
          <w:rFonts w:ascii="Arial" w:eastAsia="Arial" w:hAnsi="Arial" w:cs="Arial"/>
          <w:sz w:val="22"/>
          <w:szCs w:val="22"/>
        </w:rPr>
        <w:t>pr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r</w:t>
      </w:r>
      <w:r w:rsidRPr="00FD4375">
        <w:rPr>
          <w:rFonts w:ascii="Arial" w:eastAsia="Arial" w:hAnsi="Arial" w:cs="Arial"/>
          <w:sz w:val="22"/>
          <w:szCs w:val="22"/>
        </w:rPr>
        <w:t>is</w:t>
      </w:r>
      <w:r w:rsidRPr="00BD17CA">
        <w:rPr>
          <w:rFonts w:ascii="Arial" w:eastAsia="Arial" w:hAnsi="Arial" w:cs="Arial"/>
          <w:sz w:val="22"/>
          <w:szCs w:val="22"/>
        </w:rPr>
        <w:t>k t</w:t>
      </w:r>
      <w:r w:rsidRPr="00FD4375">
        <w:rPr>
          <w:rFonts w:ascii="Arial" w:eastAsia="Arial" w:hAnsi="Arial" w:cs="Arial"/>
          <w:sz w:val="22"/>
          <w:szCs w:val="22"/>
        </w:rPr>
        <w:t>h</w:t>
      </w:r>
      <w:r w:rsidRPr="00BD17CA">
        <w:rPr>
          <w:rFonts w:ascii="Arial" w:eastAsia="Arial" w:hAnsi="Arial" w:cs="Arial"/>
          <w:sz w:val="22"/>
          <w:szCs w:val="22"/>
        </w:rPr>
        <w:t>at</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v</w:t>
      </w:r>
      <w:r w:rsidRPr="00BD17CA">
        <w:rPr>
          <w:rFonts w:ascii="Arial" w:eastAsia="Arial" w:hAnsi="Arial" w:cs="Arial"/>
          <w:sz w:val="22"/>
          <w:szCs w:val="22"/>
        </w:rPr>
        <w:t>a</w:t>
      </w:r>
      <w:r w:rsidRPr="00FD4375">
        <w:rPr>
          <w:rFonts w:ascii="Arial" w:eastAsia="Arial" w:hAnsi="Arial" w:cs="Arial"/>
          <w:sz w:val="22"/>
          <w:szCs w:val="22"/>
        </w:rPr>
        <w:t>l</w:t>
      </w:r>
      <w:r w:rsidRPr="00BD17CA">
        <w:rPr>
          <w:rFonts w:ascii="Arial" w:eastAsia="Arial" w:hAnsi="Arial" w:cs="Arial"/>
          <w:sz w:val="22"/>
          <w:szCs w:val="22"/>
        </w:rPr>
        <w:t>ue</w:t>
      </w:r>
      <w:r w:rsidRPr="00FD4375">
        <w:rPr>
          <w:rFonts w:ascii="Arial" w:eastAsia="Arial" w:hAnsi="Arial" w:cs="Arial"/>
          <w:sz w:val="22"/>
          <w:szCs w:val="22"/>
        </w:rPr>
        <w:t xml:space="preserve"> </w:t>
      </w:r>
      <w:r w:rsidRPr="00BD17CA">
        <w:rPr>
          <w:rFonts w:ascii="Arial" w:eastAsia="Arial" w:hAnsi="Arial" w:cs="Arial"/>
          <w:sz w:val="22"/>
          <w:szCs w:val="22"/>
        </w:rPr>
        <w:t>of a</w:t>
      </w:r>
      <w:r w:rsidRPr="00FD4375">
        <w:rPr>
          <w:rFonts w:ascii="Arial" w:eastAsia="Arial" w:hAnsi="Arial" w:cs="Arial"/>
          <w:sz w:val="22"/>
          <w:szCs w:val="22"/>
        </w:rPr>
        <w:t xml:space="preserve"> fi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ci</w:t>
      </w:r>
      <w:r w:rsidRPr="00BD17CA">
        <w:rPr>
          <w:rFonts w:ascii="Arial" w:eastAsia="Arial" w:hAnsi="Arial" w:cs="Arial"/>
          <w:sz w:val="22"/>
          <w:szCs w:val="22"/>
        </w:rPr>
        <w:t>al</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tru</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wil</w:t>
      </w:r>
      <w:r w:rsidRPr="00BD17CA">
        <w:rPr>
          <w:rFonts w:ascii="Arial" w:eastAsia="Arial" w:hAnsi="Arial" w:cs="Arial"/>
          <w:sz w:val="22"/>
          <w:szCs w:val="22"/>
        </w:rPr>
        <w:t>l</w:t>
      </w:r>
      <w:r w:rsidRPr="00FD4375">
        <w:rPr>
          <w:rFonts w:ascii="Arial" w:eastAsia="Arial" w:hAnsi="Arial" w:cs="Arial"/>
          <w:sz w:val="22"/>
          <w:szCs w:val="22"/>
        </w:rPr>
        <w:t xml:space="preserve"> fl</w:t>
      </w:r>
      <w:r w:rsidRPr="00BD17CA">
        <w:rPr>
          <w:rFonts w:ascii="Arial" w:eastAsia="Arial" w:hAnsi="Arial" w:cs="Arial"/>
          <w:sz w:val="22"/>
          <w:szCs w:val="22"/>
        </w:rPr>
        <w:t>u</w:t>
      </w:r>
      <w:r w:rsidRPr="00FD4375">
        <w:rPr>
          <w:rFonts w:ascii="Arial" w:eastAsia="Arial" w:hAnsi="Arial" w:cs="Arial"/>
          <w:sz w:val="22"/>
          <w:szCs w:val="22"/>
        </w:rPr>
        <w:t>ct</w:t>
      </w:r>
      <w:r w:rsidRPr="00BD17CA">
        <w:rPr>
          <w:rFonts w:ascii="Arial" w:eastAsia="Arial" w:hAnsi="Arial" w:cs="Arial"/>
          <w:sz w:val="22"/>
          <w:szCs w:val="22"/>
        </w:rPr>
        <w:t>u</w:t>
      </w:r>
      <w:r w:rsidRPr="00FD4375">
        <w:rPr>
          <w:rFonts w:ascii="Arial" w:eastAsia="Arial" w:hAnsi="Arial" w:cs="Arial"/>
          <w:sz w:val="22"/>
          <w:szCs w:val="22"/>
        </w:rPr>
        <w:t>a</w:t>
      </w:r>
      <w:r w:rsidRPr="00BD17CA">
        <w:rPr>
          <w:rFonts w:ascii="Arial" w:eastAsia="Arial" w:hAnsi="Arial" w:cs="Arial"/>
          <w:sz w:val="22"/>
          <w:szCs w:val="22"/>
        </w:rPr>
        <w:t>te</w:t>
      </w:r>
      <w:r w:rsidRPr="00FD4375">
        <w:rPr>
          <w:rFonts w:ascii="Arial" w:eastAsia="Arial" w:hAnsi="Arial" w:cs="Arial"/>
          <w:sz w:val="22"/>
          <w:szCs w:val="22"/>
        </w:rPr>
        <w:t xml:space="preserve"> </w:t>
      </w:r>
      <w:r w:rsidRPr="00BD17CA">
        <w:rPr>
          <w:rFonts w:ascii="Arial" w:eastAsia="Arial" w:hAnsi="Arial" w:cs="Arial"/>
          <w:sz w:val="22"/>
          <w:szCs w:val="22"/>
        </w:rPr>
        <w:t>as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sul</w:t>
      </w:r>
      <w:r w:rsidRPr="00BD17CA">
        <w:rPr>
          <w:rFonts w:ascii="Arial" w:eastAsia="Arial" w:hAnsi="Arial" w:cs="Arial"/>
          <w:sz w:val="22"/>
          <w:szCs w:val="22"/>
        </w:rPr>
        <w:t>t</w:t>
      </w:r>
      <w:r w:rsidRPr="00FD4375">
        <w:rPr>
          <w:rFonts w:ascii="Arial" w:eastAsia="Arial" w:hAnsi="Arial" w:cs="Arial"/>
          <w:sz w:val="22"/>
          <w:szCs w:val="22"/>
        </w:rPr>
        <w:t xml:space="preserve"> o</w:t>
      </w:r>
      <w:r w:rsidRPr="00BD17CA">
        <w:rPr>
          <w:rFonts w:ascii="Arial" w:eastAsia="Arial" w:hAnsi="Arial" w:cs="Arial"/>
          <w:sz w:val="22"/>
          <w:szCs w:val="22"/>
        </w:rPr>
        <w:t xml:space="preserve">f </w:t>
      </w:r>
      <w:r w:rsidRPr="00FD4375">
        <w:rPr>
          <w:rFonts w:ascii="Arial" w:eastAsia="Arial" w:hAnsi="Arial" w:cs="Arial"/>
          <w:sz w:val="22"/>
          <w:szCs w:val="22"/>
        </w:rPr>
        <w:t>changes in</w:t>
      </w:r>
      <w:r w:rsidRPr="00BD17CA">
        <w:rPr>
          <w:rFonts w:ascii="Arial" w:eastAsia="Arial" w:hAnsi="Arial" w:cs="Arial"/>
          <w:sz w:val="22"/>
          <w:szCs w:val="22"/>
        </w:rPr>
        <w:t xml:space="preserve"> </w:t>
      </w:r>
      <w:r w:rsidRPr="00FD4375">
        <w:rPr>
          <w:rFonts w:ascii="Arial" w:eastAsia="Arial" w:hAnsi="Arial" w:cs="Arial"/>
          <w:sz w:val="22"/>
          <w:szCs w:val="22"/>
        </w:rPr>
        <w:t>m</w:t>
      </w:r>
      <w:r w:rsidRPr="00BD17CA">
        <w:rPr>
          <w:rFonts w:ascii="Arial" w:eastAsia="Arial" w:hAnsi="Arial" w:cs="Arial"/>
          <w:sz w:val="22"/>
          <w:szCs w:val="22"/>
        </w:rPr>
        <w:t>a</w:t>
      </w:r>
      <w:r w:rsidRPr="00FD4375">
        <w:rPr>
          <w:rFonts w:ascii="Arial" w:eastAsia="Arial" w:hAnsi="Arial" w:cs="Arial"/>
          <w:sz w:val="22"/>
          <w:szCs w:val="22"/>
        </w:rPr>
        <w:t>rk</w:t>
      </w:r>
      <w:r w:rsidRPr="00BD17CA">
        <w:rPr>
          <w:rFonts w:ascii="Arial" w:eastAsia="Arial" w:hAnsi="Arial" w:cs="Arial"/>
          <w:sz w:val="22"/>
          <w:szCs w:val="22"/>
        </w:rPr>
        <w:t>et</w:t>
      </w:r>
      <w:r w:rsidRPr="00FD4375">
        <w:rPr>
          <w:rFonts w:ascii="Arial" w:eastAsia="Arial" w:hAnsi="Arial" w:cs="Arial"/>
          <w:sz w:val="22"/>
          <w:szCs w:val="22"/>
        </w:rPr>
        <w:t xml:space="preserve"> </w:t>
      </w:r>
      <w:r w:rsidRPr="00BD17CA">
        <w:rPr>
          <w:rFonts w:ascii="Arial" w:eastAsia="Arial" w:hAnsi="Arial" w:cs="Arial"/>
          <w:sz w:val="22"/>
          <w:szCs w:val="22"/>
        </w:rPr>
        <w:t>prices</w:t>
      </w:r>
      <w:r w:rsidRPr="00FD4375">
        <w:rPr>
          <w:rFonts w:ascii="Arial" w:eastAsia="Arial" w:hAnsi="Arial" w:cs="Arial"/>
          <w:sz w:val="22"/>
          <w:szCs w:val="22"/>
        </w:rPr>
        <w:t xml:space="preserve"> </w:t>
      </w:r>
      <w:r w:rsidRPr="00BD17CA">
        <w:rPr>
          <w:rFonts w:ascii="Arial" w:eastAsia="Arial" w:hAnsi="Arial" w:cs="Arial"/>
          <w:sz w:val="22"/>
          <w:szCs w:val="22"/>
        </w:rPr>
        <w:t>(ot</w:t>
      </w:r>
      <w:r w:rsidRPr="00FD4375">
        <w:rPr>
          <w:rFonts w:ascii="Arial" w:eastAsia="Arial" w:hAnsi="Arial" w:cs="Arial"/>
          <w:sz w:val="22"/>
          <w:szCs w:val="22"/>
        </w:rPr>
        <w:t>h</w:t>
      </w:r>
      <w:r w:rsidRPr="00BD17CA">
        <w:rPr>
          <w:rFonts w:ascii="Arial" w:eastAsia="Arial" w:hAnsi="Arial" w:cs="Arial"/>
          <w:sz w:val="22"/>
          <w:szCs w:val="22"/>
        </w:rPr>
        <w:t>er</w:t>
      </w:r>
      <w:r w:rsidRPr="00FD4375">
        <w:rPr>
          <w:rFonts w:ascii="Arial" w:eastAsia="Arial" w:hAnsi="Arial" w:cs="Arial"/>
          <w:sz w:val="22"/>
          <w:szCs w:val="22"/>
        </w:rPr>
        <w:t xml:space="preserve"> t</w:t>
      </w:r>
      <w:r w:rsidRPr="00BD17CA">
        <w:rPr>
          <w:rFonts w:ascii="Arial" w:eastAsia="Arial" w:hAnsi="Arial" w:cs="Arial"/>
          <w:sz w:val="22"/>
          <w:szCs w:val="22"/>
        </w:rPr>
        <w:t>h</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o</w:t>
      </w:r>
      <w:r w:rsidRPr="00FD4375">
        <w:rPr>
          <w:rFonts w:ascii="Arial" w:eastAsia="Arial" w:hAnsi="Arial" w:cs="Arial"/>
          <w:sz w:val="22"/>
          <w:szCs w:val="22"/>
        </w:rPr>
        <w:t>s</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aris</w:t>
      </w:r>
      <w:r w:rsidRPr="00FD4375">
        <w:rPr>
          <w:rFonts w:ascii="Arial" w:eastAsia="Arial" w:hAnsi="Arial" w:cs="Arial"/>
          <w:sz w:val="22"/>
          <w:szCs w:val="22"/>
        </w:rPr>
        <w:t>in</w:t>
      </w:r>
      <w:r w:rsidRPr="00BD17CA">
        <w:rPr>
          <w:rFonts w:ascii="Arial" w:eastAsia="Arial" w:hAnsi="Arial" w:cs="Arial"/>
          <w:sz w:val="22"/>
          <w:szCs w:val="22"/>
        </w:rPr>
        <w:t>g</w:t>
      </w:r>
      <w:r w:rsidRPr="00FD4375">
        <w:rPr>
          <w:rFonts w:ascii="Arial" w:eastAsia="Arial" w:hAnsi="Arial" w:cs="Arial"/>
          <w:sz w:val="22"/>
          <w:szCs w:val="22"/>
        </w:rPr>
        <w:t xml:space="preserve"> fr</w:t>
      </w:r>
      <w:r w:rsidRPr="00BD17CA">
        <w:rPr>
          <w:rFonts w:ascii="Arial" w:eastAsia="Arial" w:hAnsi="Arial" w:cs="Arial"/>
          <w:sz w:val="22"/>
          <w:szCs w:val="22"/>
        </w:rPr>
        <w:t xml:space="preserve">om </w:t>
      </w:r>
      <w:r w:rsidRPr="00FD4375">
        <w:rPr>
          <w:rFonts w:ascii="Arial" w:eastAsia="Arial" w:hAnsi="Arial" w:cs="Arial"/>
          <w:sz w:val="22"/>
          <w:szCs w:val="22"/>
        </w:rPr>
        <w:t>i</w:t>
      </w:r>
      <w:r w:rsidRPr="00BD17CA">
        <w:rPr>
          <w:rFonts w:ascii="Arial" w:eastAsia="Arial" w:hAnsi="Arial" w:cs="Arial"/>
          <w:sz w:val="22"/>
          <w:szCs w:val="22"/>
        </w:rPr>
        <w:t>nt</w:t>
      </w:r>
      <w:r w:rsidRPr="00FD4375">
        <w:rPr>
          <w:rFonts w:ascii="Arial" w:eastAsia="Arial" w:hAnsi="Arial" w:cs="Arial"/>
          <w:sz w:val="22"/>
          <w:szCs w:val="22"/>
        </w:rPr>
        <w:t>er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rate</w:t>
      </w:r>
      <w:r w:rsidRPr="00FD4375">
        <w:rPr>
          <w:rFonts w:ascii="Arial" w:eastAsia="Arial" w:hAnsi="Arial" w:cs="Arial"/>
          <w:sz w:val="22"/>
          <w:szCs w:val="22"/>
        </w:rPr>
        <w:t xml:space="preserve"> </w:t>
      </w:r>
      <w:r w:rsidRPr="00BD17CA">
        <w:rPr>
          <w:rFonts w:ascii="Arial" w:eastAsia="Arial" w:hAnsi="Arial" w:cs="Arial"/>
          <w:sz w:val="22"/>
          <w:szCs w:val="22"/>
        </w:rPr>
        <w:t>r</w:t>
      </w:r>
      <w:r w:rsidRPr="00FD4375">
        <w:rPr>
          <w:rFonts w:ascii="Arial" w:eastAsia="Arial" w:hAnsi="Arial" w:cs="Arial"/>
          <w:sz w:val="22"/>
          <w:szCs w:val="22"/>
        </w:rPr>
        <w:t>is</w:t>
      </w:r>
      <w:r w:rsidRPr="00BD17CA">
        <w:rPr>
          <w:rFonts w:ascii="Arial" w:eastAsia="Arial" w:hAnsi="Arial" w:cs="Arial"/>
          <w:sz w:val="22"/>
          <w:szCs w:val="22"/>
        </w:rPr>
        <w:t>k or</w:t>
      </w:r>
      <w:r w:rsidRPr="00FD4375">
        <w:rPr>
          <w:rFonts w:ascii="Arial" w:eastAsia="Arial" w:hAnsi="Arial" w:cs="Arial"/>
          <w:sz w:val="22"/>
          <w:szCs w:val="22"/>
        </w:rPr>
        <w:t xml:space="preserve"> f</w:t>
      </w:r>
      <w:r w:rsidRPr="00BD17CA">
        <w:rPr>
          <w:rFonts w:ascii="Arial" w:eastAsia="Arial" w:hAnsi="Arial" w:cs="Arial"/>
          <w:sz w:val="22"/>
          <w:szCs w:val="22"/>
        </w:rPr>
        <w:t>ore</w:t>
      </w:r>
      <w:r w:rsidRPr="00FD4375">
        <w:rPr>
          <w:rFonts w:ascii="Arial" w:eastAsia="Arial" w:hAnsi="Arial" w:cs="Arial"/>
          <w:sz w:val="22"/>
          <w:szCs w:val="22"/>
        </w:rPr>
        <w:t>i</w:t>
      </w:r>
      <w:r w:rsidRPr="00BD17CA">
        <w:rPr>
          <w:rFonts w:ascii="Arial" w:eastAsia="Arial" w:hAnsi="Arial" w:cs="Arial"/>
          <w:sz w:val="22"/>
          <w:szCs w:val="22"/>
        </w:rPr>
        <w:t>gn</w:t>
      </w:r>
      <w:r w:rsidRPr="00FD4375">
        <w:rPr>
          <w:rFonts w:ascii="Arial" w:eastAsia="Arial" w:hAnsi="Arial" w:cs="Arial"/>
          <w:sz w:val="22"/>
          <w:szCs w:val="22"/>
        </w:rPr>
        <w:t xml:space="preserve"> </w:t>
      </w:r>
      <w:r w:rsidRPr="00BD17CA">
        <w:rPr>
          <w:rFonts w:ascii="Arial" w:eastAsia="Arial" w:hAnsi="Arial" w:cs="Arial"/>
          <w:sz w:val="22"/>
          <w:szCs w:val="22"/>
        </w:rPr>
        <w:t>ex</w:t>
      </w:r>
      <w:r w:rsidRPr="00FD4375">
        <w:rPr>
          <w:rFonts w:ascii="Arial" w:eastAsia="Arial" w:hAnsi="Arial" w:cs="Arial"/>
          <w:sz w:val="22"/>
          <w:szCs w:val="22"/>
        </w:rPr>
        <w:t>c</w:t>
      </w:r>
      <w:r w:rsidRPr="00BD17CA">
        <w:rPr>
          <w:rFonts w:ascii="Arial" w:eastAsia="Arial" w:hAnsi="Arial" w:cs="Arial"/>
          <w:sz w:val="22"/>
          <w:szCs w:val="22"/>
        </w:rPr>
        <w:t>h</w:t>
      </w:r>
      <w:r w:rsidRPr="00FD4375">
        <w:rPr>
          <w:rFonts w:ascii="Arial" w:eastAsia="Arial" w:hAnsi="Arial" w:cs="Arial"/>
          <w:sz w:val="22"/>
          <w:szCs w:val="22"/>
        </w:rPr>
        <w:t>ang</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r</w:t>
      </w:r>
      <w:r w:rsidRPr="00FD4375">
        <w:rPr>
          <w:rFonts w:ascii="Arial" w:eastAsia="Arial" w:hAnsi="Arial" w:cs="Arial"/>
          <w:sz w:val="22"/>
          <w:szCs w:val="22"/>
        </w:rPr>
        <w:t>isk)</w:t>
      </w:r>
      <w:r w:rsidRPr="00BD17CA">
        <w:rPr>
          <w:rFonts w:ascii="Arial" w:eastAsia="Arial" w:hAnsi="Arial" w:cs="Arial"/>
          <w:sz w:val="22"/>
          <w:szCs w:val="22"/>
        </w:rPr>
        <w:t>,</w:t>
      </w:r>
      <w:r w:rsidRPr="00FD4375">
        <w:rPr>
          <w:rFonts w:ascii="Arial" w:eastAsia="Arial" w:hAnsi="Arial" w:cs="Arial"/>
          <w:sz w:val="22"/>
          <w:szCs w:val="22"/>
        </w:rPr>
        <w:t xml:space="preserve"> w</w:t>
      </w:r>
      <w:r w:rsidRPr="00BD17CA">
        <w:rPr>
          <w:rFonts w:ascii="Arial" w:eastAsia="Arial" w:hAnsi="Arial" w:cs="Arial"/>
          <w:sz w:val="22"/>
          <w:szCs w:val="22"/>
        </w:rPr>
        <w:t>h</w:t>
      </w:r>
      <w:r w:rsidRPr="00FD4375">
        <w:rPr>
          <w:rFonts w:ascii="Arial" w:eastAsia="Arial" w:hAnsi="Arial" w:cs="Arial"/>
          <w:sz w:val="22"/>
          <w:szCs w:val="22"/>
        </w:rPr>
        <w:t>et</w:t>
      </w:r>
      <w:r w:rsidRPr="00BD17CA">
        <w:rPr>
          <w:rFonts w:ascii="Arial" w:eastAsia="Arial" w:hAnsi="Arial" w:cs="Arial"/>
          <w:sz w:val="22"/>
          <w:szCs w:val="22"/>
        </w:rPr>
        <w:t>h</w:t>
      </w:r>
      <w:r w:rsidRPr="00FD4375">
        <w:rPr>
          <w:rFonts w:ascii="Arial" w:eastAsia="Arial" w:hAnsi="Arial" w:cs="Arial"/>
          <w:sz w:val="22"/>
          <w:szCs w:val="22"/>
        </w:rPr>
        <w:t>e</w:t>
      </w:r>
      <w:r w:rsidRPr="00BD17CA">
        <w:rPr>
          <w:rFonts w:ascii="Arial" w:eastAsia="Arial" w:hAnsi="Arial" w:cs="Arial"/>
          <w:sz w:val="22"/>
          <w:szCs w:val="22"/>
        </w:rPr>
        <w:t>r</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o</w:t>
      </w:r>
      <w:r w:rsidRPr="00FD4375">
        <w:rPr>
          <w:rFonts w:ascii="Arial" w:eastAsia="Arial" w:hAnsi="Arial" w:cs="Arial"/>
          <w:sz w:val="22"/>
          <w:szCs w:val="22"/>
        </w:rPr>
        <w:t>s</w:t>
      </w:r>
      <w:r w:rsidRPr="00BD17CA">
        <w:rPr>
          <w:rFonts w:ascii="Arial" w:eastAsia="Arial" w:hAnsi="Arial" w:cs="Arial"/>
          <w:sz w:val="22"/>
          <w:szCs w:val="22"/>
        </w:rPr>
        <w:t xml:space="preserve">e </w:t>
      </w:r>
      <w:r w:rsidRPr="00FD4375">
        <w:rPr>
          <w:rFonts w:ascii="Arial" w:eastAsia="Arial" w:hAnsi="Arial" w:cs="Arial"/>
          <w:sz w:val="22"/>
          <w:szCs w:val="22"/>
        </w:rPr>
        <w:t>c</w:t>
      </w:r>
      <w:r w:rsidRPr="00BD17CA">
        <w:rPr>
          <w:rFonts w:ascii="Arial" w:eastAsia="Arial" w:hAnsi="Arial" w:cs="Arial"/>
          <w:sz w:val="22"/>
          <w:szCs w:val="22"/>
        </w:rPr>
        <w:t>h</w:t>
      </w:r>
      <w:r w:rsidRPr="00FD4375">
        <w:rPr>
          <w:rFonts w:ascii="Arial" w:eastAsia="Arial" w:hAnsi="Arial" w:cs="Arial"/>
          <w:sz w:val="22"/>
          <w:szCs w:val="22"/>
        </w:rPr>
        <w:t>a</w:t>
      </w:r>
      <w:r w:rsidRPr="00BD17CA">
        <w:rPr>
          <w:rFonts w:ascii="Arial" w:eastAsia="Arial" w:hAnsi="Arial" w:cs="Arial"/>
          <w:sz w:val="22"/>
          <w:szCs w:val="22"/>
        </w:rPr>
        <w:t>ng</w:t>
      </w:r>
      <w:r w:rsidRPr="00FD4375">
        <w:rPr>
          <w:rFonts w:ascii="Arial" w:eastAsia="Arial" w:hAnsi="Arial" w:cs="Arial"/>
          <w:sz w:val="22"/>
          <w:szCs w:val="22"/>
        </w:rPr>
        <w:t>e</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are</w:t>
      </w:r>
      <w:r w:rsidRPr="00FD4375">
        <w:rPr>
          <w:rFonts w:ascii="Arial" w:eastAsia="Arial" w:hAnsi="Arial" w:cs="Arial"/>
          <w:sz w:val="22"/>
          <w:szCs w:val="22"/>
        </w:rPr>
        <w:t xml:space="preserve"> c</w:t>
      </w:r>
      <w:r w:rsidRPr="00BD17CA">
        <w:rPr>
          <w:rFonts w:ascii="Arial" w:eastAsia="Arial" w:hAnsi="Arial" w:cs="Arial"/>
          <w:sz w:val="22"/>
          <w:szCs w:val="22"/>
        </w:rPr>
        <w:t>a</w:t>
      </w:r>
      <w:r w:rsidRPr="00FD4375">
        <w:rPr>
          <w:rFonts w:ascii="Arial" w:eastAsia="Arial" w:hAnsi="Arial" w:cs="Arial"/>
          <w:sz w:val="22"/>
          <w:szCs w:val="22"/>
        </w:rPr>
        <w:t>use</w:t>
      </w:r>
      <w:r w:rsidRPr="00BD17CA">
        <w:rPr>
          <w:rFonts w:ascii="Arial" w:eastAsia="Arial" w:hAnsi="Arial" w:cs="Arial"/>
          <w:sz w:val="22"/>
          <w:szCs w:val="22"/>
        </w:rPr>
        <w:t>d</w:t>
      </w:r>
      <w:r w:rsidRPr="00FD4375">
        <w:rPr>
          <w:rFonts w:ascii="Arial" w:eastAsia="Arial" w:hAnsi="Arial" w:cs="Arial"/>
          <w:sz w:val="22"/>
          <w:szCs w:val="22"/>
        </w:rPr>
        <w:t xml:space="preserve"> b</w:t>
      </w:r>
      <w:r w:rsidRPr="00BD17CA">
        <w:rPr>
          <w:rFonts w:ascii="Arial" w:eastAsia="Arial" w:hAnsi="Arial" w:cs="Arial"/>
          <w:sz w:val="22"/>
          <w:szCs w:val="22"/>
        </w:rPr>
        <w:t>y</w:t>
      </w:r>
      <w:r w:rsidRPr="00FD4375">
        <w:rPr>
          <w:rFonts w:ascii="Arial" w:eastAsia="Arial" w:hAnsi="Arial" w:cs="Arial"/>
          <w:sz w:val="22"/>
          <w:szCs w:val="22"/>
        </w:rPr>
        <w:t xml:space="preserve"> f</w:t>
      </w:r>
      <w:r w:rsidRPr="00BD17CA">
        <w:rPr>
          <w:rFonts w:ascii="Arial" w:eastAsia="Arial" w:hAnsi="Arial" w:cs="Arial"/>
          <w:sz w:val="22"/>
          <w:szCs w:val="22"/>
        </w:rPr>
        <w:t>a</w:t>
      </w:r>
      <w:r w:rsidRPr="00FD4375">
        <w:rPr>
          <w:rFonts w:ascii="Arial" w:eastAsia="Arial" w:hAnsi="Arial" w:cs="Arial"/>
          <w:sz w:val="22"/>
          <w:szCs w:val="22"/>
        </w:rPr>
        <w:t>c</w:t>
      </w:r>
      <w:r w:rsidRPr="00BD17CA">
        <w:rPr>
          <w:rFonts w:ascii="Arial" w:eastAsia="Arial" w:hAnsi="Arial" w:cs="Arial"/>
          <w:sz w:val="22"/>
          <w:szCs w:val="22"/>
        </w:rPr>
        <w:t>tors</w:t>
      </w:r>
      <w:r w:rsidRPr="00FD4375">
        <w:rPr>
          <w:rFonts w:ascii="Arial" w:eastAsia="Arial" w:hAnsi="Arial" w:cs="Arial"/>
          <w:sz w:val="22"/>
          <w:szCs w:val="22"/>
        </w:rPr>
        <w:t xml:space="preserve"> s</w:t>
      </w:r>
      <w:r w:rsidRPr="00BD17CA">
        <w:rPr>
          <w:rFonts w:ascii="Arial" w:eastAsia="Arial" w:hAnsi="Arial" w:cs="Arial"/>
          <w:sz w:val="22"/>
          <w:szCs w:val="22"/>
        </w:rPr>
        <w:t>p</w:t>
      </w:r>
      <w:r w:rsidRPr="00FD4375">
        <w:rPr>
          <w:rFonts w:ascii="Arial" w:eastAsia="Arial" w:hAnsi="Arial" w:cs="Arial"/>
          <w:sz w:val="22"/>
          <w:szCs w:val="22"/>
        </w:rPr>
        <w:t>ecifi</w:t>
      </w:r>
      <w:r w:rsidRPr="00BD17CA">
        <w:rPr>
          <w:rFonts w:ascii="Arial" w:eastAsia="Arial" w:hAnsi="Arial" w:cs="Arial"/>
          <w:sz w:val="22"/>
          <w:szCs w:val="22"/>
        </w:rPr>
        <w:t>c</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divi</w:t>
      </w:r>
      <w:r w:rsidRPr="00BD17CA">
        <w:rPr>
          <w:rFonts w:ascii="Arial" w:eastAsia="Arial" w:hAnsi="Arial" w:cs="Arial"/>
          <w:sz w:val="22"/>
          <w:szCs w:val="22"/>
        </w:rPr>
        <w:t>d</w:t>
      </w:r>
      <w:r w:rsidRPr="00FD4375">
        <w:rPr>
          <w:rFonts w:ascii="Arial" w:eastAsia="Arial" w:hAnsi="Arial" w:cs="Arial"/>
          <w:sz w:val="22"/>
          <w:szCs w:val="22"/>
        </w:rPr>
        <w:t>u</w:t>
      </w:r>
      <w:r w:rsidRPr="00BD17CA">
        <w:rPr>
          <w:rFonts w:ascii="Arial" w:eastAsia="Arial" w:hAnsi="Arial" w:cs="Arial"/>
          <w:sz w:val="22"/>
          <w:szCs w:val="22"/>
        </w:rPr>
        <w:t>al</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tru</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o</w:t>
      </w:r>
      <w:r w:rsidRPr="00BD17CA">
        <w:rPr>
          <w:rFonts w:ascii="Arial" w:eastAsia="Arial" w:hAnsi="Arial" w:cs="Arial"/>
          <w:sz w:val="22"/>
          <w:szCs w:val="22"/>
        </w:rPr>
        <w:t>r</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iss</w:t>
      </w:r>
      <w:r w:rsidRPr="00BD17CA">
        <w:rPr>
          <w:rFonts w:ascii="Arial" w:eastAsia="Arial" w:hAnsi="Arial" w:cs="Arial"/>
          <w:sz w:val="22"/>
          <w:szCs w:val="22"/>
        </w:rPr>
        <w:t>u</w:t>
      </w:r>
      <w:r w:rsidRPr="00FD4375">
        <w:rPr>
          <w:rFonts w:ascii="Arial" w:eastAsia="Arial" w:hAnsi="Arial" w:cs="Arial"/>
          <w:sz w:val="22"/>
          <w:szCs w:val="22"/>
        </w:rPr>
        <w:t>e</w:t>
      </w:r>
      <w:r w:rsidRPr="00BD17CA">
        <w:rPr>
          <w:rFonts w:ascii="Arial" w:eastAsia="Arial" w:hAnsi="Arial" w:cs="Arial"/>
          <w:sz w:val="22"/>
          <w:szCs w:val="22"/>
        </w:rPr>
        <w:t>r</w:t>
      </w:r>
      <w:r w:rsidRPr="00FD4375">
        <w:rPr>
          <w:rFonts w:ascii="Arial" w:eastAsia="Arial" w:hAnsi="Arial" w:cs="Arial"/>
          <w:sz w:val="22"/>
          <w:szCs w:val="22"/>
        </w:rPr>
        <w:t xml:space="preserve"> </w:t>
      </w:r>
      <w:r w:rsidRPr="00BD17CA">
        <w:rPr>
          <w:rFonts w:ascii="Arial" w:eastAsia="Arial" w:hAnsi="Arial" w:cs="Arial"/>
          <w:sz w:val="22"/>
          <w:szCs w:val="22"/>
        </w:rPr>
        <w:t>or</w:t>
      </w:r>
      <w:r w:rsidRPr="00FD4375">
        <w:rPr>
          <w:rFonts w:ascii="Arial" w:eastAsia="Arial" w:hAnsi="Arial" w:cs="Arial"/>
          <w:sz w:val="22"/>
          <w:szCs w:val="22"/>
        </w:rPr>
        <w:t xml:space="preserve"> f</w:t>
      </w:r>
      <w:r w:rsidRPr="00BD17CA">
        <w:rPr>
          <w:rFonts w:ascii="Arial" w:eastAsia="Arial" w:hAnsi="Arial" w:cs="Arial"/>
          <w:sz w:val="22"/>
          <w:szCs w:val="22"/>
        </w:rPr>
        <w:t>a</w:t>
      </w:r>
      <w:r w:rsidRPr="00FD4375">
        <w:rPr>
          <w:rFonts w:ascii="Arial" w:eastAsia="Arial" w:hAnsi="Arial" w:cs="Arial"/>
          <w:sz w:val="22"/>
          <w:szCs w:val="22"/>
        </w:rPr>
        <w:t>c</w:t>
      </w:r>
      <w:r w:rsidRPr="00BD17CA">
        <w:rPr>
          <w:rFonts w:ascii="Arial" w:eastAsia="Arial" w:hAnsi="Arial" w:cs="Arial"/>
          <w:sz w:val="22"/>
          <w:szCs w:val="22"/>
        </w:rPr>
        <w:t>tors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ff</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ng</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l</w:t>
      </w:r>
      <w:r w:rsidRPr="00BD17CA">
        <w:rPr>
          <w:rFonts w:ascii="Arial" w:eastAsia="Arial" w:hAnsi="Arial" w:cs="Arial"/>
          <w:sz w:val="22"/>
          <w:szCs w:val="22"/>
        </w:rPr>
        <w:t>l</w:t>
      </w:r>
      <w:r w:rsidRPr="00FD4375">
        <w:rPr>
          <w:rFonts w:ascii="Arial" w:eastAsia="Arial" w:hAnsi="Arial" w:cs="Arial"/>
          <w:sz w:val="22"/>
          <w:szCs w:val="22"/>
        </w:rPr>
        <w:t xml:space="preserve"> s</w:t>
      </w:r>
      <w:r w:rsidRPr="00BD17CA">
        <w:rPr>
          <w:rFonts w:ascii="Arial" w:eastAsia="Arial" w:hAnsi="Arial" w:cs="Arial"/>
          <w:sz w:val="22"/>
          <w:szCs w:val="22"/>
        </w:rPr>
        <w:t>u</w:t>
      </w:r>
      <w:r w:rsidRPr="00FD4375">
        <w:rPr>
          <w:rFonts w:ascii="Arial" w:eastAsia="Arial" w:hAnsi="Arial" w:cs="Arial"/>
          <w:sz w:val="22"/>
          <w:szCs w:val="22"/>
        </w:rPr>
        <w:t>c</w:t>
      </w:r>
      <w:r w:rsidRPr="00BD17CA">
        <w:rPr>
          <w:rFonts w:ascii="Arial" w:eastAsia="Arial" w:hAnsi="Arial" w:cs="Arial"/>
          <w:sz w:val="22"/>
          <w:szCs w:val="22"/>
        </w:rPr>
        <w:t xml:space="preserve">h </w:t>
      </w:r>
      <w:r w:rsidRPr="00FD4375">
        <w:rPr>
          <w:rFonts w:ascii="Arial" w:eastAsia="Arial" w:hAnsi="Arial" w:cs="Arial"/>
          <w:sz w:val="22"/>
          <w:szCs w:val="22"/>
        </w:rPr>
        <w:t>i</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tru</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th</w:t>
      </w:r>
      <w:r w:rsidRPr="00BD17CA">
        <w:rPr>
          <w:rFonts w:ascii="Arial" w:eastAsia="Arial" w:hAnsi="Arial" w:cs="Arial"/>
          <w:sz w:val="22"/>
          <w:szCs w:val="22"/>
        </w:rPr>
        <w:t>e</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rk</w:t>
      </w:r>
      <w:r w:rsidRPr="00BD17CA">
        <w:rPr>
          <w:rFonts w:ascii="Arial" w:eastAsia="Arial" w:hAnsi="Arial" w:cs="Arial"/>
          <w:sz w:val="22"/>
          <w:szCs w:val="22"/>
        </w:rPr>
        <w:t>et.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i</w:t>
      </w:r>
      <w:r w:rsidRPr="00BD17CA">
        <w:rPr>
          <w:rFonts w:ascii="Arial" w:eastAsia="Arial" w:hAnsi="Arial" w:cs="Arial"/>
          <w:sz w:val="22"/>
          <w:szCs w:val="22"/>
        </w:rPr>
        <w:t>s exp</w:t>
      </w:r>
      <w:r w:rsidRPr="00FD4375">
        <w:rPr>
          <w:rFonts w:ascii="Arial" w:eastAsia="Arial" w:hAnsi="Arial" w:cs="Arial"/>
          <w:sz w:val="22"/>
          <w:szCs w:val="22"/>
        </w:rPr>
        <w:t>ose</w:t>
      </w:r>
      <w:r w:rsidRPr="00BD17CA">
        <w:rPr>
          <w:rFonts w:ascii="Arial" w:eastAsia="Arial" w:hAnsi="Arial" w:cs="Arial"/>
          <w:sz w:val="22"/>
          <w:szCs w:val="22"/>
        </w:rPr>
        <w:t>d</w:t>
      </w:r>
      <w:r w:rsidRPr="00FD4375">
        <w:rPr>
          <w:rFonts w:ascii="Arial" w:eastAsia="Arial" w:hAnsi="Arial" w:cs="Arial"/>
          <w:sz w:val="22"/>
          <w:szCs w:val="22"/>
        </w:rPr>
        <w:t xml:space="preserve"> t</w:t>
      </w:r>
      <w:r w:rsidRPr="00BD17CA">
        <w:rPr>
          <w:rFonts w:ascii="Arial" w:eastAsia="Arial" w:hAnsi="Arial" w:cs="Arial"/>
          <w:sz w:val="22"/>
          <w:szCs w:val="22"/>
        </w:rPr>
        <w:t>o</w:t>
      </w:r>
      <w:r w:rsidRPr="00FD4375">
        <w:rPr>
          <w:rFonts w:ascii="Arial" w:eastAsia="Arial" w:hAnsi="Arial" w:cs="Arial"/>
          <w:sz w:val="22"/>
          <w:szCs w:val="22"/>
        </w:rPr>
        <w:t xml:space="preserve"> </w:t>
      </w:r>
      <w:r w:rsidRPr="00BD17CA">
        <w:rPr>
          <w:rFonts w:ascii="Arial" w:eastAsia="Arial" w:hAnsi="Arial" w:cs="Arial"/>
          <w:sz w:val="22"/>
          <w:szCs w:val="22"/>
        </w:rPr>
        <w:t>s</w:t>
      </w:r>
      <w:r w:rsidRPr="00FD4375">
        <w:rPr>
          <w:rFonts w:ascii="Arial" w:eastAsia="Arial" w:hAnsi="Arial" w:cs="Arial"/>
          <w:sz w:val="22"/>
          <w:szCs w:val="22"/>
        </w:rPr>
        <w:t>har</w:t>
      </w:r>
      <w:r w:rsidRPr="00BD17CA">
        <w:rPr>
          <w:rFonts w:ascii="Arial" w:eastAsia="Arial" w:hAnsi="Arial" w:cs="Arial"/>
          <w:sz w:val="22"/>
          <w:szCs w:val="22"/>
        </w:rPr>
        <w:t>e</w:t>
      </w:r>
      <w:r w:rsidRPr="00FD4375">
        <w:rPr>
          <w:rFonts w:ascii="Arial" w:eastAsia="Arial" w:hAnsi="Arial" w:cs="Arial"/>
          <w:sz w:val="22"/>
          <w:szCs w:val="22"/>
        </w:rPr>
        <w:t xml:space="preserve"> a</w:t>
      </w:r>
      <w:r w:rsidRPr="00BD17CA">
        <w:rPr>
          <w:rFonts w:ascii="Arial" w:eastAsia="Arial" w:hAnsi="Arial" w:cs="Arial"/>
          <w:sz w:val="22"/>
          <w:szCs w:val="22"/>
        </w:rPr>
        <w:t>nd</w:t>
      </w:r>
      <w:r w:rsidRPr="00FD4375">
        <w:rPr>
          <w:rFonts w:ascii="Arial" w:eastAsia="Arial" w:hAnsi="Arial" w:cs="Arial"/>
          <w:sz w:val="22"/>
          <w:szCs w:val="22"/>
        </w:rPr>
        <w:t xml:space="preserve"> </w:t>
      </w:r>
      <w:r w:rsidRPr="00BD17CA">
        <w:rPr>
          <w:rFonts w:ascii="Arial" w:eastAsia="Arial" w:hAnsi="Arial" w:cs="Arial"/>
          <w:sz w:val="22"/>
          <w:szCs w:val="22"/>
        </w:rPr>
        <w:t>d</w:t>
      </w:r>
      <w:r w:rsidRPr="00FD4375">
        <w:rPr>
          <w:rFonts w:ascii="Arial" w:eastAsia="Arial" w:hAnsi="Arial" w:cs="Arial"/>
          <w:sz w:val="22"/>
          <w:szCs w:val="22"/>
        </w:rPr>
        <w:t>eriva</w:t>
      </w:r>
      <w:r w:rsidRPr="00BD17CA">
        <w:rPr>
          <w:rFonts w:ascii="Arial" w:eastAsia="Arial" w:hAnsi="Arial" w:cs="Arial"/>
          <w:sz w:val="22"/>
          <w:szCs w:val="22"/>
        </w:rPr>
        <w:t>t</w:t>
      </w:r>
      <w:r w:rsidRPr="00FD4375">
        <w:rPr>
          <w:rFonts w:ascii="Arial" w:eastAsia="Arial" w:hAnsi="Arial" w:cs="Arial"/>
          <w:sz w:val="22"/>
          <w:szCs w:val="22"/>
        </w:rPr>
        <w:t>iv</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price</w:t>
      </w:r>
      <w:r w:rsidRPr="00FD4375">
        <w:rPr>
          <w:rFonts w:ascii="Arial" w:eastAsia="Arial" w:hAnsi="Arial" w:cs="Arial"/>
          <w:sz w:val="22"/>
          <w:szCs w:val="22"/>
        </w:rPr>
        <w:t xml:space="preserve"> </w:t>
      </w:r>
      <w:r w:rsidRPr="00BD17CA">
        <w:rPr>
          <w:rFonts w:ascii="Arial" w:eastAsia="Arial" w:hAnsi="Arial" w:cs="Arial"/>
          <w:sz w:val="22"/>
          <w:szCs w:val="22"/>
        </w:rPr>
        <w:t>r</w:t>
      </w:r>
      <w:r w:rsidRPr="00FD4375">
        <w:rPr>
          <w:rFonts w:ascii="Arial" w:eastAsia="Arial" w:hAnsi="Arial" w:cs="Arial"/>
          <w:sz w:val="22"/>
          <w:szCs w:val="22"/>
        </w:rPr>
        <w:t>isk</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w:t>
      </w:r>
      <w:r w:rsidRPr="00FD4375">
        <w:rPr>
          <w:rFonts w:ascii="Arial" w:eastAsia="Arial" w:hAnsi="Arial" w:cs="Arial"/>
          <w:sz w:val="22"/>
          <w:szCs w:val="22"/>
        </w:rPr>
        <w:t>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ar</w:t>
      </w:r>
      <w:r w:rsidRPr="00FD4375">
        <w:rPr>
          <w:rFonts w:ascii="Arial" w:eastAsia="Arial" w:hAnsi="Arial" w:cs="Arial"/>
          <w:sz w:val="22"/>
          <w:szCs w:val="22"/>
        </w:rPr>
        <w:t>is</w:t>
      </w:r>
      <w:r w:rsidRPr="00BD17CA">
        <w:rPr>
          <w:rFonts w:ascii="Arial" w:eastAsia="Arial" w:hAnsi="Arial" w:cs="Arial"/>
          <w:sz w:val="22"/>
          <w:szCs w:val="22"/>
        </w:rPr>
        <w:t>es</w:t>
      </w:r>
      <w:r w:rsidRPr="00FD4375">
        <w:rPr>
          <w:rFonts w:ascii="Arial" w:eastAsia="Arial" w:hAnsi="Arial" w:cs="Arial"/>
          <w:sz w:val="22"/>
          <w:szCs w:val="22"/>
        </w:rPr>
        <w:t xml:space="preserve"> fro</w:t>
      </w:r>
      <w:r w:rsidRPr="00BD17CA">
        <w:rPr>
          <w:rFonts w:ascii="Arial" w:eastAsia="Arial" w:hAnsi="Arial" w:cs="Arial"/>
          <w:sz w:val="22"/>
          <w:szCs w:val="22"/>
        </w:rPr>
        <w:t xml:space="preserve">m </w:t>
      </w:r>
      <w:r w:rsidRPr="00FD4375">
        <w:rPr>
          <w:rFonts w:ascii="Arial" w:eastAsia="Arial" w:hAnsi="Arial" w:cs="Arial"/>
          <w:sz w:val="22"/>
          <w:szCs w:val="22"/>
        </w:rPr>
        <w:t>i</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 h</w:t>
      </w:r>
      <w:r w:rsidRPr="00FD4375">
        <w:rPr>
          <w:rFonts w:ascii="Arial" w:eastAsia="Arial" w:hAnsi="Arial" w:cs="Arial"/>
          <w:sz w:val="22"/>
          <w:szCs w:val="22"/>
        </w:rPr>
        <w:t>el</w:t>
      </w:r>
      <w:r w:rsidRPr="00BD17CA">
        <w:rPr>
          <w:rFonts w:ascii="Arial" w:eastAsia="Arial" w:hAnsi="Arial" w:cs="Arial"/>
          <w:sz w:val="22"/>
          <w:szCs w:val="22"/>
        </w:rPr>
        <w:t>d</w:t>
      </w:r>
      <w:r w:rsidRPr="00FD4375">
        <w:rPr>
          <w:rFonts w:ascii="Arial" w:eastAsia="Arial" w:hAnsi="Arial" w:cs="Arial"/>
          <w:sz w:val="22"/>
          <w:szCs w:val="22"/>
        </w:rPr>
        <w:t xml:space="preserve"> b</w:t>
      </w:r>
      <w:r w:rsidRPr="00BD17CA">
        <w:rPr>
          <w:rFonts w:ascii="Arial" w:eastAsia="Arial" w:hAnsi="Arial" w:cs="Arial"/>
          <w:sz w:val="22"/>
          <w:szCs w:val="22"/>
        </w:rPr>
        <w:t>y</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f</w:t>
      </w:r>
      <w:r w:rsidRPr="00BD17CA">
        <w:rPr>
          <w:rFonts w:ascii="Arial" w:eastAsia="Arial" w:hAnsi="Arial" w:cs="Arial"/>
          <w:sz w:val="22"/>
          <w:szCs w:val="22"/>
        </w:rPr>
        <w:t>or</w:t>
      </w:r>
      <w:r w:rsidRPr="00FD4375">
        <w:rPr>
          <w:rFonts w:ascii="Arial" w:eastAsia="Arial" w:hAnsi="Arial" w:cs="Arial"/>
          <w:sz w:val="22"/>
          <w:szCs w:val="22"/>
        </w:rPr>
        <w:t xml:space="preserve"> whic</w:t>
      </w:r>
      <w:r w:rsidRPr="00BD17CA">
        <w:rPr>
          <w:rFonts w:ascii="Arial" w:eastAsia="Arial" w:hAnsi="Arial" w:cs="Arial"/>
          <w:sz w:val="22"/>
          <w:szCs w:val="22"/>
        </w:rPr>
        <w:t>h</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ut</w:t>
      </w:r>
      <w:r w:rsidRPr="00FD4375">
        <w:rPr>
          <w:rFonts w:ascii="Arial" w:eastAsia="Arial" w:hAnsi="Arial" w:cs="Arial"/>
          <w:sz w:val="22"/>
          <w:szCs w:val="22"/>
        </w:rPr>
        <w:t>ur</w:t>
      </w:r>
      <w:r w:rsidRPr="00BD17CA">
        <w:rPr>
          <w:rFonts w:ascii="Arial" w:eastAsia="Arial" w:hAnsi="Arial" w:cs="Arial"/>
          <w:sz w:val="22"/>
          <w:szCs w:val="22"/>
        </w:rPr>
        <w:t>e</w:t>
      </w:r>
      <w:r w:rsidRPr="00FD4375">
        <w:rPr>
          <w:rFonts w:ascii="Arial" w:eastAsia="Arial" w:hAnsi="Arial" w:cs="Arial"/>
          <w:sz w:val="22"/>
          <w:szCs w:val="22"/>
        </w:rPr>
        <w:t xml:space="preserve"> pric</w:t>
      </w:r>
      <w:r w:rsidRPr="00BD17CA">
        <w:rPr>
          <w:rFonts w:ascii="Arial" w:eastAsia="Arial" w:hAnsi="Arial" w:cs="Arial"/>
          <w:sz w:val="22"/>
          <w:szCs w:val="22"/>
        </w:rPr>
        <w:t>e</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u</w:t>
      </w:r>
      <w:r w:rsidRPr="00FD4375">
        <w:rPr>
          <w:rFonts w:ascii="Arial" w:eastAsia="Arial" w:hAnsi="Arial" w:cs="Arial"/>
          <w:sz w:val="22"/>
          <w:szCs w:val="22"/>
        </w:rPr>
        <w:t>nc</w:t>
      </w:r>
      <w:r w:rsidRPr="00BD17CA">
        <w:rPr>
          <w:rFonts w:ascii="Arial" w:eastAsia="Arial" w:hAnsi="Arial" w:cs="Arial"/>
          <w:sz w:val="22"/>
          <w:szCs w:val="22"/>
        </w:rPr>
        <w:t>ert</w:t>
      </w:r>
      <w:r w:rsidRPr="00FD4375">
        <w:rPr>
          <w:rFonts w:ascii="Arial" w:eastAsia="Arial" w:hAnsi="Arial" w:cs="Arial"/>
          <w:sz w:val="22"/>
          <w:szCs w:val="22"/>
        </w:rPr>
        <w:t>ai</w:t>
      </w:r>
      <w:r w:rsidRPr="00BD17CA">
        <w:rPr>
          <w:rFonts w:ascii="Arial" w:eastAsia="Arial" w:hAnsi="Arial" w:cs="Arial"/>
          <w:sz w:val="22"/>
          <w:szCs w:val="22"/>
        </w:rPr>
        <w:t>n.</w:t>
      </w:r>
      <w:r w:rsidRPr="00FD4375">
        <w:rPr>
          <w:rFonts w:ascii="Arial" w:eastAsia="Arial" w:hAnsi="Arial" w:cs="Arial"/>
          <w:sz w:val="22"/>
          <w:szCs w:val="22"/>
        </w:rPr>
        <w:t xml:space="preserve"> Al</w:t>
      </w:r>
      <w:r w:rsidRPr="00BD17CA">
        <w:rPr>
          <w:rFonts w:ascii="Arial" w:eastAsia="Arial" w:hAnsi="Arial" w:cs="Arial"/>
          <w:sz w:val="22"/>
          <w:szCs w:val="22"/>
        </w:rPr>
        <w:t>l</w:t>
      </w:r>
      <w:r w:rsidRPr="00FD4375">
        <w:rPr>
          <w:rFonts w:ascii="Arial" w:eastAsia="Arial" w:hAnsi="Arial" w:cs="Arial"/>
          <w:sz w:val="22"/>
          <w:szCs w:val="22"/>
        </w:rPr>
        <w:t xml:space="preserve"> s</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ur</w:t>
      </w:r>
      <w:r w:rsidRPr="00FD4375">
        <w:rPr>
          <w:rFonts w:ascii="Arial" w:eastAsia="Arial" w:hAnsi="Arial" w:cs="Arial"/>
          <w:sz w:val="22"/>
          <w:szCs w:val="22"/>
        </w:rPr>
        <w:t>i</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es</w:t>
      </w:r>
      <w:r w:rsidRPr="00FD4375">
        <w:rPr>
          <w:rFonts w:ascii="Arial" w:eastAsia="Arial" w:hAnsi="Arial" w:cs="Arial"/>
          <w:sz w:val="22"/>
          <w:szCs w:val="22"/>
        </w:rPr>
        <w:t xml:space="preserve"> inv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pre</w:t>
      </w:r>
      <w:r w:rsidRPr="00FD4375">
        <w:rPr>
          <w:rFonts w:ascii="Arial" w:eastAsia="Arial" w:hAnsi="Arial" w:cs="Arial"/>
          <w:sz w:val="22"/>
          <w:szCs w:val="22"/>
        </w:rPr>
        <w:t>s</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a r</w:t>
      </w:r>
      <w:r w:rsidRPr="00FD4375">
        <w:rPr>
          <w:rFonts w:ascii="Arial" w:eastAsia="Arial" w:hAnsi="Arial" w:cs="Arial"/>
          <w:sz w:val="22"/>
          <w:szCs w:val="22"/>
        </w:rPr>
        <w:t>is</w:t>
      </w:r>
      <w:r w:rsidRPr="00BD17CA">
        <w:rPr>
          <w:rFonts w:ascii="Arial" w:eastAsia="Arial" w:hAnsi="Arial" w:cs="Arial"/>
          <w:sz w:val="22"/>
          <w:szCs w:val="22"/>
        </w:rPr>
        <w:t>k of</w:t>
      </w:r>
      <w:r w:rsidRPr="00FD4375">
        <w:rPr>
          <w:rFonts w:ascii="Arial" w:eastAsia="Arial" w:hAnsi="Arial" w:cs="Arial"/>
          <w:sz w:val="22"/>
          <w:szCs w:val="22"/>
        </w:rPr>
        <w:t xml:space="preserve"> l</w:t>
      </w:r>
      <w:r w:rsidRPr="00BD17CA">
        <w:rPr>
          <w:rFonts w:ascii="Arial" w:eastAsia="Arial" w:hAnsi="Arial" w:cs="Arial"/>
          <w:sz w:val="22"/>
          <w:szCs w:val="22"/>
        </w:rPr>
        <w:t>o</w:t>
      </w:r>
      <w:r w:rsidRPr="00FD4375">
        <w:rPr>
          <w:rFonts w:ascii="Arial" w:eastAsia="Arial" w:hAnsi="Arial" w:cs="Arial"/>
          <w:sz w:val="22"/>
          <w:szCs w:val="22"/>
        </w:rPr>
        <w:t>s</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 xml:space="preserve">of </w:t>
      </w:r>
      <w:r w:rsidRPr="00FD4375">
        <w:rPr>
          <w:rFonts w:ascii="Arial" w:eastAsia="Arial" w:hAnsi="Arial" w:cs="Arial"/>
          <w:sz w:val="22"/>
          <w:szCs w:val="22"/>
        </w:rPr>
        <w:t>c</w:t>
      </w:r>
      <w:r w:rsidRPr="00BD17CA">
        <w:rPr>
          <w:rFonts w:ascii="Arial" w:eastAsia="Arial" w:hAnsi="Arial" w:cs="Arial"/>
          <w:sz w:val="22"/>
          <w:szCs w:val="22"/>
        </w:rPr>
        <w:t>a</w:t>
      </w:r>
      <w:r w:rsidRPr="00FD4375">
        <w:rPr>
          <w:rFonts w:ascii="Arial" w:eastAsia="Arial" w:hAnsi="Arial" w:cs="Arial"/>
          <w:sz w:val="22"/>
          <w:szCs w:val="22"/>
        </w:rPr>
        <w:t>pi</w:t>
      </w:r>
      <w:r w:rsidRPr="00BD17CA">
        <w:rPr>
          <w:rFonts w:ascii="Arial" w:eastAsia="Arial" w:hAnsi="Arial" w:cs="Arial"/>
          <w:sz w:val="22"/>
          <w:szCs w:val="22"/>
        </w:rPr>
        <w:t>t</w:t>
      </w:r>
      <w:r w:rsidRPr="00FD4375">
        <w:rPr>
          <w:rFonts w:ascii="Arial" w:eastAsia="Arial" w:hAnsi="Arial" w:cs="Arial"/>
          <w:sz w:val="22"/>
          <w:szCs w:val="22"/>
        </w:rPr>
        <w:t>al</w:t>
      </w:r>
      <w:r w:rsidRPr="00BD17CA">
        <w:rPr>
          <w:rFonts w:ascii="Arial" w:eastAsia="Arial" w:hAnsi="Arial" w:cs="Arial"/>
          <w:sz w:val="22"/>
          <w:szCs w:val="22"/>
        </w:rPr>
        <w:t>.</w:t>
      </w:r>
      <w:r w:rsidRPr="00FD4375">
        <w:rPr>
          <w:rFonts w:ascii="Arial" w:eastAsia="Arial" w:hAnsi="Arial" w:cs="Arial"/>
          <w:sz w:val="22"/>
          <w:szCs w:val="22"/>
        </w:rPr>
        <w:t xml:space="preserve"> Exc</w:t>
      </w:r>
      <w:r w:rsidRPr="00BD17CA">
        <w:rPr>
          <w:rFonts w:ascii="Arial" w:eastAsia="Arial" w:hAnsi="Arial" w:cs="Arial"/>
          <w:sz w:val="22"/>
          <w:szCs w:val="22"/>
        </w:rPr>
        <w:t>e</w:t>
      </w:r>
      <w:r w:rsidRPr="00FD4375">
        <w:rPr>
          <w:rFonts w:ascii="Arial" w:eastAsia="Arial" w:hAnsi="Arial" w:cs="Arial"/>
          <w:sz w:val="22"/>
          <w:szCs w:val="22"/>
        </w:rPr>
        <w:t>p</w:t>
      </w:r>
      <w:r w:rsidRPr="00BD17CA">
        <w:rPr>
          <w:rFonts w:ascii="Arial" w:eastAsia="Arial" w:hAnsi="Arial" w:cs="Arial"/>
          <w:sz w:val="22"/>
          <w:szCs w:val="22"/>
        </w:rPr>
        <w:t>t</w:t>
      </w:r>
      <w:r w:rsidRPr="00FD4375">
        <w:rPr>
          <w:rFonts w:ascii="Arial" w:eastAsia="Arial" w:hAnsi="Arial" w:cs="Arial"/>
          <w:sz w:val="22"/>
          <w:szCs w:val="22"/>
        </w:rPr>
        <w:t xml:space="preserve"> f</w:t>
      </w:r>
      <w:r w:rsidRPr="00BD17CA">
        <w:rPr>
          <w:rFonts w:ascii="Arial" w:eastAsia="Arial" w:hAnsi="Arial" w:cs="Arial"/>
          <w:sz w:val="22"/>
          <w:szCs w:val="22"/>
        </w:rPr>
        <w:t>or</w:t>
      </w:r>
      <w:r w:rsidRPr="00FD4375">
        <w:rPr>
          <w:rFonts w:ascii="Arial" w:eastAsia="Arial" w:hAnsi="Arial" w:cs="Arial"/>
          <w:sz w:val="22"/>
          <w:szCs w:val="22"/>
        </w:rPr>
        <w:t xml:space="preserve"> s</w:t>
      </w:r>
      <w:r w:rsidRPr="00BD17CA">
        <w:rPr>
          <w:rFonts w:ascii="Arial" w:eastAsia="Arial" w:hAnsi="Arial" w:cs="Arial"/>
          <w:sz w:val="22"/>
          <w:szCs w:val="22"/>
        </w:rPr>
        <w:t>h</w:t>
      </w:r>
      <w:r w:rsidRPr="00FD4375">
        <w:rPr>
          <w:rFonts w:ascii="Arial" w:eastAsia="Arial" w:hAnsi="Arial" w:cs="Arial"/>
          <w:sz w:val="22"/>
          <w:szCs w:val="22"/>
        </w:rPr>
        <w:t>ar</w:t>
      </w:r>
      <w:r w:rsidRPr="00BD17CA">
        <w:rPr>
          <w:rFonts w:ascii="Arial" w:eastAsia="Arial" w:hAnsi="Arial" w:cs="Arial"/>
          <w:sz w:val="22"/>
          <w:szCs w:val="22"/>
        </w:rPr>
        <w:t>es</w:t>
      </w:r>
      <w:r w:rsidRPr="00FD4375">
        <w:rPr>
          <w:rFonts w:ascii="Arial" w:eastAsia="Arial" w:hAnsi="Arial" w:cs="Arial"/>
          <w:sz w:val="22"/>
          <w:szCs w:val="22"/>
        </w:rPr>
        <w:t xml:space="preserve"> s</w:t>
      </w:r>
      <w:r w:rsidRPr="00BD17CA">
        <w:rPr>
          <w:rFonts w:ascii="Arial" w:eastAsia="Arial" w:hAnsi="Arial" w:cs="Arial"/>
          <w:sz w:val="22"/>
          <w:szCs w:val="22"/>
        </w:rPr>
        <w:t>o</w:t>
      </w:r>
      <w:r w:rsidRPr="00FD4375">
        <w:rPr>
          <w:rFonts w:ascii="Arial" w:eastAsia="Arial" w:hAnsi="Arial" w:cs="Arial"/>
          <w:sz w:val="22"/>
          <w:szCs w:val="22"/>
        </w:rPr>
        <w:t>l</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sh</w:t>
      </w:r>
      <w:r w:rsidRPr="00FD4375">
        <w:rPr>
          <w:rFonts w:ascii="Arial" w:eastAsia="Arial" w:hAnsi="Arial" w:cs="Arial"/>
          <w:sz w:val="22"/>
          <w:szCs w:val="22"/>
        </w:rPr>
        <w:t>or</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ximu</w:t>
      </w:r>
      <w:r w:rsidRPr="00BD17CA">
        <w:rPr>
          <w:rFonts w:ascii="Arial" w:eastAsia="Arial" w:hAnsi="Arial" w:cs="Arial"/>
          <w:sz w:val="22"/>
          <w:szCs w:val="22"/>
        </w:rPr>
        <w:t>m</w:t>
      </w:r>
      <w:r w:rsidRPr="00FD4375">
        <w:rPr>
          <w:rFonts w:ascii="Arial" w:eastAsia="Arial" w:hAnsi="Arial" w:cs="Arial"/>
          <w:sz w:val="22"/>
          <w:szCs w:val="22"/>
        </w:rPr>
        <w:t xml:space="preserve"> </w:t>
      </w:r>
      <w:r w:rsidRPr="00BD17CA">
        <w:rPr>
          <w:rFonts w:ascii="Arial" w:eastAsia="Arial" w:hAnsi="Arial" w:cs="Arial"/>
          <w:sz w:val="22"/>
          <w:szCs w:val="22"/>
        </w:rPr>
        <w:t>r</w:t>
      </w:r>
      <w:r w:rsidRPr="00FD4375">
        <w:rPr>
          <w:rFonts w:ascii="Arial" w:eastAsia="Arial" w:hAnsi="Arial" w:cs="Arial"/>
          <w:sz w:val="22"/>
          <w:szCs w:val="22"/>
        </w:rPr>
        <w:t>is</w:t>
      </w:r>
      <w:r w:rsidRPr="00BD17CA">
        <w:rPr>
          <w:rFonts w:ascii="Arial" w:eastAsia="Arial" w:hAnsi="Arial" w:cs="Arial"/>
          <w:sz w:val="22"/>
          <w:szCs w:val="22"/>
        </w:rPr>
        <w:t>k re</w:t>
      </w:r>
      <w:r w:rsidRPr="00FD4375">
        <w:rPr>
          <w:rFonts w:ascii="Arial" w:eastAsia="Arial" w:hAnsi="Arial" w:cs="Arial"/>
          <w:sz w:val="22"/>
          <w:szCs w:val="22"/>
        </w:rPr>
        <w:t>s</w:t>
      </w:r>
      <w:r w:rsidRPr="00BD17CA">
        <w:rPr>
          <w:rFonts w:ascii="Arial" w:eastAsia="Arial" w:hAnsi="Arial" w:cs="Arial"/>
          <w:sz w:val="22"/>
          <w:szCs w:val="22"/>
        </w:rPr>
        <w:t>u</w:t>
      </w:r>
      <w:r w:rsidRPr="00FD4375">
        <w:rPr>
          <w:rFonts w:ascii="Arial" w:eastAsia="Arial" w:hAnsi="Arial" w:cs="Arial"/>
          <w:sz w:val="22"/>
          <w:szCs w:val="22"/>
        </w:rPr>
        <w:t>l</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ng</w:t>
      </w:r>
      <w:r w:rsidRPr="00FD4375">
        <w:rPr>
          <w:rFonts w:ascii="Arial" w:eastAsia="Arial" w:hAnsi="Arial" w:cs="Arial"/>
          <w:sz w:val="22"/>
          <w:szCs w:val="22"/>
        </w:rPr>
        <w:t xml:space="preserve"> fr</w:t>
      </w:r>
      <w:r w:rsidRPr="00BD17CA">
        <w:rPr>
          <w:rFonts w:ascii="Arial" w:eastAsia="Arial" w:hAnsi="Arial" w:cs="Arial"/>
          <w:sz w:val="22"/>
          <w:szCs w:val="22"/>
        </w:rPr>
        <w:t>om</w:t>
      </w:r>
      <w:r w:rsidRPr="00FD4375">
        <w:rPr>
          <w:rFonts w:ascii="Arial" w:eastAsia="Arial" w:hAnsi="Arial" w:cs="Arial"/>
          <w:sz w:val="22"/>
          <w:szCs w:val="22"/>
        </w:rPr>
        <w:t xml:space="preserve"> fi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cia</w:t>
      </w:r>
      <w:r w:rsidRPr="00BD17CA">
        <w:rPr>
          <w:rFonts w:ascii="Arial" w:eastAsia="Arial" w:hAnsi="Arial" w:cs="Arial"/>
          <w:sz w:val="22"/>
          <w:szCs w:val="22"/>
        </w:rPr>
        <w:t>l</w:t>
      </w:r>
      <w:r w:rsidRPr="00FD4375">
        <w:rPr>
          <w:rFonts w:ascii="Arial" w:eastAsia="Arial" w:hAnsi="Arial" w:cs="Arial"/>
          <w:sz w:val="22"/>
          <w:szCs w:val="22"/>
        </w:rPr>
        <w:t xml:space="preserve"> ins</w:t>
      </w:r>
      <w:r w:rsidRPr="00BD17CA">
        <w:rPr>
          <w:rFonts w:ascii="Arial" w:eastAsia="Arial" w:hAnsi="Arial" w:cs="Arial"/>
          <w:sz w:val="22"/>
          <w:szCs w:val="22"/>
        </w:rPr>
        <w:t>tr</w:t>
      </w:r>
      <w:r w:rsidRPr="00FD4375">
        <w:rPr>
          <w:rFonts w:ascii="Arial" w:eastAsia="Arial" w:hAnsi="Arial" w:cs="Arial"/>
          <w:sz w:val="22"/>
          <w:szCs w:val="22"/>
        </w:rPr>
        <w:t>um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i</w:t>
      </w:r>
      <w:r w:rsidRPr="00BD17CA">
        <w:rPr>
          <w:rFonts w:ascii="Arial" w:eastAsia="Arial" w:hAnsi="Arial" w:cs="Arial"/>
          <w:sz w:val="22"/>
          <w:szCs w:val="22"/>
        </w:rPr>
        <w:t>s d</w:t>
      </w:r>
      <w:r w:rsidRPr="00FD4375">
        <w:rPr>
          <w:rFonts w:ascii="Arial" w:eastAsia="Arial" w:hAnsi="Arial" w:cs="Arial"/>
          <w:sz w:val="22"/>
          <w:szCs w:val="22"/>
        </w:rPr>
        <w:t>et</w:t>
      </w:r>
      <w:r w:rsidRPr="00BD17CA">
        <w:rPr>
          <w:rFonts w:ascii="Arial" w:eastAsia="Arial" w:hAnsi="Arial" w:cs="Arial"/>
          <w:sz w:val="22"/>
          <w:szCs w:val="22"/>
        </w:rPr>
        <w:t>er</w:t>
      </w:r>
      <w:r w:rsidRPr="00FD4375">
        <w:rPr>
          <w:rFonts w:ascii="Arial" w:eastAsia="Arial" w:hAnsi="Arial" w:cs="Arial"/>
          <w:sz w:val="22"/>
          <w:szCs w:val="22"/>
        </w:rPr>
        <w:t>mi</w:t>
      </w:r>
      <w:r w:rsidRPr="00BD17CA">
        <w:rPr>
          <w:rFonts w:ascii="Arial" w:eastAsia="Arial" w:hAnsi="Arial" w:cs="Arial"/>
          <w:sz w:val="22"/>
          <w:szCs w:val="22"/>
        </w:rPr>
        <w:t>n</w:t>
      </w:r>
      <w:r w:rsidRPr="00FD4375">
        <w:rPr>
          <w:rFonts w:ascii="Arial" w:eastAsia="Arial" w:hAnsi="Arial" w:cs="Arial"/>
          <w:sz w:val="22"/>
          <w:szCs w:val="22"/>
        </w:rPr>
        <w:t>e</w:t>
      </w:r>
      <w:r w:rsidRPr="00BD17CA">
        <w:rPr>
          <w:rFonts w:ascii="Arial" w:eastAsia="Arial" w:hAnsi="Arial" w:cs="Arial"/>
          <w:sz w:val="22"/>
          <w:szCs w:val="22"/>
        </w:rPr>
        <w:t>d</w:t>
      </w:r>
      <w:r w:rsidRPr="00FD4375">
        <w:rPr>
          <w:rFonts w:ascii="Arial" w:eastAsia="Arial" w:hAnsi="Arial" w:cs="Arial"/>
          <w:sz w:val="22"/>
          <w:szCs w:val="22"/>
        </w:rPr>
        <w:t xml:space="preserve"> b</w:t>
      </w:r>
      <w:r w:rsidRPr="00BD17CA">
        <w:rPr>
          <w:rFonts w:ascii="Arial" w:eastAsia="Arial" w:hAnsi="Arial" w:cs="Arial"/>
          <w:sz w:val="22"/>
          <w:szCs w:val="22"/>
        </w:rPr>
        <w:t>y the</w:t>
      </w:r>
      <w:r w:rsidRPr="00FD4375">
        <w:rPr>
          <w:rFonts w:ascii="Arial" w:eastAsia="Arial" w:hAnsi="Arial" w:cs="Arial"/>
          <w:sz w:val="22"/>
          <w:szCs w:val="22"/>
        </w:rPr>
        <w:t xml:space="preserve"> f</w:t>
      </w:r>
      <w:r w:rsidRPr="00BD17CA">
        <w:rPr>
          <w:rFonts w:ascii="Arial" w:eastAsia="Arial" w:hAnsi="Arial" w:cs="Arial"/>
          <w:sz w:val="22"/>
          <w:szCs w:val="22"/>
        </w:rPr>
        <w:t>a</w:t>
      </w:r>
      <w:r w:rsidRPr="00FD4375">
        <w:rPr>
          <w:rFonts w:ascii="Arial" w:eastAsia="Arial" w:hAnsi="Arial" w:cs="Arial"/>
          <w:sz w:val="22"/>
          <w:szCs w:val="22"/>
        </w:rPr>
        <w:t>i</w:t>
      </w:r>
      <w:r w:rsidRPr="00BD17CA">
        <w:rPr>
          <w:rFonts w:ascii="Arial" w:eastAsia="Arial" w:hAnsi="Arial" w:cs="Arial"/>
          <w:sz w:val="22"/>
          <w:szCs w:val="22"/>
        </w:rPr>
        <w:t xml:space="preserve">r </w:t>
      </w:r>
      <w:r w:rsidRPr="00FD4375">
        <w:rPr>
          <w:rFonts w:ascii="Arial" w:eastAsia="Arial" w:hAnsi="Arial" w:cs="Arial"/>
          <w:sz w:val="22"/>
          <w:szCs w:val="22"/>
        </w:rPr>
        <w:t>v</w:t>
      </w:r>
      <w:r w:rsidRPr="00BD17CA">
        <w:rPr>
          <w:rFonts w:ascii="Arial" w:eastAsia="Arial" w:hAnsi="Arial" w:cs="Arial"/>
          <w:sz w:val="22"/>
          <w:szCs w:val="22"/>
        </w:rPr>
        <w:t>a</w:t>
      </w:r>
      <w:r w:rsidRPr="00FD4375">
        <w:rPr>
          <w:rFonts w:ascii="Arial" w:eastAsia="Arial" w:hAnsi="Arial" w:cs="Arial"/>
          <w:sz w:val="22"/>
          <w:szCs w:val="22"/>
        </w:rPr>
        <w:t>l</w:t>
      </w:r>
      <w:r w:rsidRPr="00BD17CA">
        <w:rPr>
          <w:rFonts w:ascii="Arial" w:eastAsia="Arial" w:hAnsi="Arial" w:cs="Arial"/>
          <w:sz w:val="22"/>
          <w:szCs w:val="22"/>
        </w:rPr>
        <w:t>ue</w:t>
      </w:r>
      <w:r w:rsidRPr="00FD4375">
        <w:rPr>
          <w:rFonts w:ascii="Arial" w:eastAsia="Arial" w:hAnsi="Arial" w:cs="Arial"/>
          <w:sz w:val="22"/>
          <w:szCs w:val="22"/>
        </w:rPr>
        <w:t xml:space="preserve"> </w:t>
      </w:r>
      <w:r w:rsidRPr="00BD17CA">
        <w:rPr>
          <w:rFonts w:ascii="Arial" w:eastAsia="Arial" w:hAnsi="Arial" w:cs="Arial"/>
          <w:sz w:val="22"/>
          <w:szCs w:val="22"/>
        </w:rPr>
        <w:t>of 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fi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cia</w:t>
      </w:r>
      <w:r w:rsidRPr="00BD17CA">
        <w:rPr>
          <w:rFonts w:ascii="Arial" w:eastAsia="Arial" w:hAnsi="Arial" w:cs="Arial"/>
          <w:sz w:val="22"/>
          <w:szCs w:val="22"/>
        </w:rPr>
        <w:t>l</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tru</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P</w:t>
      </w:r>
      <w:r w:rsidRPr="00BD17CA">
        <w:rPr>
          <w:rFonts w:ascii="Arial" w:eastAsia="Arial" w:hAnsi="Arial" w:cs="Arial"/>
          <w:sz w:val="22"/>
          <w:szCs w:val="22"/>
        </w:rPr>
        <w:t>o</w:t>
      </w:r>
      <w:r w:rsidRPr="00FD4375">
        <w:rPr>
          <w:rFonts w:ascii="Arial" w:eastAsia="Arial" w:hAnsi="Arial" w:cs="Arial"/>
          <w:sz w:val="22"/>
          <w:szCs w:val="22"/>
        </w:rPr>
        <w:t>ssi</w:t>
      </w:r>
      <w:r w:rsidRPr="00BD17CA">
        <w:rPr>
          <w:rFonts w:ascii="Arial" w:eastAsia="Arial" w:hAnsi="Arial" w:cs="Arial"/>
          <w:sz w:val="22"/>
          <w:szCs w:val="22"/>
        </w:rPr>
        <w:t>b</w:t>
      </w:r>
      <w:r w:rsidRPr="00FD4375">
        <w:rPr>
          <w:rFonts w:ascii="Arial" w:eastAsia="Arial" w:hAnsi="Arial" w:cs="Arial"/>
          <w:sz w:val="22"/>
          <w:szCs w:val="22"/>
        </w:rPr>
        <w:t>l</w:t>
      </w:r>
      <w:r w:rsidRPr="00BD17CA">
        <w:rPr>
          <w:rFonts w:ascii="Arial" w:eastAsia="Arial" w:hAnsi="Arial" w:cs="Arial"/>
          <w:sz w:val="22"/>
          <w:szCs w:val="22"/>
        </w:rPr>
        <w:t>e</w:t>
      </w:r>
      <w:r w:rsidRPr="00FD4375">
        <w:rPr>
          <w:rFonts w:ascii="Arial" w:eastAsia="Arial" w:hAnsi="Arial" w:cs="Arial"/>
          <w:sz w:val="22"/>
          <w:szCs w:val="22"/>
        </w:rPr>
        <w:t xml:space="preserve"> l</w:t>
      </w:r>
      <w:r w:rsidRPr="00BD17CA">
        <w:rPr>
          <w:rFonts w:ascii="Arial" w:eastAsia="Arial" w:hAnsi="Arial" w:cs="Arial"/>
          <w:sz w:val="22"/>
          <w:szCs w:val="22"/>
        </w:rPr>
        <w:t>o</w:t>
      </w:r>
      <w:r w:rsidRPr="00FD4375">
        <w:rPr>
          <w:rFonts w:ascii="Arial" w:eastAsia="Arial" w:hAnsi="Arial" w:cs="Arial"/>
          <w:sz w:val="22"/>
          <w:szCs w:val="22"/>
        </w:rPr>
        <w:t>ss</w:t>
      </w:r>
      <w:r w:rsidRPr="00BD17CA">
        <w:rPr>
          <w:rFonts w:ascii="Arial" w:eastAsia="Arial" w:hAnsi="Arial" w:cs="Arial"/>
          <w:sz w:val="22"/>
          <w:szCs w:val="22"/>
        </w:rPr>
        <w:t>es</w:t>
      </w:r>
      <w:r w:rsidRPr="00FD4375">
        <w:rPr>
          <w:rFonts w:ascii="Arial" w:eastAsia="Arial" w:hAnsi="Arial" w:cs="Arial"/>
          <w:sz w:val="22"/>
          <w:szCs w:val="22"/>
        </w:rPr>
        <w:t xml:space="preserve"> fro</w:t>
      </w:r>
      <w:r w:rsidRPr="00BD17CA">
        <w:rPr>
          <w:rFonts w:ascii="Arial" w:eastAsia="Arial" w:hAnsi="Arial" w:cs="Arial"/>
          <w:sz w:val="22"/>
          <w:szCs w:val="22"/>
        </w:rPr>
        <w:t xml:space="preserve">m </w:t>
      </w:r>
      <w:r w:rsidRPr="00FD4375">
        <w:rPr>
          <w:rFonts w:ascii="Arial" w:eastAsia="Arial" w:hAnsi="Arial" w:cs="Arial"/>
          <w:sz w:val="22"/>
          <w:szCs w:val="22"/>
        </w:rPr>
        <w:t>s</w:t>
      </w:r>
      <w:r w:rsidRPr="00BD17CA">
        <w:rPr>
          <w:rFonts w:ascii="Arial" w:eastAsia="Arial" w:hAnsi="Arial" w:cs="Arial"/>
          <w:sz w:val="22"/>
          <w:szCs w:val="22"/>
        </w:rPr>
        <w:t>h</w:t>
      </w:r>
      <w:r w:rsidRPr="00FD4375">
        <w:rPr>
          <w:rFonts w:ascii="Arial" w:eastAsia="Arial" w:hAnsi="Arial" w:cs="Arial"/>
          <w:sz w:val="22"/>
          <w:szCs w:val="22"/>
        </w:rPr>
        <w:t>ar</w:t>
      </w:r>
      <w:r w:rsidRPr="00BD17CA">
        <w:rPr>
          <w:rFonts w:ascii="Arial" w:eastAsia="Arial" w:hAnsi="Arial" w:cs="Arial"/>
          <w:sz w:val="22"/>
          <w:szCs w:val="22"/>
        </w:rPr>
        <w:t>es</w:t>
      </w:r>
      <w:r w:rsidRPr="00FD4375">
        <w:rPr>
          <w:rFonts w:ascii="Arial" w:eastAsia="Arial" w:hAnsi="Arial" w:cs="Arial"/>
          <w:sz w:val="22"/>
          <w:szCs w:val="22"/>
        </w:rPr>
        <w:t xml:space="preserve"> s</w:t>
      </w:r>
      <w:r w:rsidRPr="00BD17CA">
        <w:rPr>
          <w:rFonts w:ascii="Arial" w:eastAsia="Arial" w:hAnsi="Arial" w:cs="Arial"/>
          <w:sz w:val="22"/>
          <w:szCs w:val="22"/>
        </w:rPr>
        <w:t>o</w:t>
      </w:r>
      <w:r w:rsidRPr="00FD4375">
        <w:rPr>
          <w:rFonts w:ascii="Arial" w:eastAsia="Arial" w:hAnsi="Arial" w:cs="Arial"/>
          <w:sz w:val="22"/>
          <w:szCs w:val="22"/>
        </w:rPr>
        <w:t>l</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sh</w:t>
      </w:r>
      <w:r w:rsidRPr="00FD4375">
        <w:rPr>
          <w:rFonts w:ascii="Arial" w:eastAsia="Arial" w:hAnsi="Arial" w:cs="Arial"/>
          <w:sz w:val="22"/>
          <w:szCs w:val="22"/>
        </w:rPr>
        <w:t>or</w:t>
      </w:r>
      <w:r w:rsidRPr="00BD17CA">
        <w:rPr>
          <w:rFonts w:ascii="Arial" w:eastAsia="Arial" w:hAnsi="Arial" w:cs="Arial"/>
          <w:sz w:val="22"/>
          <w:szCs w:val="22"/>
        </w:rPr>
        <w:t>t</w:t>
      </w:r>
      <w:r w:rsidRPr="00FD4375">
        <w:rPr>
          <w:rFonts w:ascii="Arial" w:eastAsia="Arial" w:hAnsi="Arial" w:cs="Arial"/>
          <w:sz w:val="22"/>
          <w:szCs w:val="22"/>
        </w:rPr>
        <w:t xml:space="preserve"> ar</w:t>
      </w:r>
      <w:r w:rsidRPr="00BD17CA">
        <w:rPr>
          <w:rFonts w:ascii="Arial" w:eastAsia="Arial" w:hAnsi="Arial" w:cs="Arial"/>
          <w:sz w:val="22"/>
          <w:szCs w:val="22"/>
        </w:rPr>
        <w:t>e</w:t>
      </w:r>
      <w:r w:rsidRPr="00FD4375">
        <w:rPr>
          <w:rFonts w:ascii="Arial" w:eastAsia="Arial" w:hAnsi="Arial" w:cs="Arial"/>
          <w:sz w:val="22"/>
          <w:szCs w:val="22"/>
        </w:rPr>
        <w:t xml:space="preserve"> u</w:t>
      </w:r>
      <w:r w:rsidRPr="00BD17CA">
        <w:rPr>
          <w:rFonts w:ascii="Arial" w:eastAsia="Arial" w:hAnsi="Arial" w:cs="Arial"/>
          <w:sz w:val="22"/>
          <w:szCs w:val="22"/>
        </w:rPr>
        <w:t>n</w:t>
      </w:r>
      <w:r w:rsidRPr="00FD4375">
        <w:rPr>
          <w:rFonts w:ascii="Arial" w:eastAsia="Arial" w:hAnsi="Arial" w:cs="Arial"/>
          <w:sz w:val="22"/>
          <w:szCs w:val="22"/>
        </w:rPr>
        <w:t>limi</w:t>
      </w:r>
      <w:r w:rsidRPr="00BD17CA">
        <w:rPr>
          <w:rFonts w:ascii="Arial" w:eastAsia="Arial" w:hAnsi="Arial" w:cs="Arial"/>
          <w:sz w:val="22"/>
          <w:szCs w:val="22"/>
        </w:rPr>
        <w:t>te</w:t>
      </w:r>
      <w:r w:rsidRPr="00FD4375">
        <w:rPr>
          <w:rFonts w:ascii="Arial" w:eastAsia="Arial" w:hAnsi="Arial" w:cs="Arial"/>
          <w:sz w:val="22"/>
          <w:szCs w:val="22"/>
        </w:rPr>
        <w:t>d</w:t>
      </w:r>
      <w:r w:rsidRPr="00BD17CA">
        <w:rPr>
          <w:rFonts w:ascii="Arial" w:eastAsia="Arial" w:hAnsi="Arial" w:cs="Arial"/>
          <w:sz w:val="22"/>
          <w:szCs w:val="22"/>
        </w:rPr>
        <w:t>.</w:t>
      </w:r>
    </w:p>
    <w:p w14:paraId="16A394D3" w14:textId="77777777" w:rsidR="009C7422" w:rsidRPr="00BD17CA" w:rsidRDefault="001706EB" w:rsidP="00FD4375">
      <w:pPr>
        <w:spacing w:after="200" w:line="276" w:lineRule="auto"/>
        <w:ind w:right="74"/>
        <w:jc w:val="both"/>
        <w:rPr>
          <w:rFonts w:ascii="Arial" w:eastAsia="Arial" w:hAnsi="Arial" w:cs="Arial"/>
          <w:sz w:val="22"/>
          <w:szCs w:val="22"/>
        </w:rPr>
      </w:pPr>
      <w:r w:rsidRPr="00FD4375">
        <w:rPr>
          <w:rFonts w:ascii="Arial" w:eastAsia="Arial" w:hAnsi="Arial" w:cs="Arial"/>
          <w:sz w:val="22"/>
          <w:szCs w:val="22"/>
        </w:rPr>
        <w:t>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g</w:t>
      </w:r>
      <w:r w:rsidRPr="00BD17CA">
        <w:rPr>
          <w:rFonts w:ascii="Arial" w:eastAsia="Arial" w:hAnsi="Arial" w:cs="Arial"/>
          <w:sz w:val="22"/>
          <w:szCs w:val="22"/>
        </w:rPr>
        <w:t>ers</w:t>
      </w:r>
      <w:r w:rsidRPr="00FD4375">
        <w:rPr>
          <w:rFonts w:ascii="Arial" w:eastAsia="Arial" w:hAnsi="Arial" w:cs="Arial"/>
          <w:sz w:val="22"/>
          <w:szCs w:val="22"/>
        </w:rPr>
        <w:t xml:space="preserve"> mi</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g</w:t>
      </w:r>
      <w:r w:rsidRPr="00FD4375">
        <w:rPr>
          <w:rFonts w:ascii="Arial" w:eastAsia="Arial" w:hAnsi="Arial" w:cs="Arial"/>
          <w:sz w:val="22"/>
          <w:szCs w:val="22"/>
        </w:rPr>
        <w:t>a</w:t>
      </w:r>
      <w:r w:rsidRPr="00BD17CA">
        <w:rPr>
          <w:rFonts w:ascii="Arial" w:eastAsia="Arial" w:hAnsi="Arial" w:cs="Arial"/>
          <w:sz w:val="22"/>
          <w:szCs w:val="22"/>
        </w:rPr>
        <w:t>te</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pr</w:t>
      </w:r>
      <w:r w:rsidRPr="00FD4375">
        <w:rPr>
          <w:rFonts w:ascii="Arial" w:eastAsia="Arial" w:hAnsi="Arial" w:cs="Arial"/>
          <w:sz w:val="22"/>
          <w:szCs w:val="22"/>
        </w:rPr>
        <w:t>ic</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r</w:t>
      </w:r>
      <w:r w:rsidRPr="00FD4375">
        <w:rPr>
          <w:rFonts w:ascii="Arial" w:eastAsia="Arial" w:hAnsi="Arial" w:cs="Arial"/>
          <w:sz w:val="22"/>
          <w:szCs w:val="22"/>
        </w:rPr>
        <w:t>is</w:t>
      </w:r>
      <w:r w:rsidRPr="00BD17CA">
        <w:rPr>
          <w:rFonts w:ascii="Arial" w:eastAsia="Arial" w:hAnsi="Arial" w:cs="Arial"/>
          <w:sz w:val="22"/>
          <w:szCs w:val="22"/>
        </w:rPr>
        <w:t>k t</w:t>
      </w:r>
      <w:r w:rsidRPr="00FD4375">
        <w:rPr>
          <w:rFonts w:ascii="Arial" w:eastAsia="Arial" w:hAnsi="Arial" w:cs="Arial"/>
          <w:sz w:val="22"/>
          <w:szCs w:val="22"/>
        </w:rPr>
        <w:t>hr</w:t>
      </w:r>
      <w:r w:rsidRPr="00BD17CA">
        <w:rPr>
          <w:rFonts w:ascii="Arial" w:eastAsia="Arial" w:hAnsi="Arial" w:cs="Arial"/>
          <w:sz w:val="22"/>
          <w:szCs w:val="22"/>
        </w:rPr>
        <w:t>o</w:t>
      </w:r>
      <w:r w:rsidRPr="00FD4375">
        <w:rPr>
          <w:rFonts w:ascii="Arial" w:eastAsia="Arial" w:hAnsi="Arial" w:cs="Arial"/>
          <w:sz w:val="22"/>
          <w:szCs w:val="22"/>
        </w:rPr>
        <w:t>u</w:t>
      </w:r>
      <w:r w:rsidRPr="00BD17CA">
        <w:rPr>
          <w:rFonts w:ascii="Arial" w:eastAsia="Arial" w:hAnsi="Arial" w:cs="Arial"/>
          <w:sz w:val="22"/>
          <w:szCs w:val="22"/>
        </w:rPr>
        <w:t>gh</w:t>
      </w:r>
      <w:r w:rsidRPr="00FD4375">
        <w:rPr>
          <w:rFonts w:ascii="Arial" w:eastAsia="Arial" w:hAnsi="Arial" w:cs="Arial"/>
          <w:sz w:val="22"/>
          <w:szCs w:val="22"/>
        </w:rPr>
        <w:t xml:space="preserve"> </w:t>
      </w:r>
      <w:r w:rsidRPr="00BD17CA">
        <w:rPr>
          <w:rFonts w:ascii="Arial" w:eastAsia="Arial" w:hAnsi="Arial" w:cs="Arial"/>
          <w:sz w:val="22"/>
          <w:szCs w:val="22"/>
        </w:rPr>
        <w:t>d</w:t>
      </w:r>
      <w:r w:rsidRPr="00FD4375">
        <w:rPr>
          <w:rFonts w:ascii="Arial" w:eastAsia="Arial" w:hAnsi="Arial" w:cs="Arial"/>
          <w:sz w:val="22"/>
          <w:szCs w:val="22"/>
        </w:rPr>
        <w:t>iv</w:t>
      </w:r>
      <w:r w:rsidRPr="00BD17CA">
        <w:rPr>
          <w:rFonts w:ascii="Arial" w:eastAsia="Arial" w:hAnsi="Arial" w:cs="Arial"/>
          <w:sz w:val="22"/>
          <w:szCs w:val="22"/>
        </w:rPr>
        <w:t>er</w:t>
      </w:r>
      <w:r w:rsidRPr="00FD4375">
        <w:rPr>
          <w:rFonts w:ascii="Arial" w:eastAsia="Arial" w:hAnsi="Arial" w:cs="Arial"/>
          <w:sz w:val="22"/>
          <w:szCs w:val="22"/>
        </w:rPr>
        <w:t>sific</w:t>
      </w:r>
      <w:r w:rsidRPr="00BD17CA">
        <w:rPr>
          <w:rFonts w:ascii="Arial" w:eastAsia="Arial" w:hAnsi="Arial" w:cs="Arial"/>
          <w:sz w:val="22"/>
          <w:szCs w:val="22"/>
        </w:rPr>
        <w:t>at</w:t>
      </w:r>
      <w:r w:rsidRPr="00FD4375">
        <w:rPr>
          <w:rFonts w:ascii="Arial" w:eastAsia="Arial" w:hAnsi="Arial" w:cs="Arial"/>
          <w:sz w:val="22"/>
          <w:szCs w:val="22"/>
        </w:rPr>
        <w:t>io</w:t>
      </w:r>
      <w:r w:rsidRPr="00BD17CA">
        <w:rPr>
          <w:rFonts w:ascii="Arial" w:eastAsia="Arial" w:hAnsi="Arial" w:cs="Arial"/>
          <w:sz w:val="22"/>
          <w:szCs w:val="22"/>
        </w:rPr>
        <w:t>n</w:t>
      </w:r>
      <w:r w:rsidRPr="00FD4375">
        <w:rPr>
          <w:rFonts w:ascii="Arial" w:eastAsia="Arial" w:hAnsi="Arial" w:cs="Arial"/>
          <w:sz w:val="22"/>
          <w:szCs w:val="22"/>
        </w:rPr>
        <w:t xml:space="preserve"> an</w:t>
      </w:r>
      <w:r w:rsidRPr="00BD17CA">
        <w:rPr>
          <w:rFonts w:ascii="Arial" w:eastAsia="Arial" w:hAnsi="Arial" w:cs="Arial"/>
          <w:sz w:val="22"/>
          <w:szCs w:val="22"/>
        </w:rPr>
        <w:t>d</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s</w:t>
      </w:r>
      <w:r w:rsidRPr="00BD17CA">
        <w:rPr>
          <w:rFonts w:ascii="Arial" w:eastAsia="Arial" w:hAnsi="Arial" w:cs="Arial"/>
          <w:sz w:val="22"/>
          <w:szCs w:val="22"/>
        </w:rPr>
        <w:t>e</w:t>
      </w:r>
      <w:r w:rsidRPr="00FD4375">
        <w:rPr>
          <w:rFonts w:ascii="Arial" w:eastAsia="Arial" w:hAnsi="Arial" w:cs="Arial"/>
          <w:sz w:val="22"/>
          <w:szCs w:val="22"/>
        </w:rPr>
        <w:t>l</w:t>
      </w:r>
      <w:r w:rsidRPr="00BD17CA">
        <w:rPr>
          <w:rFonts w:ascii="Arial" w:eastAsia="Arial" w:hAnsi="Arial" w:cs="Arial"/>
          <w:sz w:val="22"/>
          <w:szCs w:val="22"/>
        </w:rPr>
        <w:t>e</w:t>
      </w:r>
      <w:r w:rsidRPr="00FD4375">
        <w:rPr>
          <w:rFonts w:ascii="Arial" w:eastAsia="Arial" w:hAnsi="Arial" w:cs="Arial"/>
          <w:sz w:val="22"/>
          <w:szCs w:val="22"/>
        </w:rPr>
        <w:t>cti</w:t>
      </w:r>
      <w:r w:rsidRPr="00BD17CA">
        <w:rPr>
          <w:rFonts w:ascii="Arial" w:eastAsia="Arial" w:hAnsi="Arial" w:cs="Arial"/>
          <w:sz w:val="22"/>
          <w:szCs w:val="22"/>
        </w:rPr>
        <w:t>on</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s</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ur</w:t>
      </w:r>
      <w:r w:rsidRPr="00FD4375">
        <w:rPr>
          <w:rFonts w:ascii="Arial" w:eastAsia="Arial" w:hAnsi="Arial" w:cs="Arial"/>
          <w:sz w:val="22"/>
          <w:szCs w:val="22"/>
        </w:rPr>
        <w:t>i</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es 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ot</w:t>
      </w:r>
      <w:r w:rsidRPr="00FD4375">
        <w:rPr>
          <w:rFonts w:ascii="Arial" w:eastAsia="Arial" w:hAnsi="Arial" w:cs="Arial"/>
          <w:sz w:val="22"/>
          <w:szCs w:val="22"/>
        </w:rPr>
        <w:t>h</w:t>
      </w:r>
      <w:r w:rsidRPr="00BD17CA">
        <w:rPr>
          <w:rFonts w:ascii="Arial" w:eastAsia="Arial" w:hAnsi="Arial" w:cs="Arial"/>
          <w:sz w:val="22"/>
          <w:szCs w:val="22"/>
        </w:rPr>
        <w:t>er</w:t>
      </w:r>
      <w:r w:rsidRPr="00FD4375">
        <w:rPr>
          <w:rFonts w:ascii="Arial" w:eastAsia="Arial" w:hAnsi="Arial" w:cs="Arial"/>
          <w:sz w:val="22"/>
          <w:szCs w:val="22"/>
        </w:rPr>
        <w:t xml:space="preserve"> fin</w:t>
      </w:r>
      <w:r w:rsidRPr="00BD17CA">
        <w:rPr>
          <w:rFonts w:ascii="Arial" w:eastAsia="Arial" w:hAnsi="Arial" w:cs="Arial"/>
          <w:sz w:val="22"/>
          <w:szCs w:val="22"/>
        </w:rPr>
        <w:t>a</w:t>
      </w:r>
      <w:r w:rsidRPr="00FD4375">
        <w:rPr>
          <w:rFonts w:ascii="Arial" w:eastAsia="Arial" w:hAnsi="Arial" w:cs="Arial"/>
          <w:sz w:val="22"/>
          <w:szCs w:val="22"/>
        </w:rPr>
        <w:t>nci</w:t>
      </w:r>
      <w:r w:rsidRPr="00BD17CA">
        <w:rPr>
          <w:rFonts w:ascii="Arial" w:eastAsia="Arial" w:hAnsi="Arial" w:cs="Arial"/>
          <w:sz w:val="22"/>
          <w:szCs w:val="22"/>
        </w:rPr>
        <w:t>al</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tru</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i</w:t>
      </w:r>
      <w:r w:rsidRPr="00BD17CA">
        <w:rPr>
          <w:rFonts w:ascii="Arial" w:eastAsia="Arial" w:hAnsi="Arial" w:cs="Arial"/>
          <w:sz w:val="22"/>
          <w:szCs w:val="22"/>
        </w:rPr>
        <w:t xml:space="preserve">s </w:t>
      </w:r>
      <w:r w:rsidRPr="00FD4375">
        <w:rPr>
          <w:rFonts w:ascii="Arial" w:eastAsia="Arial" w:hAnsi="Arial" w:cs="Arial"/>
          <w:sz w:val="22"/>
          <w:szCs w:val="22"/>
        </w:rPr>
        <w:t>m</w:t>
      </w:r>
      <w:r w:rsidRPr="00BD17CA">
        <w:rPr>
          <w:rFonts w:ascii="Arial" w:eastAsia="Arial" w:hAnsi="Arial" w:cs="Arial"/>
          <w:sz w:val="22"/>
          <w:szCs w:val="22"/>
        </w:rPr>
        <w:t>o</w:t>
      </w:r>
      <w:r w:rsidRPr="00FD4375">
        <w:rPr>
          <w:rFonts w:ascii="Arial" w:eastAsia="Arial" w:hAnsi="Arial" w:cs="Arial"/>
          <w:sz w:val="22"/>
          <w:szCs w:val="22"/>
        </w:rPr>
        <w:t>ni</w:t>
      </w:r>
      <w:r w:rsidRPr="00BD17CA">
        <w:rPr>
          <w:rFonts w:ascii="Arial" w:eastAsia="Arial" w:hAnsi="Arial" w:cs="Arial"/>
          <w:sz w:val="22"/>
          <w:szCs w:val="22"/>
        </w:rPr>
        <w:t>tor</w:t>
      </w:r>
      <w:r w:rsidRPr="00FD4375">
        <w:rPr>
          <w:rFonts w:ascii="Arial" w:eastAsia="Arial" w:hAnsi="Arial" w:cs="Arial"/>
          <w:sz w:val="22"/>
          <w:szCs w:val="22"/>
        </w:rPr>
        <w:t>e</w:t>
      </w:r>
      <w:r w:rsidRPr="00BD17CA">
        <w:rPr>
          <w:rFonts w:ascii="Arial" w:eastAsia="Arial" w:hAnsi="Arial" w:cs="Arial"/>
          <w:sz w:val="22"/>
          <w:szCs w:val="22"/>
        </w:rPr>
        <w:t>d</w:t>
      </w:r>
      <w:r w:rsidRPr="00FD4375">
        <w:rPr>
          <w:rFonts w:ascii="Arial" w:eastAsia="Arial" w:hAnsi="Arial" w:cs="Arial"/>
          <w:sz w:val="22"/>
          <w:szCs w:val="22"/>
        </w:rPr>
        <w:t xml:space="preserve"> t</w:t>
      </w:r>
      <w:r w:rsidRPr="00BD17CA">
        <w:rPr>
          <w:rFonts w:ascii="Arial" w:eastAsia="Arial" w:hAnsi="Arial" w:cs="Arial"/>
          <w:sz w:val="22"/>
          <w:szCs w:val="22"/>
        </w:rPr>
        <w:t>o e</w:t>
      </w:r>
      <w:r w:rsidRPr="00FD4375">
        <w:rPr>
          <w:rFonts w:ascii="Arial" w:eastAsia="Arial" w:hAnsi="Arial" w:cs="Arial"/>
          <w:sz w:val="22"/>
          <w:szCs w:val="22"/>
        </w:rPr>
        <w:t>ns</w:t>
      </w:r>
      <w:r w:rsidRPr="00BD17CA">
        <w:rPr>
          <w:rFonts w:ascii="Arial" w:eastAsia="Arial" w:hAnsi="Arial" w:cs="Arial"/>
          <w:sz w:val="22"/>
          <w:szCs w:val="22"/>
        </w:rPr>
        <w:t>ure</w:t>
      </w:r>
      <w:r w:rsidRPr="00FD4375">
        <w:rPr>
          <w:rFonts w:ascii="Arial" w:eastAsia="Arial" w:hAnsi="Arial" w:cs="Arial"/>
          <w:sz w:val="22"/>
          <w:szCs w:val="22"/>
        </w:rPr>
        <w:t xml:space="preserve"> i</w:t>
      </w:r>
      <w:r w:rsidRPr="00BD17CA">
        <w:rPr>
          <w:rFonts w:ascii="Arial" w:eastAsia="Arial" w:hAnsi="Arial" w:cs="Arial"/>
          <w:sz w:val="22"/>
          <w:szCs w:val="22"/>
        </w:rPr>
        <w:t>t</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it</w:t>
      </w:r>
      <w:r w:rsidRPr="00BD17CA">
        <w:rPr>
          <w:rFonts w:ascii="Arial" w:eastAsia="Arial" w:hAnsi="Arial" w:cs="Arial"/>
          <w:sz w:val="22"/>
          <w:szCs w:val="22"/>
        </w:rPr>
        <w:t>h</w:t>
      </w:r>
      <w:r w:rsidRPr="00FD4375">
        <w:rPr>
          <w:rFonts w:ascii="Arial" w:eastAsia="Arial" w:hAnsi="Arial" w:cs="Arial"/>
          <w:sz w:val="22"/>
          <w:szCs w:val="22"/>
        </w:rPr>
        <w:t>i</w:t>
      </w:r>
      <w:r w:rsidRPr="00BD17CA">
        <w:rPr>
          <w:rFonts w:ascii="Arial" w:eastAsia="Arial" w:hAnsi="Arial" w:cs="Arial"/>
          <w:sz w:val="22"/>
          <w:szCs w:val="22"/>
        </w:rPr>
        <w:t>n</w:t>
      </w:r>
      <w:r w:rsidRPr="00FD4375">
        <w:rPr>
          <w:rFonts w:ascii="Arial" w:eastAsia="Arial" w:hAnsi="Arial" w:cs="Arial"/>
          <w:sz w:val="22"/>
          <w:szCs w:val="22"/>
        </w:rPr>
        <w:t xml:space="preserve"> limi</w:t>
      </w:r>
      <w:r w:rsidRPr="00BD17CA">
        <w:rPr>
          <w:rFonts w:ascii="Arial" w:eastAsia="Arial" w:hAnsi="Arial" w:cs="Arial"/>
          <w:sz w:val="22"/>
          <w:szCs w:val="22"/>
        </w:rPr>
        <w:t>ts</w:t>
      </w:r>
      <w:r w:rsidRPr="00FD4375">
        <w:rPr>
          <w:rFonts w:ascii="Arial" w:eastAsia="Arial" w:hAnsi="Arial" w:cs="Arial"/>
          <w:sz w:val="22"/>
          <w:szCs w:val="22"/>
        </w:rPr>
        <w:t xml:space="preserve"> s</w:t>
      </w:r>
      <w:r w:rsidRPr="00BD17CA">
        <w:rPr>
          <w:rFonts w:ascii="Arial" w:eastAsia="Arial" w:hAnsi="Arial" w:cs="Arial"/>
          <w:sz w:val="22"/>
          <w:szCs w:val="22"/>
        </w:rPr>
        <w:t>p</w:t>
      </w:r>
      <w:r w:rsidRPr="00FD4375">
        <w:rPr>
          <w:rFonts w:ascii="Arial" w:eastAsia="Arial" w:hAnsi="Arial" w:cs="Arial"/>
          <w:sz w:val="22"/>
          <w:szCs w:val="22"/>
        </w:rPr>
        <w:t>ecifi</w:t>
      </w:r>
      <w:r w:rsidRPr="00BD17CA">
        <w:rPr>
          <w:rFonts w:ascii="Arial" w:eastAsia="Arial" w:hAnsi="Arial" w:cs="Arial"/>
          <w:sz w:val="22"/>
          <w:szCs w:val="22"/>
        </w:rPr>
        <w:t>ed</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 xml:space="preserve">t </w:t>
      </w:r>
      <w:r w:rsidRPr="00FD4375">
        <w:rPr>
          <w:rFonts w:ascii="Arial" w:eastAsia="Arial" w:hAnsi="Arial" w:cs="Arial"/>
          <w:sz w:val="22"/>
          <w:szCs w:val="22"/>
        </w:rPr>
        <w:t>s</w:t>
      </w:r>
      <w:r w:rsidRPr="00BD17CA">
        <w:rPr>
          <w:rFonts w:ascii="Arial" w:eastAsia="Arial" w:hAnsi="Arial" w:cs="Arial"/>
          <w:sz w:val="22"/>
          <w:szCs w:val="22"/>
        </w:rPr>
        <w:t>trat</w:t>
      </w:r>
      <w:r w:rsidRPr="00FD4375">
        <w:rPr>
          <w:rFonts w:ascii="Arial" w:eastAsia="Arial" w:hAnsi="Arial" w:cs="Arial"/>
          <w:sz w:val="22"/>
          <w:szCs w:val="22"/>
        </w:rPr>
        <w:t>egy</w:t>
      </w:r>
      <w:r w:rsidRPr="00BD17CA">
        <w:rPr>
          <w:rFonts w:ascii="Arial" w:eastAsia="Arial" w:hAnsi="Arial" w:cs="Arial"/>
          <w:sz w:val="22"/>
          <w:szCs w:val="22"/>
        </w:rPr>
        <w:t>.</w:t>
      </w:r>
    </w:p>
    <w:p w14:paraId="05E257F7" w14:textId="77777777" w:rsidR="009C7422" w:rsidRPr="00FD4375" w:rsidRDefault="001706EB" w:rsidP="00FD4375">
      <w:pPr>
        <w:spacing w:after="200" w:line="276" w:lineRule="auto"/>
        <w:ind w:right="74"/>
        <w:jc w:val="both"/>
        <w:rPr>
          <w:rFonts w:ascii="Arial" w:eastAsia="Arial" w:hAnsi="Arial" w:cs="Arial"/>
          <w:b/>
          <w:bCs/>
          <w:sz w:val="22"/>
          <w:szCs w:val="22"/>
        </w:rPr>
      </w:pPr>
      <w:r w:rsidRPr="00FD4375">
        <w:rPr>
          <w:rFonts w:ascii="Arial" w:eastAsia="Arial" w:hAnsi="Arial" w:cs="Arial"/>
          <w:b/>
          <w:bCs/>
          <w:sz w:val="22"/>
          <w:szCs w:val="22"/>
        </w:rPr>
        <w:t>Other price risk – sensitivity analysis</w:t>
      </w:r>
    </w:p>
    <w:p w14:paraId="7EDAF173" w14:textId="0DE25E17" w:rsidR="009C7422" w:rsidRDefault="001706EB" w:rsidP="00FD4375">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In</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nsul</w:t>
      </w:r>
      <w:r w:rsidRPr="00BD17CA">
        <w:rPr>
          <w:rFonts w:ascii="Arial" w:eastAsia="Arial" w:hAnsi="Arial" w:cs="Arial"/>
          <w:sz w:val="22"/>
          <w:szCs w:val="22"/>
        </w:rPr>
        <w:t>ta</w:t>
      </w:r>
      <w:r w:rsidRPr="00FD4375">
        <w:rPr>
          <w:rFonts w:ascii="Arial" w:eastAsia="Arial" w:hAnsi="Arial" w:cs="Arial"/>
          <w:sz w:val="22"/>
          <w:szCs w:val="22"/>
        </w:rPr>
        <w:t>tio</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w:t>
      </w:r>
      <w:r w:rsidRPr="00BD17CA">
        <w:rPr>
          <w:rFonts w:ascii="Arial" w:eastAsia="Arial" w:hAnsi="Arial" w:cs="Arial"/>
          <w:sz w:val="22"/>
          <w:szCs w:val="22"/>
        </w:rPr>
        <w:t>th 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erf</w:t>
      </w:r>
      <w:r w:rsidRPr="00BD17CA">
        <w:rPr>
          <w:rFonts w:ascii="Arial" w:eastAsia="Arial" w:hAnsi="Arial" w:cs="Arial"/>
          <w:sz w:val="22"/>
          <w:szCs w:val="22"/>
        </w:rPr>
        <w:t>o</w:t>
      </w:r>
      <w:r w:rsidRPr="00FD4375">
        <w:rPr>
          <w:rFonts w:ascii="Arial" w:eastAsia="Arial" w:hAnsi="Arial" w:cs="Arial"/>
          <w:sz w:val="22"/>
          <w:szCs w:val="22"/>
        </w:rPr>
        <w:t>rm</w:t>
      </w:r>
      <w:r w:rsidRPr="00BD17CA">
        <w:rPr>
          <w:rFonts w:ascii="Arial" w:eastAsia="Arial" w:hAnsi="Arial" w:cs="Arial"/>
          <w:sz w:val="22"/>
          <w:szCs w:val="22"/>
        </w:rPr>
        <w:t>a</w:t>
      </w:r>
      <w:r w:rsidRPr="00FD4375">
        <w:rPr>
          <w:rFonts w:ascii="Arial" w:eastAsia="Arial" w:hAnsi="Arial" w:cs="Arial"/>
          <w:sz w:val="22"/>
          <w:szCs w:val="22"/>
        </w:rPr>
        <w:t>nc</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dvis</w:t>
      </w:r>
      <w:r w:rsidRPr="00BD17CA">
        <w:rPr>
          <w:rFonts w:ascii="Arial" w:eastAsia="Arial" w:hAnsi="Arial" w:cs="Arial"/>
          <w:sz w:val="22"/>
          <w:szCs w:val="22"/>
        </w:rPr>
        <w:t>er</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 h</w:t>
      </w:r>
      <w:r w:rsidRPr="00FD4375">
        <w:rPr>
          <w:rFonts w:ascii="Arial" w:eastAsia="Arial" w:hAnsi="Arial" w:cs="Arial"/>
          <w:sz w:val="22"/>
          <w:szCs w:val="22"/>
        </w:rPr>
        <w:t>a</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d</w:t>
      </w:r>
      <w:r w:rsidRPr="00FD4375">
        <w:rPr>
          <w:rFonts w:ascii="Arial" w:eastAsia="Arial" w:hAnsi="Arial" w:cs="Arial"/>
          <w:sz w:val="22"/>
          <w:szCs w:val="22"/>
        </w:rPr>
        <w:t>et</w:t>
      </w:r>
      <w:r w:rsidRPr="00BD17CA">
        <w:rPr>
          <w:rFonts w:ascii="Arial" w:eastAsia="Arial" w:hAnsi="Arial" w:cs="Arial"/>
          <w:sz w:val="22"/>
          <w:szCs w:val="22"/>
        </w:rPr>
        <w:t>er</w:t>
      </w:r>
      <w:r w:rsidRPr="00FD4375">
        <w:rPr>
          <w:rFonts w:ascii="Arial" w:eastAsia="Arial" w:hAnsi="Arial" w:cs="Arial"/>
          <w:sz w:val="22"/>
          <w:szCs w:val="22"/>
        </w:rPr>
        <w:t>mi</w:t>
      </w:r>
      <w:r w:rsidRPr="00BD17CA">
        <w:rPr>
          <w:rFonts w:ascii="Arial" w:eastAsia="Arial" w:hAnsi="Arial" w:cs="Arial"/>
          <w:sz w:val="22"/>
          <w:szCs w:val="22"/>
        </w:rPr>
        <w:t>n</w:t>
      </w:r>
      <w:r w:rsidRPr="00FD4375">
        <w:rPr>
          <w:rFonts w:ascii="Arial" w:eastAsia="Arial" w:hAnsi="Arial" w:cs="Arial"/>
          <w:sz w:val="22"/>
          <w:szCs w:val="22"/>
        </w:rPr>
        <w:t>e</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ha</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 xml:space="preserve">the </w:t>
      </w:r>
      <w:r w:rsidRPr="00FD4375">
        <w:rPr>
          <w:rFonts w:ascii="Arial" w:eastAsia="Arial" w:hAnsi="Arial" w:cs="Arial"/>
          <w:sz w:val="22"/>
          <w:szCs w:val="22"/>
        </w:rPr>
        <w:t>f</w:t>
      </w:r>
      <w:r w:rsidRPr="00BD17CA">
        <w:rPr>
          <w:rFonts w:ascii="Arial" w:eastAsia="Arial" w:hAnsi="Arial" w:cs="Arial"/>
          <w:sz w:val="22"/>
          <w:szCs w:val="22"/>
        </w:rPr>
        <w:t>o</w:t>
      </w:r>
      <w:r w:rsidRPr="00FD4375">
        <w:rPr>
          <w:rFonts w:ascii="Arial" w:eastAsia="Arial" w:hAnsi="Arial" w:cs="Arial"/>
          <w:sz w:val="22"/>
          <w:szCs w:val="22"/>
        </w:rPr>
        <w:t>llowi</w:t>
      </w:r>
      <w:r w:rsidRPr="00BD17CA">
        <w:rPr>
          <w:rFonts w:ascii="Arial" w:eastAsia="Arial" w:hAnsi="Arial" w:cs="Arial"/>
          <w:sz w:val="22"/>
          <w:szCs w:val="22"/>
        </w:rPr>
        <w:t>ng</w:t>
      </w:r>
      <w:r w:rsidRPr="00FD4375">
        <w:rPr>
          <w:rFonts w:ascii="Arial" w:eastAsia="Arial" w:hAnsi="Arial" w:cs="Arial"/>
          <w:sz w:val="22"/>
          <w:szCs w:val="22"/>
        </w:rPr>
        <w:t xml:space="preserve"> m</w:t>
      </w:r>
      <w:r w:rsidRPr="00BD17CA">
        <w:rPr>
          <w:rFonts w:ascii="Arial" w:eastAsia="Arial" w:hAnsi="Arial" w:cs="Arial"/>
          <w:sz w:val="22"/>
          <w:szCs w:val="22"/>
        </w:rPr>
        <w:t>o</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i</w:t>
      </w:r>
      <w:r w:rsidRPr="00BD17CA">
        <w:rPr>
          <w:rFonts w:ascii="Arial" w:eastAsia="Arial" w:hAnsi="Arial" w:cs="Arial"/>
          <w:sz w:val="22"/>
          <w:szCs w:val="22"/>
        </w:rPr>
        <w:t xml:space="preserve">n </w:t>
      </w:r>
      <w:r w:rsidRPr="00FD4375">
        <w:rPr>
          <w:rFonts w:ascii="Arial" w:eastAsia="Arial" w:hAnsi="Arial" w:cs="Arial"/>
          <w:sz w:val="22"/>
          <w:szCs w:val="22"/>
        </w:rPr>
        <w:t>m</w:t>
      </w:r>
      <w:r w:rsidRPr="00BD17CA">
        <w:rPr>
          <w:rFonts w:ascii="Arial" w:eastAsia="Arial" w:hAnsi="Arial" w:cs="Arial"/>
          <w:sz w:val="22"/>
          <w:szCs w:val="22"/>
        </w:rPr>
        <w:t>a</w:t>
      </w:r>
      <w:r w:rsidRPr="00FD4375">
        <w:rPr>
          <w:rFonts w:ascii="Arial" w:eastAsia="Arial" w:hAnsi="Arial" w:cs="Arial"/>
          <w:sz w:val="22"/>
          <w:szCs w:val="22"/>
        </w:rPr>
        <w:t>rk</w:t>
      </w:r>
      <w:r w:rsidRPr="00BD17CA">
        <w:rPr>
          <w:rFonts w:ascii="Arial" w:eastAsia="Arial" w:hAnsi="Arial" w:cs="Arial"/>
          <w:sz w:val="22"/>
          <w:szCs w:val="22"/>
        </w:rPr>
        <w:t>et</w:t>
      </w:r>
      <w:r w:rsidRPr="00FD4375">
        <w:rPr>
          <w:rFonts w:ascii="Arial" w:eastAsia="Arial" w:hAnsi="Arial" w:cs="Arial"/>
          <w:sz w:val="22"/>
          <w:szCs w:val="22"/>
        </w:rPr>
        <w:t xml:space="preserve"> </w:t>
      </w:r>
      <w:r w:rsidRPr="00BD17CA">
        <w:rPr>
          <w:rFonts w:ascii="Arial" w:eastAsia="Arial" w:hAnsi="Arial" w:cs="Arial"/>
          <w:sz w:val="22"/>
          <w:szCs w:val="22"/>
        </w:rPr>
        <w:t>price</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are</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aso</w:t>
      </w:r>
      <w:r w:rsidRPr="00BD17CA">
        <w:rPr>
          <w:rFonts w:ascii="Arial" w:eastAsia="Arial" w:hAnsi="Arial" w:cs="Arial"/>
          <w:sz w:val="22"/>
          <w:szCs w:val="22"/>
        </w:rPr>
        <w:t>n</w:t>
      </w:r>
      <w:r w:rsidRPr="00FD4375">
        <w:rPr>
          <w:rFonts w:ascii="Arial" w:eastAsia="Arial" w:hAnsi="Arial" w:cs="Arial"/>
          <w:sz w:val="22"/>
          <w:szCs w:val="22"/>
        </w:rPr>
        <w:t>abl</w:t>
      </w:r>
      <w:r w:rsidRPr="00BD17CA">
        <w:rPr>
          <w:rFonts w:ascii="Arial" w:eastAsia="Arial" w:hAnsi="Arial" w:cs="Arial"/>
          <w:sz w:val="22"/>
          <w:szCs w:val="22"/>
        </w:rPr>
        <w:t>y</w:t>
      </w:r>
      <w:r w:rsidRPr="00FD4375">
        <w:rPr>
          <w:rFonts w:ascii="Arial" w:eastAsia="Arial" w:hAnsi="Arial" w:cs="Arial"/>
          <w:sz w:val="22"/>
          <w:szCs w:val="22"/>
        </w:rPr>
        <w:t xml:space="preserve"> p</w:t>
      </w:r>
      <w:r w:rsidRPr="00BD17CA">
        <w:rPr>
          <w:rFonts w:ascii="Arial" w:eastAsia="Arial" w:hAnsi="Arial" w:cs="Arial"/>
          <w:sz w:val="22"/>
          <w:szCs w:val="22"/>
        </w:rPr>
        <w:t>o</w:t>
      </w:r>
      <w:r w:rsidRPr="00FD4375">
        <w:rPr>
          <w:rFonts w:ascii="Arial" w:eastAsia="Arial" w:hAnsi="Arial" w:cs="Arial"/>
          <w:sz w:val="22"/>
          <w:szCs w:val="22"/>
        </w:rPr>
        <w:t>ssibl</w:t>
      </w:r>
      <w:r w:rsidRPr="00BD17CA">
        <w:rPr>
          <w:rFonts w:ascii="Arial" w:eastAsia="Arial" w:hAnsi="Arial" w:cs="Arial"/>
          <w:sz w:val="22"/>
          <w:szCs w:val="22"/>
        </w:rPr>
        <w:t>e</w:t>
      </w:r>
      <w:r w:rsidRPr="00FD4375">
        <w:rPr>
          <w:rFonts w:ascii="Arial" w:eastAsia="Arial" w:hAnsi="Arial" w:cs="Arial"/>
          <w:sz w:val="22"/>
          <w:szCs w:val="22"/>
        </w:rPr>
        <w:t xml:space="preserve"> f</w:t>
      </w:r>
      <w:r w:rsidRPr="00BD17CA">
        <w:rPr>
          <w:rFonts w:ascii="Arial" w:eastAsia="Arial" w:hAnsi="Arial" w:cs="Arial"/>
          <w:sz w:val="22"/>
          <w:szCs w:val="22"/>
        </w:rPr>
        <w:t>or</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w:t>
      </w:r>
      <w:r w:rsidRPr="00BD17CA">
        <w:rPr>
          <w:rFonts w:ascii="Arial" w:eastAsia="Arial" w:hAnsi="Arial" w:cs="Arial"/>
          <w:sz w:val="22"/>
          <w:szCs w:val="22"/>
        </w:rPr>
        <w:t>2</w:t>
      </w:r>
      <w:r w:rsidRPr="00FD4375">
        <w:rPr>
          <w:rFonts w:ascii="Arial" w:eastAsia="Arial" w:hAnsi="Arial" w:cs="Arial"/>
          <w:sz w:val="22"/>
          <w:szCs w:val="22"/>
        </w:rPr>
        <w:t>0</w:t>
      </w:r>
      <w:r w:rsidRPr="00BD17CA">
        <w:rPr>
          <w:rFonts w:ascii="Arial" w:eastAsia="Arial" w:hAnsi="Arial" w:cs="Arial"/>
          <w:sz w:val="22"/>
          <w:szCs w:val="22"/>
        </w:rPr>
        <w:t>1</w:t>
      </w:r>
      <w:r w:rsidRPr="00FD4375">
        <w:rPr>
          <w:rFonts w:ascii="Arial" w:eastAsia="Arial" w:hAnsi="Arial" w:cs="Arial"/>
          <w:sz w:val="22"/>
          <w:szCs w:val="22"/>
        </w:rPr>
        <w:t>8/</w:t>
      </w:r>
      <w:r w:rsidRPr="00BD17CA">
        <w:rPr>
          <w:rFonts w:ascii="Arial" w:eastAsia="Arial" w:hAnsi="Arial" w:cs="Arial"/>
          <w:sz w:val="22"/>
          <w:szCs w:val="22"/>
        </w:rPr>
        <w:t>19</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p</w:t>
      </w:r>
      <w:r w:rsidRPr="00BD17CA">
        <w:rPr>
          <w:rFonts w:ascii="Arial" w:eastAsia="Arial" w:hAnsi="Arial" w:cs="Arial"/>
          <w:sz w:val="22"/>
          <w:szCs w:val="22"/>
        </w:rPr>
        <w:t>or</w:t>
      </w:r>
      <w:r w:rsidRPr="00FD4375">
        <w:rPr>
          <w:rFonts w:ascii="Arial" w:eastAsia="Arial" w:hAnsi="Arial" w:cs="Arial"/>
          <w:sz w:val="22"/>
          <w:szCs w:val="22"/>
        </w:rPr>
        <w:t>ti</w:t>
      </w:r>
      <w:r w:rsidRPr="00BD17CA">
        <w:rPr>
          <w:rFonts w:ascii="Arial" w:eastAsia="Arial" w:hAnsi="Arial" w:cs="Arial"/>
          <w:sz w:val="22"/>
          <w:szCs w:val="22"/>
        </w:rPr>
        <w:t>ng</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eri</w:t>
      </w:r>
      <w:r w:rsidRPr="00BD17CA">
        <w:rPr>
          <w:rFonts w:ascii="Arial" w:eastAsia="Arial" w:hAnsi="Arial" w:cs="Arial"/>
          <w:sz w:val="22"/>
          <w:szCs w:val="22"/>
        </w:rPr>
        <w:t>o</w:t>
      </w:r>
      <w:r w:rsidRPr="00FD4375">
        <w:rPr>
          <w:rFonts w:ascii="Arial" w:eastAsia="Arial" w:hAnsi="Arial" w:cs="Arial"/>
          <w:sz w:val="22"/>
          <w:szCs w:val="22"/>
        </w:rPr>
        <w:t>d</w:t>
      </w:r>
      <w:r w:rsidRPr="00BD17CA">
        <w:rPr>
          <w:rFonts w:ascii="Arial" w:eastAsia="Arial" w:hAnsi="Arial" w:cs="Arial"/>
          <w:sz w:val="22"/>
          <w:szCs w:val="22"/>
        </w:rPr>
        <w:t>,</w:t>
      </w:r>
      <w:r w:rsidRPr="00FD4375">
        <w:rPr>
          <w:rFonts w:ascii="Arial" w:eastAsia="Arial" w:hAnsi="Arial" w:cs="Arial"/>
          <w:sz w:val="22"/>
          <w:szCs w:val="22"/>
        </w:rPr>
        <w:t xml:space="preserve"> </w:t>
      </w:r>
      <w:proofErr w:type="gramStart"/>
      <w:r w:rsidRPr="00BD17CA">
        <w:rPr>
          <w:rFonts w:ascii="Arial" w:eastAsia="Arial" w:hAnsi="Arial" w:cs="Arial"/>
          <w:sz w:val="22"/>
          <w:szCs w:val="22"/>
        </w:rPr>
        <w:t>a</w:t>
      </w:r>
      <w:r w:rsidRPr="00FD4375">
        <w:rPr>
          <w:rFonts w:ascii="Arial" w:eastAsia="Arial" w:hAnsi="Arial" w:cs="Arial"/>
          <w:sz w:val="22"/>
          <w:szCs w:val="22"/>
        </w:rPr>
        <w:t>ss</w:t>
      </w:r>
      <w:r w:rsidRPr="00BD17CA">
        <w:rPr>
          <w:rFonts w:ascii="Arial" w:eastAsia="Arial" w:hAnsi="Arial" w:cs="Arial"/>
          <w:sz w:val="22"/>
          <w:szCs w:val="22"/>
        </w:rPr>
        <w:t>u</w:t>
      </w:r>
      <w:r w:rsidRPr="00FD4375">
        <w:rPr>
          <w:rFonts w:ascii="Arial" w:eastAsia="Arial" w:hAnsi="Arial" w:cs="Arial"/>
          <w:sz w:val="22"/>
          <w:szCs w:val="22"/>
        </w:rPr>
        <w:t>mi</w:t>
      </w:r>
      <w:r w:rsidRPr="00BD17CA">
        <w:rPr>
          <w:rFonts w:ascii="Arial" w:eastAsia="Arial" w:hAnsi="Arial" w:cs="Arial"/>
          <w:sz w:val="22"/>
          <w:szCs w:val="22"/>
        </w:rPr>
        <w:t>ng</w:t>
      </w:r>
      <w:r w:rsidRPr="00FD4375">
        <w:rPr>
          <w:rFonts w:ascii="Arial" w:eastAsia="Arial" w:hAnsi="Arial" w:cs="Arial"/>
          <w:sz w:val="22"/>
          <w:szCs w:val="22"/>
        </w:rPr>
        <w:t xml:space="preserve"> </w:t>
      </w:r>
      <w:r w:rsidRPr="00BD17CA">
        <w:rPr>
          <w:rFonts w:ascii="Arial" w:eastAsia="Arial" w:hAnsi="Arial" w:cs="Arial"/>
          <w:sz w:val="22"/>
          <w:szCs w:val="22"/>
        </w:rPr>
        <w:t>th</w:t>
      </w:r>
      <w:r w:rsidRPr="00FD4375">
        <w:rPr>
          <w:rFonts w:ascii="Arial" w:eastAsia="Arial" w:hAnsi="Arial" w:cs="Arial"/>
          <w:sz w:val="22"/>
          <w:szCs w:val="22"/>
        </w:rPr>
        <w:t>a</w:t>
      </w:r>
      <w:r w:rsidRPr="00BD17CA">
        <w:rPr>
          <w:rFonts w:ascii="Arial" w:eastAsia="Arial" w:hAnsi="Arial" w:cs="Arial"/>
          <w:sz w:val="22"/>
          <w:szCs w:val="22"/>
        </w:rPr>
        <w:t>t</w:t>
      </w:r>
      <w:proofErr w:type="gramEnd"/>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l</w:t>
      </w:r>
      <w:r w:rsidRPr="00BD17CA">
        <w:rPr>
          <w:rFonts w:ascii="Arial" w:eastAsia="Arial" w:hAnsi="Arial" w:cs="Arial"/>
          <w:sz w:val="22"/>
          <w:szCs w:val="22"/>
        </w:rPr>
        <w:t>l</w:t>
      </w:r>
      <w:r w:rsidRPr="00FD4375">
        <w:rPr>
          <w:rFonts w:ascii="Arial" w:eastAsia="Arial" w:hAnsi="Arial" w:cs="Arial"/>
          <w:sz w:val="22"/>
          <w:szCs w:val="22"/>
        </w:rPr>
        <w:t xml:space="preserve"> </w:t>
      </w:r>
      <w:r w:rsidRPr="00BD17CA">
        <w:rPr>
          <w:rFonts w:ascii="Arial" w:eastAsia="Arial" w:hAnsi="Arial" w:cs="Arial"/>
          <w:sz w:val="22"/>
          <w:szCs w:val="22"/>
        </w:rPr>
        <w:t>o</w:t>
      </w:r>
      <w:r w:rsidRPr="00FD4375">
        <w:rPr>
          <w:rFonts w:ascii="Arial" w:eastAsia="Arial" w:hAnsi="Arial" w:cs="Arial"/>
          <w:sz w:val="22"/>
          <w:szCs w:val="22"/>
        </w:rPr>
        <w:t>t</w:t>
      </w:r>
      <w:r w:rsidRPr="00BD17CA">
        <w:rPr>
          <w:rFonts w:ascii="Arial" w:eastAsia="Arial" w:hAnsi="Arial" w:cs="Arial"/>
          <w:sz w:val="22"/>
          <w:szCs w:val="22"/>
        </w:rPr>
        <w:t>h</w:t>
      </w:r>
      <w:r w:rsidRPr="00FD4375">
        <w:rPr>
          <w:rFonts w:ascii="Arial" w:eastAsia="Arial" w:hAnsi="Arial" w:cs="Arial"/>
          <w:sz w:val="22"/>
          <w:szCs w:val="22"/>
        </w:rPr>
        <w:t>e</w:t>
      </w:r>
      <w:r w:rsidRPr="00BD17CA">
        <w:rPr>
          <w:rFonts w:ascii="Arial" w:eastAsia="Arial" w:hAnsi="Arial" w:cs="Arial"/>
          <w:sz w:val="22"/>
          <w:szCs w:val="22"/>
        </w:rPr>
        <w:t>r</w:t>
      </w:r>
      <w:r w:rsidRPr="00FD4375">
        <w:rPr>
          <w:rFonts w:ascii="Arial" w:eastAsia="Arial" w:hAnsi="Arial" w:cs="Arial"/>
          <w:sz w:val="22"/>
          <w:szCs w:val="22"/>
        </w:rPr>
        <w:t xml:space="preserve"> v</w:t>
      </w:r>
      <w:r w:rsidRPr="00BD17CA">
        <w:rPr>
          <w:rFonts w:ascii="Arial" w:eastAsia="Arial" w:hAnsi="Arial" w:cs="Arial"/>
          <w:sz w:val="22"/>
          <w:szCs w:val="22"/>
        </w:rPr>
        <w:t>ari</w:t>
      </w:r>
      <w:r w:rsidRPr="00FD4375">
        <w:rPr>
          <w:rFonts w:ascii="Arial" w:eastAsia="Arial" w:hAnsi="Arial" w:cs="Arial"/>
          <w:sz w:val="22"/>
          <w:szCs w:val="22"/>
        </w:rPr>
        <w:t>a</w:t>
      </w:r>
      <w:r w:rsidRPr="00BD17CA">
        <w:rPr>
          <w:rFonts w:ascii="Arial" w:eastAsia="Arial" w:hAnsi="Arial" w:cs="Arial"/>
          <w:sz w:val="22"/>
          <w:szCs w:val="22"/>
        </w:rPr>
        <w:t>b</w:t>
      </w:r>
      <w:r w:rsidRPr="00FD4375">
        <w:rPr>
          <w:rFonts w:ascii="Arial" w:eastAsia="Arial" w:hAnsi="Arial" w:cs="Arial"/>
          <w:sz w:val="22"/>
          <w:szCs w:val="22"/>
        </w:rPr>
        <w:t>l</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i</w:t>
      </w:r>
      <w:r w:rsidRPr="00BD17CA">
        <w:rPr>
          <w:rFonts w:ascii="Arial" w:eastAsia="Arial" w:hAnsi="Arial" w:cs="Arial"/>
          <w:sz w:val="22"/>
          <w:szCs w:val="22"/>
        </w:rPr>
        <w:t>n p</w:t>
      </w:r>
      <w:r w:rsidRPr="00FD4375">
        <w:rPr>
          <w:rFonts w:ascii="Arial" w:eastAsia="Arial" w:hAnsi="Arial" w:cs="Arial"/>
          <w:sz w:val="22"/>
          <w:szCs w:val="22"/>
        </w:rPr>
        <w:t>ar</w:t>
      </w:r>
      <w:r w:rsidRPr="00BD17CA">
        <w:rPr>
          <w:rFonts w:ascii="Arial" w:eastAsia="Arial" w:hAnsi="Arial" w:cs="Arial"/>
          <w:sz w:val="22"/>
          <w:szCs w:val="22"/>
        </w:rPr>
        <w:t>t</w:t>
      </w:r>
      <w:r w:rsidRPr="00FD4375">
        <w:rPr>
          <w:rFonts w:ascii="Arial" w:eastAsia="Arial" w:hAnsi="Arial" w:cs="Arial"/>
          <w:sz w:val="22"/>
          <w:szCs w:val="22"/>
        </w:rPr>
        <w:t>icul</w:t>
      </w:r>
      <w:r w:rsidRPr="00BD17CA">
        <w:rPr>
          <w:rFonts w:ascii="Arial" w:eastAsia="Arial" w:hAnsi="Arial" w:cs="Arial"/>
          <w:sz w:val="22"/>
          <w:szCs w:val="22"/>
        </w:rPr>
        <w:t>ar</w:t>
      </w:r>
      <w:r w:rsidRPr="00FD4375">
        <w:rPr>
          <w:rFonts w:ascii="Arial" w:eastAsia="Arial" w:hAnsi="Arial" w:cs="Arial"/>
          <w:sz w:val="22"/>
          <w:szCs w:val="22"/>
        </w:rPr>
        <w:t xml:space="preserve"> f</w:t>
      </w:r>
      <w:r w:rsidRPr="00BD17CA">
        <w:rPr>
          <w:rFonts w:ascii="Arial" w:eastAsia="Arial" w:hAnsi="Arial" w:cs="Arial"/>
          <w:sz w:val="22"/>
          <w:szCs w:val="22"/>
        </w:rPr>
        <w:t>ore</w:t>
      </w:r>
      <w:r w:rsidRPr="00FD4375">
        <w:rPr>
          <w:rFonts w:ascii="Arial" w:eastAsia="Arial" w:hAnsi="Arial" w:cs="Arial"/>
          <w:sz w:val="22"/>
          <w:szCs w:val="22"/>
        </w:rPr>
        <w:t>ig</w:t>
      </w:r>
      <w:r w:rsidRPr="00BD17CA">
        <w:rPr>
          <w:rFonts w:ascii="Arial" w:eastAsia="Arial" w:hAnsi="Arial" w:cs="Arial"/>
          <w:sz w:val="22"/>
          <w:szCs w:val="22"/>
        </w:rPr>
        <w:t>n</w:t>
      </w:r>
      <w:r w:rsidRPr="00FD4375">
        <w:rPr>
          <w:rFonts w:ascii="Arial" w:eastAsia="Arial" w:hAnsi="Arial" w:cs="Arial"/>
          <w:sz w:val="22"/>
          <w:szCs w:val="22"/>
        </w:rPr>
        <w:t xml:space="preserve"> exc</w:t>
      </w:r>
      <w:r w:rsidRPr="00BD17CA">
        <w:rPr>
          <w:rFonts w:ascii="Arial" w:eastAsia="Arial" w:hAnsi="Arial" w:cs="Arial"/>
          <w:sz w:val="22"/>
          <w:szCs w:val="22"/>
        </w:rPr>
        <w:t>h</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g</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rat</w:t>
      </w:r>
      <w:r w:rsidRPr="00FD4375">
        <w:rPr>
          <w:rFonts w:ascii="Arial" w:eastAsia="Arial" w:hAnsi="Arial" w:cs="Arial"/>
          <w:sz w:val="22"/>
          <w:szCs w:val="22"/>
        </w:rPr>
        <w:t>e</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i</w:t>
      </w:r>
      <w:r w:rsidRPr="00BD17CA">
        <w:rPr>
          <w:rFonts w:ascii="Arial" w:eastAsia="Arial" w:hAnsi="Arial" w:cs="Arial"/>
          <w:sz w:val="22"/>
          <w:szCs w:val="22"/>
        </w:rPr>
        <w:t>nt</w:t>
      </w:r>
      <w:r w:rsidRPr="00FD4375">
        <w:rPr>
          <w:rFonts w:ascii="Arial" w:eastAsia="Arial" w:hAnsi="Arial" w:cs="Arial"/>
          <w:sz w:val="22"/>
          <w:szCs w:val="22"/>
        </w:rPr>
        <w:t>er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ra</w:t>
      </w:r>
      <w:r w:rsidRPr="00FD4375">
        <w:rPr>
          <w:rFonts w:ascii="Arial" w:eastAsia="Arial" w:hAnsi="Arial" w:cs="Arial"/>
          <w:sz w:val="22"/>
          <w:szCs w:val="22"/>
        </w:rPr>
        <w:t>t</w:t>
      </w:r>
      <w:r w:rsidRPr="00BD17CA">
        <w:rPr>
          <w:rFonts w:ascii="Arial" w:eastAsia="Arial" w:hAnsi="Arial" w:cs="Arial"/>
          <w:sz w:val="22"/>
          <w:szCs w:val="22"/>
        </w:rPr>
        <w:t>es</w:t>
      </w:r>
      <w:r w:rsidRPr="00FD4375">
        <w:rPr>
          <w:rFonts w:ascii="Arial" w:eastAsia="Arial" w:hAnsi="Arial" w:cs="Arial"/>
          <w:sz w:val="22"/>
          <w:szCs w:val="22"/>
        </w:rPr>
        <w:t xml:space="preserve"> </w:t>
      </w:r>
      <w:r w:rsidRPr="00BD17CA">
        <w:rPr>
          <w:rFonts w:ascii="Arial" w:eastAsia="Arial" w:hAnsi="Arial" w:cs="Arial"/>
          <w:sz w:val="22"/>
          <w:szCs w:val="22"/>
        </w:rPr>
        <w:t>r</w:t>
      </w:r>
      <w:r w:rsidRPr="00FD4375">
        <w:rPr>
          <w:rFonts w:ascii="Arial" w:eastAsia="Arial" w:hAnsi="Arial" w:cs="Arial"/>
          <w:sz w:val="22"/>
          <w:szCs w:val="22"/>
        </w:rPr>
        <w:t>em</w:t>
      </w:r>
      <w:r w:rsidRPr="00BD17CA">
        <w:rPr>
          <w:rFonts w:ascii="Arial" w:eastAsia="Arial" w:hAnsi="Arial" w:cs="Arial"/>
          <w:sz w:val="22"/>
          <w:szCs w:val="22"/>
        </w:rPr>
        <w:t>a</w:t>
      </w:r>
      <w:r w:rsidRPr="00FD4375">
        <w:rPr>
          <w:rFonts w:ascii="Arial" w:eastAsia="Arial" w:hAnsi="Arial" w:cs="Arial"/>
          <w:sz w:val="22"/>
          <w:szCs w:val="22"/>
        </w:rPr>
        <w:t>i</w:t>
      </w:r>
      <w:r w:rsidRPr="00BD17CA">
        <w:rPr>
          <w:rFonts w:ascii="Arial" w:eastAsia="Arial" w:hAnsi="Arial" w:cs="Arial"/>
          <w:sz w:val="22"/>
          <w:szCs w:val="22"/>
        </w:rPr>
        <w:t>n</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s</w:t>
      </w:r>
      <w:r w:rsidRPr="00BD17CA">
        <w:rPr>
          <w:rFonts w:ascii="Arial" w:eastAsia="Arial" w:hAnsi="Arial" w:cs="Arial"/>
          <w:sz w:val="22"/>
          <w:szCs w:val="22"/>
        </w:rPr>
        <w:t>a</w:t>
      </w:r>
      <w:r w:rsidRPr="00FD4375">
        <w:rPr>
          <w:rFonts w:ascii="Arial" w:eastAsia="Arial" w:hAnsi="Arial" w:cs="Arial"/>
          <w:sz w:val="22"/>
          <w:szCs w:val="22"/>
        </w:rPr>
        <w:t>m</w:t>
      </w:r>
      <w:r w:rsidRPr="00BD17CA">
        <w:rPr>
          <w:rFonts w:ascii="Arial" w:eastAsia="Arial" w:hAnsi="Arial" w:cs="Arial"/>
          <w:sz w:val="22"/>
          <w:szCs w:val="22"/>
        </w:rPr>
        <w:t>e:</w:t>
      </w:r>
    </w:p>
    <w:p w14:paraId="40404B4F" w14:textId="383780BD" w:rsidR="006F6496" w:rsidRPr="00BD17CA" w:rsidRDefault="006F6496" w:rsidP="00FD4375">
      <w:pPr>
        <w:spacing w:after="200" w:line="276" w:lineRule="auto"/>
        <w:ind w:right="74"/>
        <w:jc w:val="both"/>
        <w:rPr>
          <w:rFonts w:ascii="Arial" w:eastAsia="Arial" w:hAnsi="Arial" w:cs="Arial"/>
          <w:sz w:val="22"/>
          <w:szCs w:val="22"/>
        </w:rPr>
      </w:pPr>
      <w:r w:rsidRPr="006F6496">
        <w:rPr>
          <w:rFonts w:eastAsia="Arial"/>
          <w:noProof/>
        </w:rPr>
        <w:drawing>
          <wp:inline distT="0" distB="0" distL="0" distR="0" wp14:anchorId="0CFDFF92" wp14:editId="7A72D377">
            <wp:extent cx="6438900" cy="184150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38900" cy="1841500"/>
                    </a:xfrm>
                    <a:prstGeom prst="rect">
                      <a:avLst/>
                    </a:prstGeom>
                    <a:noFill/>
                    <a:ln>
                      <a:noFill/>
                    </a:ln>
                  </pic:spPr>
                </pic:pic>
              </a:graphicData>
            </a:graphic>
          </wp:inline>
        </w:drawing>
      </w:r>
    </w:p>
    <w:p w14:paraId="40FD0D51" w14:textId="69356DC3" w:rsidR="009C7422" w:rsidRPr="00FD4375" w:rsidRDefault="00FD4375" w:rsidP="00FD4375">
      <w:pPr>
        <w:spacing w:after="200" w:line="276" w:lineRule="auto"/>
        <w:ind w:right="74"/>
        <w:jc w:val="both"/>
        <w:rPr>
          <w:rFonts w:ascii="Arial" w:eastAsia="Arial" w:hAnsi="Arial" w:cs="Arial"/>
          <w:sz w:val="22"/>
          <w:szCs w:val="22"/>
        </w:rPr>
      </w:pPr>
      <w:r w:rsidRPr="00FD4375">
        <w:rPr>
          <w:rFonts w:eastAsia="Arial"/>
          <w:noProof/>
        </w:rPr>
        <w:lastRenderedPageBreak/>
        <w:drawing>
          <wp:inline distT="0" distB="0" distL="0" distR="0" wp14:anchorId="78E4E9E8" wp14:editId="45BE882D">
            <wp:extent cx="6648450" cy="1968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8450" cy="1968500"/>
                    </a:xfrm>
                    <a:prstGeom prst="rect">
                      <a:avLst/>
                    </a:prstGeom>
                    <a:noFill/>
                    <a:ln>
                      <a:noFill/>
                    </a:ln>
                  </pic:spPr>
                </pic:pic>
              </a:graphicData>
            </a:graphic>
          </wp:inline>
        </w:drawing>
      </w:r>
    </w:p>
    <w:p w14:paraId="67D060A4" w14:textId="77777777" w:rsidR="009C7422" w:rsidRPr="00FD4375" w:rsidRDefault="001706EB" w:rsidP="00FD4375">
      <w:pPr>
        <w:spacing w:after="200" w:line="276" w:lineRule="auto"/>
        <w:ind w:right="74"/>
        <w:jc w:val="both"/>
        <w:rPr>
          <w:rFonts w:ascii="Arial" w:eastAsia="Arial" w:hAnsi="Arial" w:cs="Arial"/>
          <w:b/>
          <w:bCs/>
          <w:sz w:val="22"/>
          <w:szCs w:val="22"/>
        </w:rPr>
      </w:pPr>
      <w:r w:rsidRPr="00FD4375">
        <w:rPr>
          <w:rFonts w:ascii="Arial" w:eastAsia="Arial" w:hAnsi="Arial" w:cs="Arial"/>
          <w:b/>
          <w:bCs/>
          <w:sz w:val="22"/>
          <w:szCs w:val="22"/>
        </w:rPr>
        <w:t>Interest rate risk</w:t>
      </w:r>
    </w:p>
    <w:p w14:paraId="4018659F" w14:textId="77777777" w:rsidR="009C7422" w:rsidRPr="00BD17CA" w:rsidRDefault="001706EB" w:rsidP="00FD4375">
      <w:pPr>
        <w:spacing w:after="200" w:line="276" w:lineRule="auto"/>
        <w:ind w:right="74"/>
        <w:jc w:val="both"/>
        <w:rPr>
          <w:rFonts w:ascii="Arial" w:eastAsia="Arial" w:hAnsi="Arial" w:cs="Arial"/>
          <w:sz w:val="22"/>
          <w:szCs w:val="22"/>
        </w:rPr>
      </w:pPr>
      <w:r w:rsidRPr="00FD4375">
        <w:rPr>
          <w:rFonts w:ascii="Arial" w:eastAsia="Arial" w:hAnsi="Arial" w:cs="Arial"/>
          <w:sz w:val="22"/>
          <w:szCs w:val="22"/>
        </w:rPr>
        <w:t>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fin</w:t>
      </w:r>
      <w:r w:rsidRPr="00BD17CA">
        <w:rPr>
          <w:rFonts w:ascii="Arial" w:eastAsia="Arial" w:hAnsi="Arial" w:cs="Arial"/>
          <w:sz w:val="22"/>
          <w:szCs w:val="22"/>
        </w:rPr>
        <w:t>a</w:t>
      </w:r>
      <w:r w:rsidRPr="00FD4375">
        <w:rPr>
          <w:rFonts w:ascii="Arial" w:eastAsia="Arial" w:hAnsi="Arial" w:cs="Arial"/>
          <w:sz w:val="22"/>
          <w:szCs w:val="22"/>
        </w:rPr>
        <w:t>nci</w:t>
      </w:r>
      <w:r w:rsidRPr="00BD17CA">
        <w:rPr>
          <w:rFonts w:ascii="Arial" w:eastAsia="Arial" w:hAnsi="Arial" w:cs="Arial"/>
          <w:sz w:val="22"/>
          <w:szCs w:val="22"/>
        </w:rPr>
        <w:t>al</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ss</w:t>
      </w:r>
      <w:r w:rsidRPr="00BD17CA">
        <w:rPr>
          <w:rFonts w:ascii="Arial" w:eastAsia="Arial" w:hAnsi="Arial" w:cs="Arial"/>
          <w:sz w:val="22"/>
          <w:szCs w:val="22"/>
        </w:rPr>
        <w:t>ets</w:t>
      </w:r>
      <w:r w:rsidRPr="00FD4375">
        <w:rPr>
          <w:rFonts w:ascii="Arial" w:eastAsia="Arial" w:hAnsi="Arial" w:cs="Arial"/>
          <w:sz w:val="22"/>
          <w:szCs w:val="22"/>
        </w:rPr>
        <w:t xml:space="preserve"> f</w:t>
      </w:r>
      <w:r w:rsidRPr="00BD17CA">
        <w:rPr>
          <w:rFonts w:ascii="Arial" w:eastAsia="Arial" w:hAnsi="Arial" w:cs="Arial"/>
          <w:sz w:val="22"/>
          <w:szCs w:val="22"/>
        </w:rPr>
        <w:t>or</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w:t>
      </w:r>
      <w:r w:rsidRPr="00BD17CA">
        <w:rPr>
          <w:rFonts w:ascii="Arial" w:eastAsia="Arial" w:hAnsi="Arial" w:cs="Arial"/>
          <w:sz w:val="22"/>
          <w:szCs w:val="22"/>
        </w:rPr>
        <w:t>pri</w:t>
      </w:r>
      <w:r w:rsidRPr="00FD4375">
        <w:rPr>
          <w:rFonts w:ascii="Arial" w:eastAsia="Arial" w:hAnsi="Arial" w:cs="Arial"/>
          <w:sz w:val="22"/>
          <w:szCs w:val="22"/>
        </w:rPr>
        <w:t>m</w:t>
      </w:r>
      <w:r w:rsidRPr="00BD17CA">
        <w:rPr>
          <w:rFonts w:ascii="Arial" w:eastAsia="Arial" w:hAnsi="Arial" w:cs="Arial"/>
          <w:sz w:val="22"/>
          <w:szCs w:val="22"/>
        </w:rPr>
        <w:t>ary</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ur</w:t>
      </w:r>
      <w:r w:rsidRPr="00BD17CA">
        <w:rPr>
          <w:rFonts w:ascii="Arial" w:eastAsia="Arial" w:hAnsi="Arial" w:cs="Arial"/>
          <w:sz w:val="22"/>
          <w:szCs w:val="22"/>
        </w:rPr>
        <w:t>p</w:t>
      </w:r>
      <w:r w:rsidRPr="00FD4375">
        <w:rPr>
          <w:rFonts w:ascii="Arial" w:eastAsia="Arial" w:hAnsi="Arial" w:cs="Arial"/>
          <w:sz w:val="22"/>
          <w:szCs w:val="22"/>
        </w:rPr>
        <w:t>os</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o</w:t>
      </w:r>
      <w:r w:rsidRPr="00BD17CA">
        <w:rPr>
          <w:rFonts w:ascii="Arial" w:eastAsia="Arial" w:hAnsi="Arial" w:cs="Arial"/>
          <w:sz w:val="22"/>
          <w:szCs w:val="22"/>
        </w:rPr>
        <w:t>bt</w:t>
      </w:r>
      <w:r w:rsidRPr="00FD4375">
        <w:rPr>
          <w:rFonts w:ascii="Arial" w:eastAsia="Arial" w:hAnsi="Arial" w:cs="Arial"/>
          <w:sz w:val="22"/>
          <w:szCs w:val="22"/>
        </w:rPr>
        <w:t>ainin</w:t>
      </w:r>
      <w:r w:rsidRPr="00BD17CA">
        <w:rPr>
          <w:rFonts w:ascii="Arial" w:eastAsia="Arial" w:hAnsi="Arial" w:cs="Arial"/>
          <w:sz w:val="22"/>
          <w:szCs w:val="22"/>
        </w:rPr>
        <w:t>g</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t</w:t>
      </w:r>
      <w:r w:rsidRPr="00BD17CA">
        <w:rPr>
          <w:rFonts w:ascii="Arial" w:eastAsia="Arial" w:hAnsi="Arial" w:cs="Arial"/>
          <w:sz w:val="22"/>
          <w:szCs w:val="22"/>
        </w:rPr>
        <w:t>urn</w:t>
      </w:r>
      <w:r w:rsidRPr="00FD4375">
        <w:rPr>
          <w:rFonts w:ascii="Arial" w:eastAsia="Arial" w:hAnsi="Arial" w:cs="Arial"/>
          <w:sz w:val="22"/>
          <w:szCs w:val="22"/>
        </w:rPr>
        <w:t xml:space="preserve"> </w:t>
      </w:r>
      <w:r w:rsidRPr="00BD17CA">
        <w:rPr>
          <w:rFonts w:ascii="Arial" w:eastAsia="Arial" w:hAnsi="Arial" w:cs="Arial"/>
          <w:sz w:val="22"/>
          <w:szCs w:val="22"/>
        </w:rPr>
        <w:t>on</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s</w:t>
      </w:r>
      <w:r w:rsidRPr="00BD17CA">
        <w:rPr>
          <w:rFonts w:ascii="Arial" w:eastAsia="Arial" w:hAnsi="Arial" w:cs="Arial"/>
          <w:sz w:val="22"/>
          <w:szCs w:val="22"/>
        </w:rPr>
        <w:t xml:space="preserve">. </w:t>
      </w:r>
      <w:r w:rsidRPr="00FD4375">
        <w:rPr>
          <w:rFonts w:ascii="Arial" w:eastAsia="Arial" w:hAnsi="Arial" w:cs="Arial"/>
          <w:sz w:val="22"/>
          <w:szCs w:val="22"/>
        </w:rPr>
        <w:t>T</w:t>
      </w:r>
      <w:r w:rsidRPr="00BD17CA">
        <w:rPr>
          <w:rFonts w:ascii="Arial" w:eastAsia="Arial" w:hAnsi="Arial" w:cs="Arial"/>
          <w:sz w:val="22"/>
          <w:szCs w:val="22"/>
        </w:rPr>
        <w:t>h</w:t>
      </w:r>
      <w:r w:rsidRPr="00FD4375">
        <w:rPr>
          <w:rFonts w:ascii="Arial" w:eastAsia="Arial" w:hAnsi="Arial" w:cs="Arial"/>
          <w:sz w:val="22"/>
          <w:szCs w:val="22"/>
        </w:rPr>
        <w:t>es</w:t>
      </w:r>
      <w:r w:rsidRPr="00BD17CA">
        <w:rPr>
          <w:rFonts w:ascii="Arial" w:eastAsia="Arial" w:hAnsi="Arial" w:cs="Arial"/>
          <w:sz w:val="22"/>
          <w:szCs w:val="22"/>
        </w:rPr>
        <w:t xml:space="preserve">e </w:t>
      </w:r>
      <w:r w:rsidRPr="00FD4375">
        <w:rPr>
          <w:rFonts w:ascii="Arial" w:eastAsia="Arial" w:hAnsi="Arial" w:cs="Arial"/>
          <w:sz w:val="22"/>
          <w:szCs w:val="22"/>
        </w:rPr>
        <w:t>inv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are</w:t>
      </w:r>
      <w:r w:rsidRPr="00FD4375">
        <w:rPr>
          <w:rFonts w:ascii="Arial" w:eastAsia="Arial" w:hAnsi="Arial" w:cs="Arial"/>
          <w:sz w:val="22"/>
          <w:szCs w:val="22"/>
        </w:rPr>
        <w:t xml:space="preserve"> s</w:t>
      </w:r>
      <w:r w:rsidRPr="00BD17CA">
        <w:rPr>
          <w:rFonts w:ascii="Arial" w:eastAsia="Arial" w:hAnsi="Arial" w:cs="Arial"/>
          <w:sz w:val="22"/>
          <w:szCs w:val="22"/>
        </w:rPr>
        <w:t>u</w:t>
      </w:r>
      <w:r w:rsidRPr="00FD4375">
        <w:rPr>
          <w:rFonts w:ascii="Arial" w:eastAsia="Arial" w:hAnsi="Arial" w:cs="Arial"/>
          <w:sz w:val="22"/>
          <w:szCs w:val="22"/>
        </w:rPr>
        <w:t>bj</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i</w:t>
      </w:r>
      <w:r w:rsidRPr="00BD17CA">
        <w:rPr>
          <w:rFonts w:ascii="Arial" w:eastAsia="Arial" w:hAnsi="Arial" w:cs="Arial"/>
          <w:sz w:val="22"/>
          <w:szCs w:val="22"/>
        </w:rPr>
        <w:t>nt</w:t>
      </w:r>
      <w:r w:rsidRPr="00FD4375">
        <w:rPr>
          <w:rFonts w:ascii="Arial" w:eastAsia="Arial" w:hAnsi="Arial" w:cs="Arial"/>
          <w:sz w:val="22"/>
          <w:szCs w:val="22"/>
        </w:rPr>
        <w:t>er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 xml:space="preserve"> r</w:t>
      </w:r>
      <w:r w:rsidRPr="00BD17CA">
        <w:rPr>
          <w:rFonts w:ascii="Arial" w:eastAsia="Arial" w:hAnsi="Arial" w:cs="Arial"/>
          <w:sz w:val="22"/>
          <w:szCs w:val="22"/>
        </w:rPr>
        <w:t>ate</w:t>
      </w:r>
      <w:r w:rsidRPr="00FD4375">
        <w:rPr>
          <w:rFonts w:ascii="Arial" w:eastAsia="Arial" w:hAnsi="Arial" w:cs="Arial"/>
          <w:sz w:val="22"/>
          <w:szCs w:val="22"/>
        </w:rPr>
        <w:t xml:space="preserve"> risk</w:t>
      </w:r>
      <w:r w:rsidRPr="00BD17CA">
        <w:rPr>
          <w:rFonts w:ascii="Arial" w:eastAsia="Arial" w:hAnsi="Arial" w:cs="Arial"/>
          <w:sz w:val="22"/>
          <w:szCs w:val="22"/>
        </w:rPr>
        <w:t>,</w:t>
      </w:r>
      <w:r w:rsidRPr="00FD4375">
        <w:rPr>
          <w:rFonts w:ascii="Arial" w:eastAsia="Arial" w:hAnsi="Arial" w:cs="Arial"/>
          <w:sz w:val="22"/>
          <w:szCs w:val="22"/>
        </w:rPr>
        <w:t xml:space="preserve"> w</w:t>
      </w:r>
      <w:r w:rsidRPr="00BD17CA">
        <w:rPr>
          <w:rFonts w:ascii="Arial" w:eastAsia="Arial" w:hAnsi="Arial" w:cs="Arial"/>
          <w:sz w:val="22"/>
          <w:szCs w:val="22"/>
        </w:rPr>
        <w:t>h</w:t>
      </w:r>
      <w:r w:rsidRPr="00FD4375">
        <w:rPr>
          <w:rFonts w:ascii="Arial" w:eastAsia="Arial" w:hAnsi="Arial" w:cs="Arial"/>
          <w:sz w:val="22"/>
          <w:szCs w:val="22"/>
        </w:rPr>
        <w:t>ic</w:t>
      </w:r>
      <w:r w:rsidRPr="00BD17CA">
        <w:rPr>
          <w:rFonts w:ascii="Arial" w:eastAsia="Arial" w:hAnsi="Arial" w:cs="Arial"/>
          <w:sz w:val="22"/>
          <w:szCs w:val="22"/>
        </w:rPr>
        <w:t>h</w:t>
      </w:r>
      <w:r w:rsidRPr="00FD4375">
        <w:rPr>
          <w:rFonts w:ascii="Arial" w:eastAsia="Arial" w:hAnsi="Arial" w:cs="Arial"/>
          <w:sz w:val="22"/>
          <w:szCs w:val="22"/>
        </w:rPr>
        <w:t xml:space="preserve"> re</w:t>
      </w:r>
      <w:r w:rsidRPr="00BD17CA">
        <w:rPr>
          <w:rFonts w:ascii="Arial" w:eastAsia="Arial" w:hAnsi="Arial" w:cs="Arial"/>
          <w:sz w:val="22"/>
          <w:szCs w:val="22"/>
        </w:rPr>
        <w:t>p</w:t>
      </w:r>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th</w:t>
      </w:r>
      <w:r w:rsidRPr="00FD4375">
        <w:rPr>
          <w:rFonts w:ascii="Arial" w:eastAsia="Arial" w:hAnsi="Arial" w:cs="Arial"/>
          <w:sz w:val="22"/>
          <w:szCs w:val="22"/>
        </w:rPr>
        <w:t>a</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f</w:t>
      </w:r>
      <w:r w:rsidRPr="00BD17CA">
        <w:rPr>
          <w:rFonts w:ascii="Arial" w:eastAsia="Arial" w:hAnsi="Arial" w:cs="Arial"/>
          <w:sz w:val="22"/>
          <w:szCs w:val="22"/>
        </w:rPr>
        <w:t>a</w:t>
      </w:r>
      <w:r w:rsidRPr="00FD4375">
        <w:rPr>
          <w:rFonts w:ascii="Arial" w:eastAsia="Arial" w:hAnsi="Arial" w:cs="Arial"/>
          <w:sz w:val="22"/>
          <w:szCs w:val="22"/>
        </w:rPr>
        <w:t>i</w:t>
      </w:r>
      <w:r w:rsidRPr="00BD17CA">
        <w:rPr>
          <w:rFonts w:ascii="Arial" w:eastAsia="Arial" w:hAnsi="Arial" w:cs="Arial"/>
          <w:sz w:val="22"/>
          <w:szCs w:val="22"/>
        </w:rPr>
        <w:t>r</w:t>
      </w:r>
      <w:r w:rsidRPr="00FD4375">
        <w:rPr>
          <w:rFonts w:ascii="Arial" w:eastAsia="Arial" w:hAnsi="Arial" w:cs="Arial"/>
          <w:sz w:val="22"/>
          <w:szCs w:val="22"/>
        </w:rPr>
        <w:t xml:space="preserve"> val</w:t>
      </w:r>
      <w:r w:rsidRPr="00BD17CA">
        <w:rPr>
          <w:rFonts w:ascii="Arial" w:eastAsia="Arial" w:hAnsi="Arial" w:cs="Arial"/>
          <w:sz w:val="22"/>
          <w:szCs w:val="22"/>
        </w:rPr>
        <w:t>ue</w:t>
      </w:r>
      <w:r w:rsidRPr="00FD4375">
        <w:rPr>
          <w:rFonts w:ascii="Arial" w:eastAsia="Arial" w:hAnsi="Arial" w:cs="Arial"/>
          <w:sz w:val="22"/>
          <w:szCs w:val="22"/>
        </w:rPr>
        <w:t xml:space="preserve"> </w:t>
      </w:r>
      <w:r w:rsidRPr="00BD17CA">
        <w:rPr>
          <w:rFonts w:ascii="Arial" w:eastAsia="Arial" w:hAnsi="Arial" w:cs="Arial"/>
          <w:sz w:val="22"/>
          <w:szCs w:val="22"/>
        </w:rPr>
        <w:t>or</w:t>
      </w:r>
      <w:r w:rsidRPr="00FD4375">
        <w:rPr>
          <w:rFonts w:ascii="Arial" w:eastAsia="Arial" w:hAnsi="Arial" w:cs="Arial"/>
          <w:sz w:val="22"/>
          <w:szCs w:val="22"/>
        </w:rPr>
        <w:t xml:space="preserve"> f</w:t>
      </w:r>
      <w:r w:rsidRPr="00BD17CA">
        <w:rPr>
          <w:rFonts w:ascii="Arial" w:eastAsia="Arial" w:hAnsi="Arial" w:cs="Arial"/>
          <w:sz w:val="22"/>
          <w:szCs w:val="22"/>
        </w:rPr>
        <w:t>ut</w:t>
      </w:r>
      <w:r w:rsidRPr="00FD4375">
        <w:rPr>
          <w:rFonts w:ascii="Arial" w:eastAsia="Arial" w:hAnsi="Arial" w:cs="Arial"/>
          <w:sz w:val="22"/>
          <w:szCs w:val="22"/>
        </w:rPr>
        <w:t>ur</w:t>
      </w:r>
      <w:r w:rsidRPr="00BD17CA">
        <w:rPr>
          <w:rFonts w:ascii="Arial" w:eastAsia="Arial" w:hAnsi="Arial" w:cs="Arial"/>
          <w:sz w:val="22"/>
          <w:szCs w:val="22"/>
        </w:rPr>
        <w:t>e</w:t>
      </w:r>
      <w:r w:rsidRPr="00FD4375">
        <w:rPr>
          <w:rFonts w:ascii="Arial" w:eastAsia="Arial" w:hAnsi="Arial" w:cs="Arial"/>
          <w:sz w:val="22"/>
          <w:szCs w:val="22"/>
        </w:rPr>
        <w:t xml:space="preserve"> c</w:t>
      </w:r>
      <w:r w:rsidRPr="00BD17CA">
        <w:rPr>
          <w:rFonts w:ascii="Arial" w:eastAsia="Arial" w:hAnsi="Arial" w:cs="Arial"/>
          <w:sz w:val="22"/>
          <w:szCs w:val="22"/>
        </w:rPr>
        <w:t>a</w:t>
      </w:r>
      <w:r w:rsidRPr="00FD4375">
        <w:rPr>
          <w:rFonts w:ascii="Arial" w:eastAsia="Arial" w:hAnsi="Arial" w:cs="Arial"/>
          <w:sz w:val="22"/>
          <w:szCs w:val="22"/>
        </w:rPr>
        <w:t>s</w:t>
      </w:r>
      <w:r w:rsidRPr="00BD17CA">
        <w:rPr>
          <w:rFonts w:ascii="Arial" w:eastAsia="Arial" w:hAnsi="Arial" w:cs="Arial"/>
          <w:sz w:val="22"/>
          <w:szCs w:val="22"/>
        </w:rPr>
        <w:t>h</w:t>
      </w:r>
      <w:r w:rsidRPr="00FD4375">
        <w:rPr>
          <w:rFonts w:ascii="Arial" w:eastAsia="Arial" w:hAnsi="Arial" w:cs="Arial"/>
          <w:sz w:val="22"/>
          <w:szCs w:val="22"/>
        </w:rPr>
        <w:t xml:space="preserve"> flow</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of a</w:t>
      </w:r>
      <w:r w:rsidRPr="00FD4375">
        <w:rPr>
          <w:rFonts w:ascii="Arial" w:eastAsia="Arial" w:hAnsi="Arial" w:cs="Arial"/>
          <w:sz w:val="22"/>
          <w:szCs w:val="22"/>
        </w:rPr>
        <w:t xml:space="preserve"> fi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ci</w:t>
      </w:r>
      <w:r w:rsidRPr="00BD17CA">
        <w:rPr>
          <w:rFonts w:ascii="Arial" w:eastAsia="Arial" w:hAnsi="Arial" w:cs="Arial"/>
          <w:sz w:val="22"/>
          <w:szCs w:val="22"/>
        </w:rPr>
        <w:t>al</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tru</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wil</w:t>
      </w:r>
      <w:r w:rsidRPr="00BD17CA">
        <w:rPr>
          <w:rFonts w:ascii="Arial" w:eastAsia="Arial" w:hAnsi="Arial" w:cs="Arial"/>
          <w:sz w:val="22"/>
          <w:szCs w:val="22"/>
        </w:rPr>
        <w:t xml:space="preserve">l </w:t>
      </w:r>
      <w:r w:rsidRPr="00FD4375">
        <w:rPr>
          <w:rFonts w:ascii="Arial" w:eastAsia="Arial" w:hAnsi="Arial" w:cs="Arial"/>
          <w:sz w:val="22"/>
          <w:szCs w:val="22"/>
        </w:rPr>
        <w:t>fl</w:t>
      </w:r>
      <w:r w:rsidRPr="00BD17CA">
        <w:rPr>
          <w:rFonts w:ascii="Arial" w:eastAsia="Arial" w:hAnsi="Arial" w:cs="Arial"/>
          <w:sz w:val="22"/>
          <w:szCs w:val="22"/>
        </w:rPr>
        <w:t>u</w:t>
      </w:r>
      <w:r w:rsidRPr="00FD4375">
        <w:rPr>
          <w:rFonts w:ascii="Arial" w:eastAsia="Arial" w:hAnsi="Arial" w:cs="Arial"/>
          <w:sz w:val="22"/>
          <w:szCs w:val="22"/>
        </w:rPr>
        <w:t>c</w:t>
      </w:r>
      <w:r w:rsidRPr="00BD17CA">
        <w:rPr>
          <w:rFonts w:ascii="Arial" w:eastAsia="Arial" w:hAnsi="Arial" w:cs="Arial"/>
          <w:sz w:val="22"/>
          <w:szCs w:val="22"/>
        </w:rPr>
        <w:t>tu</w:t>
      </w:r>
      <w:r w:rsidRPr="00FD4375">
        <w:rPr>
          <w:rFonts w:ascii="Arial" w:eastAsia="Arial" w:hAnsi="Arial" w:cs="Arial"/>
          <w:sz w:val="22"/>
          <w:szCs w:val="22"/>
        </w:rPr>
        <w:t>a</w:t>
      </w:r>
      <w:r w:rsidRPr="00BD17CA">
        <w:rPr>
          <w:rFonts w:ascii="Arial" w:eastAsia="Arial" w:hAnsi="Arial" w:cs="Arial"/>
          <w:sz w:val="22"/>
          <w:szCs w:val="22"/>
        </w:rPr>
        <w:t>te</w:t>
      </w:r>
      <w:r w:rsidRPr="00FD4375">
        <w:rPr>
          <w:rFonts w:ascii="Arial" w:eastAsia="Arial" w:hAnsi="Arial" w:cs="Arial"/>
          <w:sz w:val="22"/>
          <w:szCs w:val="22"/>
        </w:rPr>
        <w:t xml:space="preserve"> </w:t>
      </w:r>
      <w:r w:rsidRPr="00BD17CA">
        <w:rPr>
          <w:rFonts w:ascii="Arial" w:eastAsia="Arial" w:hAnsi="Arial" w:cs="Arial"/>
          <w:sz w:val="22"/>
          <w:szCs w:val="22"/>
        </w:rPr>
        <w:t>b</w:t>
      </w:r>
      <w:r w:rsidRPr="00FD4375">
        <w:rPr>
          <w:rFonts w:ascii="Arial" w:eastAsia="Arial" w:hAnsi="Arial" w:cs="Arial"/>
          <w:sz w:val="22"/>
          <w:szCs w:val="22"/>
        </w:rPr>
        <w:t>eca</w:t>
      </w:r>
      <w:r w:rsidRPr="00BD17CA">
        <w:rPr>
          <w:rFonts w:ascii="Arial" w:eastAsia="Arial" w:hAnsi="Arial" w:cs="Arial"/>
          <w:sz w:val="22"/>
          <w:szCs w:val="22"/>
        </w:rPr>
        <w:t>u</w:t>
      </w:r>
      <w:r w:rsidRPr="00FD4375">
        <w:rPr>
          <w:rFonts w:ascii="Arial" w:eastAsia="Arial" w:hAnsi="Arial" w:cs="Arial"/>
          <w:sz w:val="22"/>
          <w:szCs w:val="22"/>
        </w:rPr>
        <w:t>s</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c</w:t>
      </w:r>
      <w:r w:rsidRPr="00BD17CA">
        <w:rPr>
          <w:rFonts w:ascii="Arial" w:eastAsia="Arial" w:hAnsi="Arial" w:cs="Arial"/>
          <w:sz w:val="22"/>
          <w:szCs w:val="22"/>
        </w:rPr>
        <w:t>h</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ge</w:t>
      </w:r>
      <w:r w:rsidRPr="00BD17CA">
        <w:rPr>
          <w:rFonts w:ascii="Arial" w:eastAsia="Arial" w:hAnsi="Arial" w:cs="Arial"/>
          <w:sz w:val="22"/>
          <w:szCs w:val="22"/>
        </w:rPr>
        <w:t>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rk</w:t>
      </w:r>
      <w:r w:rsidRPr="00BD17CA">
        <w:rPr>
          <w:rFonts w:ascii="Arial" w:eastAsia="Arial" w:hAnsi="Arial" w:cs="Arial"/>
          <w:sz w:val="22"/>
          <w:szCs w:val="22"/>
        </w:rPr>
        <w:t>et</w:t>
      </w:r>
      <w:r w:rsidRPr="00FD4375">
        <w:rPr>
          <w:rFonts w:ascii="Arial" w:eastAsia="Arial" w:hAnsi="Arial" w:cs="Arial"/>
          <w:sz w:val="22"/>
          <w:szCs w:val="22"/>
        </w:rPr>
        <w:t xml:space="preserve"> i</w:t>
      </w:r>
      <w:r w:rsidRPr="00BD17CA">
        <w:rPr>
          <w:rFonts w:ascii="Arial" w:eastAsia="Arial" w:hAnsi="Arial" w:cs="Arial"/>
          <w:sz w:val="22"/>
          <w:szCs w:val="22"/>
        </w:rPr>
        <w:t>nt</w:t>
      </w:r>
      <w:r w:rsidRPr="00FD4375">
        <w:rPr>
          <w:rFonts w:ascii="Arial" w:eastAsia="Arial" w:hAnsi="Arial" w:cs="Arial"/>
          <w:sz w:val="22"/>
          <w:szCs w:val="22"/>
        </w:rPr>
        <w:t>er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 xml:space="preserve"> r</w:t>
      </w:r>
      <w:r w:rsidRPr="00BD17CA">
        <w:rPr>
          <w:rFonts w:ascii="Arial" w:eastAsia="Arial" w:hAnsi="Arial" w:cs="Arial"/>
          <w:sz w:val="22"/>
          <w:szCs w:val="22"/>
        </w:rPr>
        <w:t>at</w:t>
      </w:r>
      <w:r w:rsidRPr="00FD4375">
        <w:rPr>
          <w:rFonts w:ascii="Arial" w:eastAsia="Arial" w:hAnsi="Arial" w:cs="Arial"/>
          <w:sz w:val="22"/>
          <w:szCs w:val="22"/>
        </w:rPr>
        <w:t>es</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 xml:space="preserve">d's </w:t>
      </w:r>
      <w:r w:rsidRPr="00FD4375">
        <w:rPr>
          <w:rFonts w:ascii="Arial" w:eastAsia="Arial" w:hAnsi="Arial" w:cs="Arial"/>
          <w:sz w:val="22"/>
          <w:szCs w:val="22"/>
        </w:rPr>
        <w:t>i</w:t>
      </w:r>
      <w:r w:rsidRPr="00BD17CA">
        <w:rPr>
          <w:rFonts w:ascii="Arial" w:eastAsia="Arial" w:hAnsi="Arial" w:cs="Arial"/>
          <w:sz w:val="22"/>
          <w:szCs w:val="22"/>
        </w:rPr>
        <w:t>nt</w:t>
      </w:r>
      <w:r w:rsidRPr="00FD4375">
        <w:rPr>
          <w:rFonts w:ascii="Arial" w:eastAsia="Arial" w:hAnsi="Arial" w:cs="Arial"/>
          <w:sz w:val="22"/>
          <w:szCs w:val="22"/>
        </w:rPr>
        <w:t>er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 xml:space="preserve"> r</w:t>
      </w:r>
      <w:r w:rsidRPr="00BD17CA">
        <w:rPr>
          <w:rFonts w:ascii="Arial" w:eastAsia="Arial" w:hAnsi="Arial" w:cs="Arial"/>
          <w:sz w:val="22"/>
          <w:szCs w:val="22"/>
        </w:rPr>
        <w:t>a</w:t>
      </w:r>
      <w:r w:rsidRPr="00FD4375">
        <w:rPr>
          <w:rFonts w:ascii="Arial" w:eastAsia="Arial" w:hAnsi="Arial" w:cs="Arial"/>
          <w:sz w:val="22"/>
          <w:szCs w:val="22"/>
        </w:rPr>
        <w:t>t</w:t>
      </w:r>
      <w:r w:rsidRPr="00BD17CA">
        <w:rPr>
          <w:rFonts w:ascii="Arial" w:eastAsia="Arial" w:hAnsi="Arial" w:cs="Arial"/>
          <w:sz w:val="22"/>
          <w:szCs w:val="22"/>
        </w:rPr>
        <w:t>e</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i</w:t>
      </w:r>
      <w:r w:rsidRPr="00BD17CA">
        <w:rPr>
          <w:rFonts w:ascii="Arial" w:eastAsia="Arial" w:hAnsi="Arial" w:cs="Arial"/>
          <w:sz w:val="22"/>
          <w:szCs w:val="22"/>
        </w:rPr>
        <w:t xml:space="preserve">s </w:t>
      </w:r>
      <w:r w:rsidRPr="00FD4375">
        <w:rPr>
          <w:rFonts w:ascii="Arial" w:eastAsia="Arial" w:hAnsi="Arial" w:cs="Arial"/>
          <w:sz w:val="22"/>
          <w:szCs w:val="22"/>
        </w:rPr>
        <w:t>r</w:t>
      </w:r>
      <w:r w:rsidRPr="00BD17CA">
        <w:rPr>
          <w:rFonts w:ascii="Arial" w:eastAsia="Arial" w:hAnsi="Arial" w:cs="Arial"/>
          <w:sz w:val="22"/>
          <w:szCs w:val="22"/>
        </w:rPr>
        <w:t>o</w:t>
      </w:r>
      <w:r w:rsidRPr="00FD4375">
        <w:rPr>
          <w:rFonts w:ascii="Arial" w:eastAsia="Arial" w:hAnsi="Arial" w:cs="Arial"/>
          <w:sz w:val="22"/>
          <w:szCs w:val="22"/>
        </w:rPr>
        <w:t>u</w:t>
      </w:r>
      <w:r w:rsidRPr="00BD17CA">
        <w:rPr>
          <w:rFonts w:ascii="Arial" w:eastAsia="Arial" w:hAnsi="Arial" w:cs="Arial"/>
          <w:sz w:val="22"/>
          <w:szCs w:val="22"/>
        </w:rPr>
        <w:t>t</w:t>
      </w:r>
      <w:r w:rsidRPr="00FD4375">
        <w:rPr>
          <w:rFonts w:ascii="Arial" w:eastAsia="Arial" w:hAnsi="Arial" w:cs="Arial"/>
          <w:sz w:val="22"/>
          <w:szCs w:val="22"/>
        </w:rPr>
        <w:t>in</w:t>
      </w:r>
      <w:r w:rsidRPr="00BD17CA">
        <w:rPr>
          <w:rFonts w:ascii="Arial" w:eastAsia="Arial" w:hAnsi="Arial" w:cs="Arial"/>
          <w:sz w:val="22"/>
          <w:szCs w:val="22"/>
        </w:rPr>
        <w:t>e</w:t>
      </w:r>
      <w:r w:rsidRPr="00FD4375">
        <w:rPr>
          <w:rFonts w:ascii="Arial" w:eastAsia="Arial" w:hAnsi="Arial" w:cs="Arial"/>
          <w:sz w:val="22"/>
          <w:szCs w:val="22"/>
        </w:rPr>
        <w:t>l</w:t>
      </w:r>
      <w:r w:rsidRPr="00BD17CA">
        <w:rPr>
          <w:rFonts w:ascii="Arial" w:eastAsia="Arial" w:hAnsi="Arial" w:cs="Arial"/>
          <w:sz w:val="22"/>
          <w:szCs w:val="22"/>
        </w:rPr>
        <w:t>y</w:t>
      </w:r>
      <w:r w:rsidRPr="00FD4375">
        <w:rPr>
          <w:rFonts w:ascii="Arial" w:eastAsia="Arial" w:hAnsi="Arial" w:cs="Arial"/>
          <w:sz w:val="22"/>
          <w:szCs w:val="22"/>
        </w:rPr>
        <w:t xml:space="preserve"> m</w:t>
      </w:r>
      <w:r w:rsidRPr="00BD17CA">
        <w:rPr>
          <w:rFonts w:ascii="Arial" w:eastAsia="Arial" w:hAnsi="Arial" w:cs="Arial"/>
          <w:sz w:val="22"/>
          <w:szCs w:val="22"/>
        </w:rPr>
        <w:t>o</w:t>
      </w:r>
      <w:r w:rsidRPr="00FD4375">
        <w:rPr>
          <w:rFonts w:ascii="Arial" w:eastAsia="Arial" w:hAnsi="Arial" w:cs="Arial"/>
          <w:sz w:val="22"/>
          <w:szCs w:val="22"/>
        </w:rPr>
        <w:t>ni</w:t>
      </w:r>
      <w:r w:rsidRPr="00BD17CA">
        <w:rPr>
          <w:rFonts w:ascii="Arial" w:eastAsia="Arial" w:hAnsi="Arial" w:cs="Arial"/>
          <w:sz w:val="22"/>
          <w:szCs w:val="22"/>
        </w:rPr>
        <w:t>tor</w:t>
      </w:r>
      <w:r w:rsidRPr="00FD4375">
        <w:rPr>
          <w:rFonts w:ascii="Arial" w:eastAsia="Arial" w:hAnsi="Arial" w:cs="Arial"/>
          <w:sz w:val="22"/>
          <w:szCs w:val="22"/>
        </w:rPr>
        <w:t>e</w:t>
      </w:r>
      <w:r w:rsidRPr="00BD17CA">
        <w:rPr>
          <w:rFonts w:ascii="Arial" w:eastAsia="Arial" w:hAnsi="Arial" w:cs="Arial"/>
          <w:sz w:val="22"/>
          <w:szCs w:val="22"/>
        </w:rPr>
        <w:t xml:space="preserve">d </w:t>
      </w:r>
      <w:r w:rsidRPr="00FD4375">
        <w:rPr>
          <w:rFonts w:ascii="Arial" w:eastAsia="Arial" w:hAnsi="Arial" w:cs="Arial"/>
          <w:sz w:val="22"/>
          <w:szCs w:val="22"/>
        </w:rPr>
        <w:t>b</w:t>
      </w:r>
      <w:r w:rsidRPr="00BD17CA">
        <w:rPr>
          <w:rFonts w:ascii="Arial" w:eastAsia="Arial" w:hAnsi="Arial" w:cs="Arial"/>
          <w:sz w:val="22"/>
          <w:szCs w:val="22"/>
        </w:rPr>
        <w:t>y</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e</w:t>
      </w:r>
      <w:r w:rsidRPr="00BD17CA">
        <w:rPr>
          <w:rFonts w:ascii="Arial" w:eastAsia="Arial" w:hAnsi="Arial" w:cs="Arial"/>
          <w:sz w:val="22"/>
          <w:szCs w:val="22"/>
        </w:rPr>
        <w:t>n</w:t>
      </w:r>
      <w:r w:rsidRPr="00FD4375">
        <w:rPr>
          <w:rFonts w:ascii="Arial" w:eastAsia="Arial" w:hAnsi="Arial" w:cs="Arial"/>
          <w:sz w:val="22"/>
          <w:szCs w:val="22"/>
        </w:rPr>
        <w:t>si</w:t>
      </w:r>
      <w:r w:rsidRPr="00BD17CA">
        <w:rPr>
          <w:rFonts w:ascii="Arial" w:eastAsia="Arial" w:hAnsi="Arial" w:cs="Arial"/>
          <w:sz w:val="22"/>
          <w:szCs w:val="22"/>
        </w:rPr>
        <w:t>on</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inv</w:t>
      </w:r>
      <w:r w:rsidRPr="00BD17CA">
        <w:rPr>
          <w:rFonts w:ascii="Arial" w:eastAsia="Arial" w:hAnsi="Arial" w:cs="Arial"/>
          <w:sz w:val="22"/>
          <w:szCs w:val="22"/>
        </w:rPr>
        <w:t>e</w:t>
      </w:r>
      <w:r w:rsidRPr="00FD4375">
        <w:rPr>
          <w:rFonts w:ascii="Arial" w:eastAsia="Arial" w:hAnsi="Arial" w:cs="Arial"/>
          <w:sz w:val="22"/>
          <w:szCs w:val="22"/>
        </w:rPr>
        <w:t>stm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dvis</w:t>
      </w:r>
      <w:r w:rsidRPr="00BD17CA">
        <w:rPr>
          <w:rFonts w:ascii="Arial" w:eastAsia="Arial" w:hAnsi="Arial" w:cs="Arial"/>
          <w:sz w:val="22"/>
          <w:szCs w:val="22"/>
        </w:rPr>
        <w:t>ers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cc</w:t>
      </w:r>
      <w:r w:rsidRPr="00BD17CA">
        <w:rPr>
          <w:rFonts w:ascii="Arial" w:eastAsia="Arial" w:hAnsi="Arial" w:cs="Arial"/>
          <w:sz w:val="22"/>
          <w:szCs w:val="22"/>
        </w:rPr>
        <w:t>ord</w:t>
      </w:r>
      <w:r w:rsidRPr="00FD4375">
        <w:rPr>
          <w:rFonts w:ascii="Arial" w:eastAsia="Arial" w:hAnsi="Arial" w:cs="Arial"/>
          <w:sz w:val="22"/>
          <w:szCs w:val="22"/>
        </w:rPr>
        <w:t>anc</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w:t>
      </w:r>
      <w:r w:rsidRPr="00BD17CA">
        <w:rPr>
          <w:rFonts w:ascii="Arial" w:eastAsia="Arial" w:hAnsi="Arial" w:cs="Arial"/>
          <w:sz w:val="22"/>
          <w:szCs w:val="22"/>
        </w:rPr>
        <w:t>th</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inv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 xml:space="preserve">t </w:t>
      </w:r>
      <w:r w:rsidRPr="00FD4375">
        <w:rPr>
          <w:rFonts w:ascii="Arial" w:eastAsia="Arial" w:hAnsi="Arial" w:cs="Arial"/>
          <w:sz w:val="22"/>
          <w:szCs w:val="22"/>
        </w:rPr>
        <w:t>s</w:t>
      </w:r>
      <w:r w:rsidRPr="00BD17CA">
        <w:rPr>
          <w:rFonts w:ascii="Arial" w:eastAsia="Arial" w:hAnsi="Arial" w:cs="Arial"/>
          <w:sz w:val="22"/>
          <w:szCs w:val="22"/>
        </w:rPr>
        <w:t>trat</w:t>
      </w:r>
      <w:r w:rsidRPr="00FD4375">
        <w:rPr>
          <w:rFonts w:ascii="Arial" w:eastAsia="Arial" w:hAnsi="Arial" w:cs="Arial"/>
          <w:sz w:val="22"/>
          <w:szCs w:val="22"/>
        </w:rPr>
        <w:t>egy</w:t>
      </w:r>
      <w:r w:rsidRPr="00BD17CA">
        <w:rPr>
          <w:rFonts w:ascii="Arial" w:eastAsia="Arial" w:hAnsi="Arial" w:cs="Arial"/>
          <w:sz w:val="22"/>
          <w:szCs w:val="22"/>
        </w:rPr>
        <w:t>.</w:t>
      </w:r>
    </w:p>
    <w:p w14:paraId="16BDEF93" w14:textId="77777777" w:rsidR="009C7422" w:rsidRPr="00FD4375" w:rsidRDefault="001706EB" w:rsidP="00FD4375">
      <w:pPr>
        <w:spacing w:after="200" w:line="276" w:lineRule="auto"/>
        <w:ind w:right="74"/>
        <w:jc w:val="both"/>
        <w:rPr>
          <w:rFonts w:ascii="Arial" w:eastAsia="Arial" w:hAnsi="Arial" w:cs="Arial"/>
          <w:b/>
          <w:bCs/>
          <w:sz w:val="22"/>
          <w:szCs w:val="22"/>
        </w:rPr>
      </w:pPr>
      <w:r w:rsidRPr="00FD4375">
        <w:rPr>
          <w:rFonts w:ascii="Arial" w:eastAsia="Arial" w:hAnsi="Arial" w:cs="Arial"/>
          <w:b/>
          <w:bCs/>
          <w:sz w:val="22"/>
          <w:szCs w:val="22"/>
        </w:rPr>
        <w:t>Interest rate - risk sensitivity analysis</w:t>
      </w:r>
    </w:p>
    <w:p w14:paraId="0321633F" w14:textId="77777777" w:rsidR="009C7422" w:rsidRPr="00BD17CA" w:rsidRDefault="001706EB" w:rsidP="00FD4375">
      <w:pPr>
        <w:spacing w:after="200" w:line="276" w:lineRule="auto"/>
        <w:ind w:right="74"/>
        <w:jc w:val="both"/>
        <w:rPr>
          <w:rFonts w:ascii="Arial" w:eastAsia="Arial" w:hAnsi="Arial" w:cs="Arial"/>
          <w:sz w:val="22"/>
          <w:szCs w:val="22"/>
        </w:rPr>
      </w:pPr>
      <w:r w:rsidRPr="00FD4375">
        <w:rPr>
          <w:rFonts w:ascii="Arial" w:eastAsia="Arial" w:hAnsi="Arial" w:cs="Arial"/>
          <w:sz w:val="22"/>
          <w:szCs w:val="22"/>
        </w:rPr>
        <w:t>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proofErr w:type="spellStart"/>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o</w:t>
      </w:r>
      <w:r w:rsidRPr="00FD4375">
        <w:rPr>
          <w:rFonts w:ascii="Arial" w:eastAsia="Arial" w:hAnsi="Arial" w:cs="Arial"/>
          <w:sz w:val="22"/>
          <w:szCs w:val="22"/>
        </w:rPr>
        <w:t>g</w:t>
      </w:r>
      <w:r w:rsidRPr="00BD17CA">
        <w:rPr>
          <w:rFonts w:ascii="Arial" w:eastAsia="Arial" w:hAnsi="Arial" w:cs="Arial"/>
          <w:sz w:val="22"/>
          <w:szCs w:val="22"/>
        </w:rPr>
        <w:t>n</w:t>
      </w:r>
      <w:r w:rsidRPr="00FD4375">
        <w:rPr>
          <w:rFonts w:ascii="Arial" w:eastAsia="Arial" w:hAnsi="Arial" w:cs="Arial"/>
          <w:sz w:val="22"/>
          <w:szCs w:val="22"/>
        </w:rPr>
        <w:t>is</w:t>
      </w:r>
      <w:r w:rsidRPr="00BD17CA">
        <w:rPr>
          <w:rFonts w:ascii="Arial" w:eastAsia="Arial" w:hAnsi="Arial" w:cs="Arial"/>
          <w:sz w:val="22"/>
          <w:szCs w:val="22"/>
        </w:rPr>
        <w:t>es</w:t>
      </w:r>
      <w:proofErr w:type="spellEnd"/>
      <w:r w:rsidRPr="00FD4375">
        <w:rPr>
          <w:rFonts w:ascii="Arial" w:eastAsia="Arial" w:hAnsi="Arial" w:cs="Arial"/>
          <w:sz w:val="22"/>
          <w:szCs w:val="22"/>
        </w:rPr>
        <w:t xml:space="preserve"> t</w:t>
      </w:r>
      <w:r w:rsidRPr="00BD17CA">
        <w:rPr>
          <w:rFonts w:ascii="Arial" w:eastAsia="Arial" w:hAnsi="Arial" w:cs="Arial"/>
          <w:sz w:val="22"/>
          <w:szCs w:val="22"/>
        </w:rPr>
        <w:t>h</w:t>
      </w:r>
      <w:r w:rsidRPr="00FD4375">
        <w:rPr>
          <w:rFonts w:ascii="Arial" w:eastAsia="Arial" w:hAnsi="Arial" w:cs="Arial"/>
          <w:sz w:val="22"/>
          <w:szCs w:val="22"/>
        </w:rPr>
        <w:t>a</w:t>
      </w:r>
      <w:r w:rsidRPr="00BD17CA">
        <w:rPr>
          <w:rFonts w:ascii="Arial" w:eastAsia="Arial" w:hAnsi="Arial" w:cs="Arial"/>
          <w:sz w:val="22"/>
          <w:szCs w:val="22"/>
        </w:rPr>
        <w:t>t</w:t>
      </w:r>
      <w:r w:rsidRPr="00FD4375">
        <w:rPr>
          <w:rFonts w:ascii="Arial" w:eastAsia="Arial" w:hAnsi="Arial" w:cs="Arial"/>
          <w:sz w:val="22"/>
          <w:szCs w:val="22"/>
        </w:rPr>
        <w:t xml:space="preserve"> in</w:t>
      </w:r>
      <w:r w:rsidRPr="00BD17CA">
        <w:rPr>
          <w:rFonts w:ascii="Arial" w:eastAsia="Arial" w:hAnsi="Arial" w:cs="Arial"/>
          <w:sz w:val="22"/>
          <w:szCs w:val="22"/>
        </w:rPr>
        <w:t>tere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 xml:space="preserve"> r</w:t>
      </w:r>
      <w:r w:rsidRPr="00BD17CA">
        <w:rPr>
          <w:rFonts w:ascii="Arial" w:eastAsia="Arial" w:hAnsi="Arial" w:cs="Arial"/>
          <w:sz w:val="22"/>
          <w:szCs w:val="22"/>
        </w:rPr>
        <w:t>a</w:t>
      </w:r>
      <w:r w:rsidRPr="00FD4375">
        <w:rPr>
          <w:rFonts w:ascii="Arial" w:eastAsia="Arial" w:hAnsi="Arial" w:cs="Arial"/>
          <w:sz w:val="22"/>
          <w:szCs w:val="22"/>
        </w:rPr>
        <w:t>t</w:t>
      </w:r>
      <w:r w:rsidRPr="00BD17CA">
        <w:rPr>
          <w:rFonts w:ascii="Arial" w:eastAsia="Arial" w:hAnsi="Arial" w:cs="Arial"/>
          <w:sz w:val="22"/>
          <w:szCs w:val="22"/>
        </w:rPr>
        <w:t>es</w:t>
      </w:r>
      <w:r w:rsidRPr="00FD4375">
        <w:rPr>
          <w:rFonts w:ascii="Arial" w:eastAsia="Arial" w:hAnsi="Arial" w:cs="Arial"/>
          <w:sz w:val="22"/>
          <w:szCs w:val="22"/>
        </w:rPr>
        <w:t xml:space="preserve"> c</w:t>
      </w:r>
      <w:r w:rsidRPr="00BD17CA">
        <w:rPr>
          <w:rFonts w:ascii="Arial" w:eastAsia="Arial" w:hAnsi="Arial" w:cs="Arial"/>
          <w:sz w:val="22"/>
          <w:szCs w:val="22"/>
        </w:rPr>
        <w:t xml:space="preserve">an </w:t>
      </w:r>
      <w:r w:rsidRPr="00FD4375">
        <w:rPr>
          <w:rFonts w:ascii="Arial" w:eastAsia="Arial" w:hAnsi="Arial" w:cs="Arial"/>
          <w:sz w:val="22"/>
          <w:szCs w:val="22"/>
        </w:rPr>
        <w:t>v</w:t>
      </w:r>
      <w:r w:rsidRPr="00BD17CA">
        <w:rPr>
          <w:rFonts w:ascii="Arial" w:eastAsia="Arial" w:hAnsi="Arial" w:cs="Arial"/>
          <w:sz w:val="22"/>
          <w:szCs w:val="22"/>
        </w:rPr>
        <w:t>a</w:t>
      </w:r>
      <w:r w:rsidRPr="00FD4375">
        <w:rPr>
          <w:rFonts w:ascii="Arial" w:eastAsia="Arial" w:hAnsi="Arial" w:cs="Arial"/>
          <w:sz w:val="22"/>
          <w:szCs w:val="22"/>
        </w:rPr>
        <w:t>r</w:t>
      </w:r>
      <w:r w:rsidRPr="00BD17CA">
        <w:rPr>
          <w:rFonts w:ascii="Arial" w:eastAsia="Arial" w:hAnsi="Arial" w:cs="Arial"/>
          <w:sz w:val="22"/>
          <w:szCs w:val="22"/>
        </w:rPr>
        <w:t>y</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c</w:t>
      </w:r>
      <w:r w:rsidRPr="00BD17CA">
        <w:rPr>
          <w:rFonts w:ascii="Arial" w:eastAsia="Arial" w:hAnsi="Arial" w:cs="Arial"/>
          <w:sz w:val="22"/>
          <w:szCs w:val="22"/>
        </w:rPr>
        <w:t>an</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ff</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b</w:t>
      </w:r>
      <w:r w:rsidRPr="00FD4375">
        <w:rPr>
          <w:rFonts w:ascii="Arial" w:eastAsia="Arial" w:hAnsi="Arial" w:cs="Arial"/>
          <w:sz w:val="22"/>
          <w:szCs w:val="22"/>
        </w:rPr>
        <w:t>o</w:t>
      </w:r>
      <w:r w:rsidRPr="00BD17CA">
        <w:rPr>
          <w:rFonts w:ascii="Arial" w:eastAsia="Arial" w:hAnsi="Arial" w:cs="Arial"/>
          <w:sz w:val="22"/>
          <w:szCs w:val="22"/>
        </w:rPr>
        <w:t xml:space="preserve">th </w:t>
      </w:r>
      <w:r w:rsidRPr="00FD4375">
        <w:rPr>
          <w:rFonts w:ascii="Arial" w:eastAsia="Arial" w:hAnsi="Arial" w:cs="Arial"/>
          <w:sz w:val="22"/>
          <w:szCs w:val="22"/>
        </w:rPr>
        <w:t>i</w:t>
      </w:r>
      <w:r w:rsidRPr="00BD17CA">
        <w:rPr>
          <w:rFonts w:ascii="Arial" w:eastAsia="Arial" w:hAnsi="Arial" w:cs="Arial"/>
          <w:sz w:val="22"/>
          <w:szCs w:val="22"/>
        </w:rPr>
        <w:t>n</w:t>
      </w:r>
      <w:r w:rsidRPr="00FD4375">
        <w:rPr>
          <w:rFonts w:ascii="Arial" w:eastAsia="Arial" w:hAnsi="Arial" w:cs="Arial"/>
          <w:sz w:val="22"/>
          <w:szCs w:val="22"/>
        </w:rPr>
        <w:t>c</w:t>
      </w:r>
      <w:r w:rsidRPr="00BD17CA">
        <w:rPr>
          <w:rFonts w:ascii="Arial" w:eastAsia="Arial" w:hAnsi="Arial" w:cs="Arial"/>
          <w:sz w:val="22"/>
          <w:szCs w:val="22"/>
        </w:rPr>
        <w:t>o</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th</w:t>
      </w:r>
      <w:r w:rsidRPr="00BD17CA">
        <w:rPr>
          <w:rFonts w:ascii="Arial" w:eastAsia="Arial" w:hAnsi="Arial" w:cs="Arial"/>
          <w:sz w:val="22"/>
          <w:szCs w:val="22"/>
        </w:rPr>
        <w:t>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 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c</w:t>
      </w:r>
      <w:r w:rsidRPr="00BD17CA">
        <w:rPr>
          <w:rFonts w:ascii="Arial" w:eastAsia="Arial" w:hAnsi="Arial" w:cs="Arial"/>
          <w:sz w:val="22"/>
          <w:szCs w:val="22"/>
        </w:rPr>
        <w:t>ar</w:t>
      </w:r>
      <w:r w:rsidRPr="00FD4375">
        <w:rPr>
          <w:rFonts w:ascii="Arial" w:eastAsia="Arial" w:hAnsi="Arial" w:cs="Arial"/>
          <w:sz w:val="22"/>
          <w:szCs w:val="22"/>
        </w:rPr>
        <w:t>ryin</w:t>
      </w:r>
      <w:r w:rsidRPr="00BD17CA">
        <w:rPr>
          <w:rFonts w:ascii="Arial" w:eastAsia="Arial" w:hAnsi="Arial" w:cs="Arial"/>
          <w:sz w:val="22"/>
          <w:szCs w:val="22"/>
        </w:rPr>
        <w:t>g</w:t>
      </w:r>
      <w:r w:rsidRPr="00FD4375">
        <w:rPr>
          <w:rFonts w:ascii="Arial" w:eastAsia="Arial" w:hAnsi="Arial" w:cs="Arial"/>
          <w:sz w:val="22"/>
          <w:szCs w:val="22"/>
        </w:rPr>
        <w:t xml:space="preserve"> val</w:t>
      </w:r>
      <w:r w:rsidRPr="00BD17CA">
        <w:rPr>
          <w:rFonts w:ascii="Arial" w:eastAsia="Arial" w:hAnsi="Arial" w:cs="Arial"/>
          <w:sz w:val="22"/>
          <w:szCs w:val="22"/>
        </w:rPr>
        <w:t>ue of</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ss</w:t>
      </w:r>
      <w:r w:rsidRPr="00BD17CA">
        <w:rPr>
          <w:rFonts w:ascii="Arial" w:eastAsia="Arial" w:hAnsi="Arial" w:cs="Arial"/>
          <w:sz w:val="22"/>
          <w:szCs w:val="22"/>
        </w:rPr>
        <w:t>ets,</w:t>
      </w:r>
      <w:r w:rsidRPr="00FD4375">
        <w:rPr>
          <w:rFonts w:ascii="Arial" w:eastAsia="Arial" w:hAnsi="Arial" w:cs="Arial"/>
          <w:sz w:val="22"/>
          <w:szCs w:val="22"/>
        </w:rPr>
        <w:t xml:space="preserve"> b</w:t>
      </w:r>
      <w:r w:rsidRPr="00BD17CA">
        <w:rPr>
          <w:rFonts w:ascii="Arial" w:eastAsia="Arial" w:hAnsi="Arial" w:cs="Arial"/>
          <w:sz w:val="22"/>
          <w:szCs w:val="22"/>
        </w:rPr>
        <w:t>oth</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w</w:t>
      </w:r>
      <w:r w:rsidRPr="00BD17CA">
        <w:rPr>
          <w:rFonts w:ascii="Arial" w:eastAsia="Arial" w:hAnsi="Arial" w:cs="Arial"/>
          <w:sz w:val="22"/>
          <w:szCs w:val="22"/>
        </w:rPr>
        <w:t>h</w:t>
      </w:r>
      <w:r w:rsidRPr="00FD4375">
        <w:rPr>
          <w:rFonts w:ascii="Arial" w:eastAsia="Arial" w:hAnsi="Arial" w:cs="Arial"/>
          <w:sz w:val="22"/>
          <w:szCs w:val="22"/>
        </w:rPr>
        <w:t>ic</w:t>
      </w:r>
      <w:r w:rsidRPr="00BD17CA">
        <w:rPr>
          <w:rFonts w:ascii="Arial" w:eastAsia="Arial" w:hAnsi="Arial" w:cs="Arial"/>
          <w:sz w:val="22"/>
          <w:szCs w:val="22"/>
        </w:rPr>
        <w:t>h</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ff</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val</w:t>
      </w:r>
      <w:r w:rsidRPr="00BD17CA">
        <w:rPr>
          <w:rFonts w:ascii="Arial" w:eastAsia="Arial" w:hAnsi="Arial" w:cs="Arial"/>
          <w:sz w:val="22"/>
          <w:szCs w:val="22"/>
        </w:rPr>
        <w:t>ue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n</w:t>
      </w:r>
      <w:r w:rsidRPr="00BD17CA">
        <w:rPr>
          <w:rFonts w:ascii="Arial" w:eastAsia="Arial" w:hAnsi="Arial" w:cs="Arial"/>
          <w:sz w:val="22"/>
          <w:szCs w:val="22"/>
        </w:rPr>
        <w:t>et</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ss</w:t>
      </w:r>
      <w:r w:rsidRPr="00BD17CA">
        <w:rPr>
          <w:rFonts w:ascii="Arial" w:eastAsia="Arial" w:hAnsi="Arial" w:cs="Arial"/>
          <w:sz w:val="22"/>
          <w:szCs w:val="22"/>
        </w:rPr>
        <w:t>ets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v</w:t>
      </w:r>
      <w:r w:rsidRPr="00BD17CA">
        <w:rPr>
          <w:rFonts w:ascii="Arial" w:eastAsia="Arial" w:hAnsi="Arial" w:cs="Arial"/>
          <w:sz w:val="22"/>
          <w:szCs w:val="22"/>
        </w:rPr>
        <w:t>a</w:t>
      </w:r>
      <w:r w:rsidRPr="00FD4375">
        <w:rPr>
          <w:rFonts w:ascii="Arial" w:eastAsia="Arial" w:hAnsi="Arial" w:cs="Arial"/>
          <w:sz w:val="22"/>
          <w:szCs w:val="22"/>
        </w:rPr>
        <w:t>il</w:t>
      </w:r>
      <w:r w:rsidRPr="00BD17CA">
        <w:rPr>
          <w:rFonts w:ascii="Arial" w:eastAsia="Arial" w:hAnsi="Arial" w:cs="Arial"/>
          <w:sz w:val="22"/>
          <w:szCs w:val="22"/>
        </w:rPr>
        <w:t>a</w:t>
      </w:r>
      <w:r w:rsidRPr="00FD4375">
        <w:rPr>
          <w:rFonts w:ascii="Arial" w:eastAsia="Arial" w:hAnsi="Arial" w:cs="Arial"/>
          <w:sz w:val="22"/>
          <w:szCs w:val="22"/>
        </w:rPr>
        <w:t>bl</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a</w:t>
      </w:r>
      <w:r w:rsidRPr="00BD17CA">
        <w:rPr>
          <w:rFonts w:ascii="Arial" w:eastAsia="Arial" w:hAnsi="Arial" w:cs="Arial"/>
          <w:sz w:val="22"/>
          <w:szCs w:val="22"/>
        </w:rPr>
        <w:t>y</w:t>
      </w:r>
      <w:r w:rsidRPr="00FD4375">
        <w:rPr>
          <w:rFonts w:ascii="Arial" w:eastAsia="Arial" w:hAnsi="Arial" w:cs="Arial"/>
          <w:sz w:val="22"/>
          <w:szCs w:val="22"/>
        </w:rPr>
        <w:t xml:space="preserve"> </w:t>
      </w:r>
      <w:r w:rsidRPr="00BD17CA">
        <w:rPr>
          <w:rFonts w:ascii="Arial" w:eastAsia="Arial" w:hAnsi="Arial" w:cs="Arial"/>
          <w:sz w:val="22"/>
          <w:szCs w:val="22"/>
        </w:rPr>
        <w:t>b</w:t>
      </w:r>
      <w:r w:rsidRPr="00FD4375">
        <w:rPr>
          <w:rFonts w:ascii="Arial" w:eastAsia="Arial" w:hAnsi="Arial" w:cs="Arial"/>
          <w:sz w:val="22"/>
          <w:szCs w:val="22"/>
        </w:rPr>
        <w:t>en</w:t>
      </w:r>
      <w:r w:rsidRPr="00BD17CA">
        <w:rPr>
          <w:rFonts w:ascii="Arial" w:eastAsia="Arial" w:hAnsi="Arial" w:cs="Arial"/>
          <w:sz w:val="22"/>
          <w:szCs w:val="22"/>
        </w:rPr>
        <w:t>e</w:t>
      </w:r>
      <w:r w:rsidRPr="00FD4375">
        <w:rPr>
          <w:rFonts w:ascii="Arial" w:eastAsia="Arial" w:hAnsi="Arial" w:cs="Arial"/>
          <w:sz w:val="22"/>
          <w:szCs w:val="22"/>
        </w:rPr>
        <w:t>fi</w:t>
      </w:r>
      <w:r w:rsidRPr="00BD17CA">
        <w:rPr>
          <w:rFonts w:ascii="Arial" w:eastAsia="Arial" w:hAnsi="Arial" w:cs="Arial"/>
          <w:sz w:val="22"/>
          <w:szCs w:val="22"/>
        </w:rPr>
        <w:t>t</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 xml:space="preserve"> </w:t>
      </w:r>
      <w:proofErr w:type="gramStart"/>
      <w:r w:rsidRPr="00BD17CA">
        <w:rPr>
          <w:rFonts w:ascii="Arial" w:eastAsia="Arial" w:hAnsi="Arial" w:cs="Arial"/>
          <w:sz w:val="22"/>
          <w:szCs w:val="22"/>
        </w:rPr>
        <w:t>1</w:t>
      </w:r>
      <w:r w:rsidRPr="00FD4375">
        <w:rPr>
          <w:rFonts w:ascii="Arial" w:eastAsia="Arial" w:hAnsi="Arial" w:cs="Arial"/>
          <w:sz w:val="22"/>
          <w:szCs w:val="22"/>
        </w:rPr>
        <w:t>0</w:t>
      </w:r>
      <w:r w:rsidRPr="00BD17CA">
        <w:rPr>
          <w:rFonts w:ascii="Arial" w:eastAsia="Arial" w:hAnsi="Arial" w:cs="Arial"/>
          <w:sz w:val="22"/>
          <w:szCs w:val="22"/>
        </w:rPr>
        <w:t>0</w:t>
      </w:r>
      <w:r w:rsidRPr="00FD4375">
        <w:rPr>
          <w:rFonts w:ascii="Arial" w:eastAsia="Arial" w:hAnsi="Arial" w:cs="Arial"/>
          <w:sz w:val="22"/>
          <w:szCs w:val="22"/>
        </w:rPr>
        <w:t xml:space="preserve"> </w:t>
      </w:r>
      <w:r w:rsidRPr="00BD17CA">
        <w:rPr>
          <w:rFonts w:ascii="Arial" w:eastAsia="Arial" w:hAnsi="Arial" w:cs="Arial"/>
          <w:sz w:val="22"/>
          <w:szCs w:val="22"/>
        </w:rPr>
        <w:t>b</w:t>
      </w:r>
      <w:r w:rsidRPr="00FD4375">
        <w:rPr>
          <w:rFonts w:ascii="Arial" w:eastAsia="Arial" w:hAnsi="Arial" w:cs="Arial"/>
          <w:sz w:val="22"/>
          <w:szCs w:val="22"/>
        </w:rPr>
        <w:t>asi</w:t>
      </w:r>
      <w:r w:rsidRPr="00BD17CA">
        <w:rPr>
          <w:rFonts w:ascii="Arial" w:eastAsia="Arial" w:hAnsi="Arial" w:cs="Arial"/>
          <w:sz w:val="22"/>
          <w:szCs w:val="22"/>
        </w:rPr>
        <w:t>s</w:t>
      </w:r>
      <w:proofErr w:type="gramEnd"/>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oi</w:t>
      </w:r>
      <w:r w:rsidRPr="00BD17CA">
        <w:rPr>
          <w:rFonts w:ascii="Arial" w:eastAsia="Arial" w:hAnsi="Arial" w:cs="Arial"/>
          <w:sz w:val="22"/>
          <w:szCs w:val="22"/>
        </w:rPr>
        <w:t>nt</w:t>
      </w:r>
      <w:r w:rsidRPr="00FD4375">
        <w:rPr>
          <w:rFonts w:ascii="Arial" w:eastAsia="Arial" w:hAnsi="Arial" w:cs="Arial"/>
          <w:sz w:val="22"/>
          <w:szCs w:val="22"/>
        </w:rPr>
        <w:t xml:space="preserve"> (BPS</w:t>
      </w:r>
      <w:r w:rsidRPr="00BD17CA">
        <w:rPr>
          <w:rFonts w:ascii="Arial" w:eastAsia="Arial" w:hAnsi="Arial" w:cs="Arial"/>
          <w:sz w:val="22"/>
          <w:szCs w:val="22"/>
        </w:rPr>
        <w:t xml:space="preserve">) </w:t>
      </w:r>
      <w:r w:rsidRPr="00FD4375">
        <w:rPr>
          <w:rFonts w:ascii="Arial" w:eastAsia="Arial" w:hAnsi="Arial" w:cs="Arial"/>
          <w:sz w:val="22"/>
          <w:szCs w:val="22"/>
        </w:rPr>
        <w:t>m</w:t>
      </w:r>
      <w:r w:rsidRPr="00BD17CA">
        <w:rPr>
          <w:rFonts w:ascii="Arial" w:eastAsia="Arial" w:hAnsi="Arial" w:cs="Arial"/>
          <w:sz w:val="22"/>
          <w:szCs w:val="22"/>
        </w:rPr>
        <w:t>o</w:t>
      </w:r>
      <w:r w:rsidRPr="00FD4375">
        <w:rPr>
          <w:rFonts w:ascii="Arial" w:eastAsia="Arial" w:hAnsi="Arial" w:cs="Arial"/>
          <w:sz w:val="22"/>
          <w:szCs w:val="22"/>
        </w:rPr>
        <w:t>vem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i</w:t>
      </w:r>
      <w:r w:rsidRPr="00BD17CA">
        <w:rPr>
          <w:rFonts w:ascii="Arial" w:eastAsia="Arial" w:hAnsi="Arial" w:cs="Arial"/>
          <w:sz w:val="22"/>
          <w:szCs w:val="22"/>
        </w:rPr>
        <w:t>nt</w:t>
      </w:r>
      <w:r w:rsidRPr="00FD4375">
        <w:rPr>
          <w:rFonts w:ascii="Arial" w:eastAsia="Arial" w:hAnsi="Arial" w:cs="Arial"/>
          <w:sz w:val="22"/>
          <w:szCs w:val="22"/>
        </w:rPr>
        <w:t>er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 xml:space="preserve"> r</w:t>
      </w:r>
      <w:r w:rsidRPr="00BD17CA">
        <w:rPr>
          <w:rFonts w:ascii="Arial" w:eastAsia="Arial" w:hAnsi="Arial" w:cs="Arial"/>
          <w:sz w:val="22"/>
          <w:szCs w:val="22"/>
        </w:rPr>
        <w:t>at</w:t>
      </w:r>
      <w:r w:rsidRPr="00FD4375">
        <w:rPr>
          <w:rFonts w:ascii="Arial" w:eastAsia="Arial" w:hAnsi="Arial" w:cs="Arial"/>
          <w:sz w:val="22"/>
          <w:szCs w:val="22"/>
        </w:rPr>
        <w:t>e</w:t>
      </w:r>
      <w:r w:rsidRPr="00BD17CA">
        <w:rPr>
          <w:rFonts w:ascii="Arial" w:eastAsia="Arial" w:hAnsi="Arial" w:cs="Arial"/>
          <w:sz w:val="22"/>
          <w:szCs w:val="22"/>
        </w:rPr>
        <w:t>s</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nsis</w:t>
      </w:r>
      <w:r w:rsidRPr="00BD17CA">
        <w:rPr>
          <w:rFonts w:ascii="Arial" w:eastAsia="Arial" w:hAnsi="Arial" w:cs="Arial"/>
          <w:sz w:val="22"/>
          <w:szCs w:val="22"/>
        </w:rPr>
        <w:t>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w:t>
      </w:r>
      <w:r w:rsidRPr="00BD17CA">
        <w:rPr>
          <w:rFonts w:ascii="Arial" w:eastAsia="Arial" w:hAnsi="Arial" w:cs="Arial"/>
          <w:sz w:val="22"/>
          <w:szCs w:val="22"/>
        </w:rPr>
        <w:t>th</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leve</w:t>
      </w:r>
      <w:r w:rsidRPr="00BD17CA">
        <w:rPr>
          <w:rFonts w:ascii="Arial" w:eastAsia="Arial" w:hAnsi="Arial" w:cs="Arial"/>
          <w:sz w:val="22"/>
          <w:szCs w:val="22"/>
        </w:rPr>
        <w:t>l</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s</w:t>
      </w:r>
      <w:r w:rsidRPr="00BD17CA">
        <w:rPr>
          <w:rFonts w:ascii="Arial" w:eastAsia="Arial" w:hAnsi="Arial" w:cs="Arial"/>
          <w:sz w:val="22"/>
          <w:szCs w:val="22"/>
        </w:rPr>
        <w:t>e</w:t>
      </w:r>
      <w:r w:rsidRPr="00FD4375">
        <w:rPr>
          <w:rFonts w:ascii="Arial" w:eastAsia="Arial" w:hAnsi="Arial" w:cs="Arial"/>
          <w:sz w:val="22"/>
          <w:szCs w:val="22"/>
        </w:rPr>
        <w:t>nsitivit</w:t>
      </w:r>
      <w:r w:rsidRPr="00BD17CA">
        <w:rPr>
          <w:rFonts w:ascii="Arial" w:eastAsia="Arial" w:hAnsi="Arial" w:cs="Arial"/>
          <w:sz w:val="22"/>
          <w:szCs w:val="22"/>
        </w:rPr>
        <w:t>y</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ppli</w:t>
      </w:r>
      <w:r w:rsidRPr="00BD17CA">
        <w:rPr>
          <w:rFonts w:ascii="Arial" w:eastAsia="Arial" w:hAnsi="Arial" w:cs="Arial"/>
          <w:sz w:val="22"/>
          <w:szCs w:val="22"/>
        </w:rPr>
        <w:t>ed</w:t>
      </w:r>
      <w:r w:rsidRPr="00FD4375">
        <w:rPr>
          <w:rFonts w:ascii="Arial" w:eastAsia="Arial" w:hAnsi="Arial" w:cs="Arial"/>
          <w:sz w:val="22"/>
          <w:szCs w:val="22"/>
        </w:rPr>
        <w:t xml:space="preserve"> </w:t>
      </w:r>
      <w:r w:rsidRPr="00BD17CA">
        <w:rPr>
          <w:rFonts w:ascii="Arial" w:eastAsia="Arial" w:hAnsi="Arial" w:cs="Arial"/>
          <w:sz w:val="22"/>
          <w:szCs w:val="22"/>
        </w:rPr>
        <w:t>as</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ar</w:t>
      </w:r>
      <w:r w:rsidRPr="00BD17CA">
        <w:rPr>
          <w:rFonts w:ascii="Arial" w:eastAsia="Arial" w:hAnsi="Arial" w:cs="Arial"/>
          <w:sz w:val="22"/>
          <w:szCs w:val="22"/>
        </w:rPr>
        <w:t>t</w:t>
      </w:r>
      <w:r w:rsidRPr="00FD4375">
        <w:rPr>
          <w:rFonts w:ascii="Arial" w:eastAsia="Arial" w:hAnsi="Arial" w:cs="Arial"/>
          <w:sz w:val="22"/>
          <w:szCs w:val="22"/>
        </w:rPr>
        <w:t xml:space="preserve"> o</w:t>
      </w:r>
      <w:r w:rsidRPr="00BD17CA">
        <w:rPr>
          <w:rFonts w:ascii="Arial" w:eastAsia="Arial" w:hAnsi="Arial" w:cs="Arial"/>
          <w:sz w:val="22"/>
          <w:szCs w:val="22"/>
        </w:rPr>
        <w:t>f</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g</w:t>
      </w:r>
      <w:r w:rsidRPr="00BD17CA">
        <w:rPr>
          <w:rFonts w:ascii="Arial" w:eastAsia="Arial" w:hAnsi="Arial" w:cs="Arial"/>
          <w:sz w:val="22"/>
          <w:szCs w:val="22"/>
        </w:rPr>
        <w:t>e</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 xml:space="preserve">t </w:t>
      </w:r>
      <w:r w:rsidRPr="00FD4375">
        <w:rPr>
          <w:rFonts w:ascii="Arial" w:eastAsia="Arial" w:hAnsi="Arial" w:cs="Arial"/>
          <w:sz w:val="22"/>
          <w:szCs w:val="22"/>
        </w:rPr>
        <w:t>s</w:t>
      </w:r>
      <w:r w:rsidRPr="00BD17CA">
        <w:rPr>
          <w:rFonts w:ascii="Arial" w:eastAsia="Arial" w:hAnsi="Arial" w:cs="Arial"/>
          <w:sz w:val="22"/>
          <w:szCs w:val="22"/>
        </w:rPr>
        <w:t>trat</w:t>
      </w:r>
      <w:r w:rsidRPr="00FD4375">
        <w:rPr>
          <w:rFonts w:ascii="Arial" w:eastAsia="Arial" w:hAnsi="Arial" w:cs="Arial"/>
          <w:sz w:val="22"/>
          <w:szCs w:val="22"/>
        </w:rPr>
        <w:t>egy</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inv</w:t>
      </w:r>
      <w:r w:rsidRPr="00BD17CA">
        <w:rPr>
          <w:rFonts w:ascii="Arial" w:eastAsia="Arial" w:hAnsi="Arial" w:cs="Arial"/>
          <w:sz w:val="22"/>
          <w:szCs w:val="22"/>
        </w:rPr>
        <w:t>e</w:t>
      </w:r>
      <w:r w:rsidRPr="00FD4375">
        <w:rPr>
          <w:rFonts w:ascii="Arial" w:eastAsia="Arial" w:hAnsi="Arial" w:cs="Arial"/>
          <w:sz w:val="22"/>
          <w:szCs w:val="22"/>
        </w:rPr>
        <w:t>stm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 a</w:t>
      </w:r>
      <w:r w:rsidRPr="00FD4375">
        <w:rPr>
          <w:rFonts w:ascii="Arial" w:eastAsia="Arial" w:hAnsi="Arial" w:cs="Arial"/>
          <w:sz w:val="22"/>
          <w:szCs w:val="22"/>
        </w:rPr>
        <w:t>dvis</w:t>
      </w:r>
      <w:r w:rsidRPr="00BD17CA">
        <w:rPr>
          <w:rFonts w:ascii="Arial" w:eastAsia="Arial" w:hAnsi="Arial" w:cs="Arial"/>
          <w:sz w:val="22"/>
          <w:szCs w:val="22"/>
        </w:rPr>
        <w:t>or</w:t>
      </w:r>
      <w:r w:rsidRPr="00FD4375">
        <w:rPr>
          <w:rFonts w:ascii="Arial" w:eastAsia="Arial" w:hAnsi="Arial" w:cs="Arial"/>
          <w:sz w:val="22"/>
          <w:szCs w:val="22"/>
        </w:rPr>
        <w:t xml:space="preserve"> h</w:t>
      </w:r>
      <w:r w:rsidRPr="00BD17CA">
        <w:rPr>
          <w:rFonts w:ascii="Arial" w:eastAsia="Arial" w:hAnsi="Arial" w:cs="Arial"/>
          <w:sz w:val="22"/>
          <w:szCs w:val="22"/>
        </w:rPr>
        <w:t>as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dvise</w:t>
      </w:r>
      <w:r w:rsidRPr="00BD17CA">
        <w:rPr>
          <w:rFonts w:ascii="Arial" w:eastAsia="Arial" w:hAnsi="Arial" w:cs="Arial"/>
          <w:sz w:val="22"/>
          <w:szCs w:val="22"/>
        </w:rPr>
        <w:t>d</w:t>
      </w:r>
      <w:r w:rsidRPr="00FD4375">
        <w:rPr>
          <w:rFonts w:ascii="Arial" w:eastAsia="Arial" w:hAnsi="Arial" w:cs="Arial"/>
          <w:sz w:val="22"/>
          <w:szCs w:val="22"/>
        </w:rPr>
        <w:t xml:space="preserve"> t</w:t>
      </w:r>
      <w:r w:rsidRPr="00BD17CA">
        <w:rPr>
          <w:rFonts w:ascii="Arial" w:eastAsia="Arial" w:hAnsi="Arial" w:cs="Arial"/>
          <w:sz w:val="22"/>
          <w:szCs w:val="22"/>
        </w:rPr>
        <w:t>h</w:t>
      </w:r>
      <w:r w:rsidRPr="00FD4375">
        <w:rPr>
          <w:rFonts w:ascii="Arial" w:eastAsia="Arial" w:hAnsi="Arial" w:cs="Arial"/>
          <w:sz w:val="22"/>
          <w:szCs w:val="22"/>
        </w:rPr>
        <w:t>a</w:t>
      </w:r>
      <w:r w:rsidRPr="00BD17CA">
        <w:rPr>
          <w:rFonts w:ascii="Arial" w:eastAsia="Arial" w:hAnsi="Arial" w:cs="Arial"/>
          <w:sz w:val="22"/>
          <w:szCs w:val="22"/>
        </w:rPr>
        <w:t>t</w:t>
      </w:r>
      <w:r w:rsidRPr="00FD4375">
        <w:rPr>
          <w:rFonts w:ascii="Arial" w:eastAsia="Arial" w:hAnsi="Arial" w:cs="Arial"/>
          <w:sz w:val="22"/>
          <w:szCs w:val="22"/>
        </w:rPr>
        <w:t xml:space="preserve"> l</w:t>
      </w:r>
      <w:r w:rsidRPr="00BD17CA">
        <w:rPr>
          <w:rFonts w:ascii="Arial" w:eastAsia="Arial" w:hAnsi="Arial" w:cs="Arial"/>
          <w:sz w:val="22"/>
          <w:szCs w:val="22"/>
        </w:rPr>
        <w:t>o</w:t>
      </w:r>
      <w:r w:rsidRPr="00FD4375">
        <w:rPr>
          <w:rFonts w:ascii="Arial" w:eastAsia="Arial" w:hAnsi="Arial" w:cs="Arial"/>
          <w:sz w:val="22"/>
          <w:szCs w:val="22"/>
        </w:rPr>
        <w:t>ng-t</w:t>
      </w:r>
      <w:r w:rsidRPr="00BD17CA">
        <w:rPr>
          <w:rFonts w:ascii="Arial" w:eastAsia="Arial" w:hAnsi="Arial" w:cs="Arial"/>
          <w:sz w:val="22"/>
          <w:szCs w:val="22"/>
        </w:rPr>
        <w:t>erm</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v</w:t>
      </w:r>
      <w:r w:rsidRPr="00BD17CA">
        <w:rPr>
          <w:rFonts w:ascii="Arial" w:eastAsia="Arial" w:hAnsi="Arial" w:cs="Arial"/>
          <w:sz w:val="22"/>
          <w:szCs w:val="22"/>
        </w:rPr>
        <w:t>erage</w:t>
      </w:r>
      <w:r w:rsidRPr="00FD4375">
        <w:rPr>
          <w:rFonts w:ascii="Arial" w:eastAsia="Arial" w:hAnsi="Arial" w:cs="Arial"/>
          <w:sz w:val="22"/>
          <w:szCs w:val="22"/>
        </w:rPr>
        <w:t xml:space="preserve"> r</w:t>
      </w:r>
      <w:r w:rsidRPr="00BD17CA">
        <w:rPr>
          <w:rFonts w:ascii="Arial" w:eastAsia="Arial" w:hAnsi="Arial" w:cs="Arial"/>
          <w:sz w:val="22"/>
          <w:szCs w:val="22"/>
        </w:rPr>
        <w:t>a</w:t>
      </w:r>
      <w:r w:rsidRPr="00FD4375">
        <w:rPr>
          <w:rFonts w:ascii="Arial" w:eastAsia="Arial" w:hAnsi="Arial" w:cs="Arial"/>
          <w:sz w:val="22"/>
          <w:szCs w:val="22"/>
        </w:rPr>
        <w:t>te</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are</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x</w:t>
      </w:r>
      <w:r w:rsidRPr="00BD17CA">
        <w:rPr>
          <w:rFonts w:ascii="Arial" w:eastAsia="Arial" w:hAnsi="Arial" w:cs="Arial"/>
          <w:sz w:val="22"/>
          <w:szCs w:val="22"/>
        </w:rPr>
        <w:t>p</w:t>
      </w:r>
      <w:r w:rsidRPr="00FD4375">
        <w:rPr>
          <w:rFonts w:ascii="Arial" w:eastAsia="Arial" w:hAnsi="Arial" w:cs="Arial"/>
          <w:sz w:val="22"/>
          <w:szCs w:val="22"/>
        </w:rPr>
        <w:t>ec</w:t>
      </w:r>
      <w:r w:rsidRPr="00BD17CA">
        <w:rPr>
          <w:rFonts w:ascii="Arial" w:eastAsia="Arial" w:hAnsi="Arial" w:cs="Arial"/>
          <w:sz w:val="22"/>
          <w:szCs w:val="22"/>
        </w:rPr>
        <w:t>ted</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m</w:t>
      </w:r>
      <w:r w:rsidRPr="00BD17CA">
        <w:rPr>
          <w:rFonts w:ascii="Arial" w:eastAsia="Arial" w:hAnsi="Arial" w:cs="Arial"/>
          <w:sz w:val="22"/>
          <w:szCs w:val="22"/>
        </w:rPr>
        <w:t>o</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 xml:space="preserve"> les</w:t>
      </w:r>
      <w:r w:rsidRPr="00BD17CA">
        <w:rPr>
          <w:rFonts w:ascii="Arial" w:eastAsia="Arial" w:hAnsi="Arial" w:cs="Arial"/>
          <w:sz w:val="22"/>
          <w:szCs w:val="22"/>
        </w:rPr>
        <w:t>s th</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 xml:space="preserve"> 1</w:t>
      </w:r>
      <w:r w:rsidRPr="00BD17CA">
        <w:rPr>
          <w:rFonts w:ascii="Arial" w:eastAsia="Arial" w:hAnsi="Arial" w:cs="Arial"/>
          <w:sz w:val="22"/>
          <w:szCs w:val="22"/>
        </w:rPr>
        <w:t>00</w:t>
      </w:r>
      <w:r w:rsidRPr="00FD4375">
        <w:rPr>
          <w:rFonts w:ascii="Arial" w:eastAsia="Arial" w:hAnsi="Arial" w:cs="Arial"/>
          <w:sz w:val="22"/>
          <w:szCs w:val="22"/>
        </w:rPr>
        <w:t xml:space="preserve"> </w:t>
      </w:r>
      <w:r w:rsidRPr="00BD17CA">
        <w:rPr>
          <w:rFonts w:ascii="Arial" w:eastAsia="Arial" w:hAnsi="Arial" w:cs="Arial"/>
          <w:sz w:val="22"/>
          <w:szCs w:val="22"/>
        </w:rPr>
        <w:t>b</w:t>
      </w:r>
      <w:r w:rsidRPr="00FD4375">
        <w:rPr>
          <w:rFonts w:ascii="Arial" w:eastAsia="Arial" w:hAnsi="Arial" w:cs="Arial"/>
          <w:sz w:val="22"/>
          <w:szCs w:val="22"/>
        </w:rPr>
        <w:t>asi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oi</w:t>
      </w:r>
      <w:r w:rsidRPr="00BD17CA">
        <w:rPr>
          <w:rFonts w:ascii="Arial" w:eastAsia="Arial" w:hAnsi="Arial" w:cs="Arial"/>
          <w:sz w:val="22"/>
          <w:szCs w:val="22"/>
        </w:rPr>
        <w:t>nts</w:t>
      </w:r>
      <w:r w:rsidRPr="00FD4375">
        <w:rPr>
          <w:rFonts w:ascii="Arial" w:eastAsia="Arial" w:hAnsi="Arial" w:cs="Arial"/>
          <w:sz w:val="22"/>
          <w:szCs w:val="22"/>
        </w:rPr>
        <w:t xml:space="preserve"> </w:t>
      </w:r>
      <w:r w:rsidRPr="00BD17CA">
        <w:rPr>
          <w:rFonts w:ascii="Arial" w:eastAsia="Arial" w:hAnsi="Arial" w:cs="Arial"/>
          <w:sz w:val="22"/>
          <w:szCs w:val="22"/>
        </w:rPr>
        <w:t>(1%)</w:t>
      </w:r>
      <w:r w:rsidRPr="00FD4375">
        <w:rPr>
          <w:rFonts w:ascii="Arial" w:eastAsia="Arial" w:hAnsi="Arial" w:cs="Arial"/>
          <w:sz w:val="22"/>
          <w:szCs w:val="22"/>
        </w:rPr>
        <w:t xml:space="preserve"> fro</w:t>
      </w:r>
      <w:r w:rsidRPr="00BD17CA">
        <w:rPr>
          <w:rFonts w:ascii="Arial" w:eastAsia="Arial" w:hAnsi="Arial" w:cs="Arial"/>
          <w:sz w:val="22"/>
          <w:szCs w:val="22"/>
        </w:rPr>
        <w:t>m</w:t>
      </w:r>
      <w:r w:rsidRPr="00FD4375">
        <w:rPr>
          <w:rFonts w:ascii="Arial" w:eastAsia="Arial" w:hAnsi="Arial" w:cs="Arial"/>
          <w:sz w:val="22"/>
          <w:szCs w:val="22"/>
        </w:rPr>
        <w:t xml:space="preserve"> </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e</w:t>
      </w:r>
      <w:r w:rsidRPr="00FD4375">
        <w:rPr>
          <w:rFonts w:ascii="Arial" w:eastAsia="Arial" w:hAnsi="Arial" w:cs="Arial"/>
          <w:sz w:val="22"/>
          <w:szCs w:val="22"/>
        </w:rPr>
        <w:t xml:space="preserve"> ye</w:t>
      </w:r>
      <w:r w:rsidRPr="00BD17CA">
        <w:rPr>
          <w:rFonts w:ascii="Arial" w:eastAsia="Arial" w:hAnsi="Arial" w:cs="Arial"/>
          <w:sz w:val="22"/>
          <w:szCs w:val="22"/>
        </w:rPr>
        <w:t>ar</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n</w:t>
      </w:r>
      <w:r w:rsidRPr="00BD17CA">
        <w:rPr>
          <w:rFonts w:ascii="Arial" w:eastAsia="Arial" w:hAnsi="Arial" w:cs="Arial"/>
          <w:sz w:val="22"/>
          <w:szCs w:val="22"/>
        </w:rPr>
        <w:t>e</w:t>
      </w:r>
      <w:r w:rsidRPr="00FD4375">
        <w:rPr>
          <w:rFonts w:ascii="Arial" w:eastAsia="Arial" w:hAnsi="Arial" w:cs="Arial"/>
          <w:sz w:val="22"/>
          <w:szCs w:val="22"/>
        </w:rPr>
        <w:t>x</w:t>
      </w:r>
      <w:r w:rsidRPr="00BD17CA">
        <w:rPr>
          <w:rFonts w:ascii="Arial" w:eastAsia="Arial" w:hAnsi="Arial" w:cs="Arial"/>
          <w:sz w:val="22"/>
          <w:szCs w:val="22"/>
        </w:rPr>
        <w:t>t</w:t>
      </w:r>
      <w:r w:rsidRPr="00FD4375">
        <w:rPr>
          <w:rFonts w:ascii="Arial" w:eastAsia="Arial" w:hAnsi="Arial" w:cs="Arial"/>
          <w:sz w:val="22"/>
          <w:szCs w:val="22"/>
        </w:rPr>
        <w:t xml:space="preserve"> a</w:t>
      </w:r>
      <w:r w:rsidRPr="00BD17CA">
        <w:rPr>
          <w:rFonts w:ascii="Arial" w:eastAsia="Arial" w:hAnsi="Arial" w:cs="Arial"/>
          <w:sz w:val="22"/>
          <w:szCs w:val="22"/>
        </w:rPr>
        <w:t>nd</w:t>
      </w:r>
      <w:r w:rsidRPr="00FD4375">
        <w:rPr>
          <w:rFonts w:ascii="Arial" w:eastAsia="Arial" w:hAnsi="Arial" w:cs="Arial"/>
          <w:sz w:val="22"/>
          <w:szCs w:val="22"/>
        </w:rPr>
        <w:t xml:space="preserve"> </w:t>
      </w:r>
      <w:r w:rsidRPr="00BD17CA">
        <w:rPr>
          <w:rFonts w:ascii="Arial" w:eastAsia="Arial" w:hAnsi="Arial" w:cs="Arial"/>
          <w:sz w:val="22"/>
          <w:szCs w:val="22"/>
        </w:rPr>
        <w:t>exp</w:t>
      </w:r>
      <w:r w:rsidRPr="00FD4375">
        <w:rPr>
          <w:rFonts w:ascii="Arial" w:eastAsia="Arial" w:hAnsi="Arial" w:cs="Arial"/>
          <w:sz w:val="22"/>
          <w:szCs w:val="22"/>
        </w:rPr>
        <w:t>eri</w:t>
      </w:r>
      <w:r w:rsidRPr="00BD17CA">
        <w:rPr>
          <w:rFonts w:ascii="Arial" w:eastAsia="Arial" w:hAnsi="Arial" w:cs="Arial"/>
          <w:sz w:val="22"/>
          <w:szCs w:val="22"/>
        </w:rPr>
        <w:t>e</w:t>
      </w:r>
      <w:r w:rsidRPr="00FD4375">
        <w:rPr>
          <w:rFonts w:ascii="Arial" w:eastAsia="Arial" w:hAnsi="Arial" w:cs="Arial"/>
          <w:sz w:val="22"/>
          <w:szCs w:val="22"/>
        </w:rPr>
        <w:t>nc</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su</w:t>
      </w:r>
      <w:r w:rsidRPr="00FD4375">
        <w:rPr>
          <w:rFonts w:ascii="Arial" w:eastAsia="Arial" w:hAnsi="Arial" w:cs="Arial"/>
          <w:sz w:val="22"/>
          <w:szCs w:val="22"/>
        </w:rPr>
        <w:t>g</w:t>
      </w:r>
      <w:r w:rsidRPr="00BD17CA">
        <w:rPr>
          <w:rFonts w:ascii="Arial" w:eastAsia="Arial" w:hAnsi="Arial" w:cs="Arial"/>
          <w:sz w:val="22"/>
          <w:szCs w:val="22"/>
        </w:rPr>
        <w:t>g</w:t>
      </w:r>
      <w:r w:rsidRPr="00FD4375">
        <w:rPr>
          <w:rFonts w:ascii="Arial" w:eastAsia="Arial" w:hAnsi="Arial" w:cs="Arial"/>
          <w:sz w:val="22"/>
          <w:szCs w:val="22"/>
        </w:rPr>
        <w:t>es</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ha</w:t>
      </w:r>
      <w:r w:rsidRPr="00BD17CA">
        <w:rPr>
          <w:rFonts w:ascii="Arial" w:eastAsia="Arial" w:hAnsi="Arial" w:cs="Arial"/>
          <w:sz w:val="22"/>
          <w:szCs w:val="22"/>
        </w:rPr>
        <w:t>t</w:t>
      </w:r>
      <w:r w:rsidRPr="00FD4375">
        <w:rPr>
          <w:rFonts w:ascii="Arial" w:eastAsia="Arial" w:hAnsi="Arial" w:cs="Arial"/>
          <w:sz w:val="22"/>
          <w:szCs w:val="22"/>
        </w:rPr>
        <w:t xml:space="preserve"> s</w:t>
      </w:r>
      <w:r w:rsidRPr="00BD17CA">
        <w:rPr>
          <w:rFonts w:ascii="Arial" w:eastAsia="Arial" w:hAnsi="Arial" w:cs="Arial"/>
          <w:sz w:val="22"/>
          <w:szCs w:val="22"/>
        </w:rPr>
        <w:t>u</w:t>
      </w:r>
      <w:r w:rsidRPr="00FD4375">
        <w:rPr>
          <w:rFonts w:ascii="Arial" w:eastAsia="Arial" w:hAnsi="Arial" w:cs="Arial"/>
          <w:sz w:val="22"/>
          <w:szCs w:val="22"/>
        </w:rPr>
        <w:t>c</w:t>
      </w:r>
      <w:r w:rsidRPr="00BD17CA">
        <w:rPr>
          <w:rFonts w:ascii="Arial" w:eastAsia="Arial" w:hAnsi="Arial" w:cs="Arial"/>
          <w:sz w:val="22"/>
          <w:szCs w:val="22"/>
        </w:rPr>
        <w:t>h</w:t>
      </w:r>
      <w:r w:rsidRPr="00FD4375">
        <w:rPr>
          <w:rFonts w:ascii="Arial" w:eastAsia="Arial" w:hAnsi="Arial" w:cs="Arial"/>
          <w:sz w:val="22"/>
          <w:szCs w:val="22"/>
        </w:rPr>
        <w:t xml:space="preserve"> m</w:t>
      </w:r>
      <w:r w:rsidRPr="00BD17CA">
        <w:rPr>
          <w:rFonts w:ascii="Arial" w:eastAsia="Arial" w:hAnsi="Arial" w:cs="Arial"/>
          <w:sz w:val="22"/>
          <w:szCs w:val="22"/>
        </w:rPr>
        <w:t>o</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are</w:t>
      </w:r>
      <w:r w:rsidRPr="00FD4375">
        <w:rPr>
          <w:rFonts w:ascii="Arial" w:eastAsia="Arial" w:hAnsi="Arial" w:cs="Arial"/>
          <w:sz w:val="22"/>
          <w:szCs w:val="22"/>
        </w:rPr>
        <w:t xml:space="preserve"> lik</w:t>
      </w:r>
      <w:r w:rsidRPr="00BD17CA">
        <w:rPr>
          <w:rFonts w:ascii="Arial" w:eastAsia="Arial" w:hAnsi="Arial" w:cs="Arial"/>
          <w:sz w:val="22"/>
          <w:szCs w:val="22"/>
        </w:rPr>
        <w:t>e</w:t>
      </w:r>
      <w:r w:rsidRPr="00FD4375">
        <w:rPr>
          <w:rFonts w:ascii="Arial" w:eastAsia="Arial" w:hAnsi="Arial" w:cs="Arial"/>
          <w:sz w:val="22"/>
          <w:szCs w:val="22"/>
        </w:rPr>
        <w:t>ly</w:t>
      </w:r>
      <w:r w:rsidRPr="00BD17CA">
        <w:rPr>
          <w:rFonts w:ascii="Arial" w:eastAsia="Arial" w:hAnsi="Arial" w:cs="Arial"/>
          <w:sz w:val="22"/>
          <w:szCs w:val="22"/>
        </w:rPr>
        <w:t>.</w:t>
      </w:r>
    </w:p>
    <w:p w14:paraId="334FF605" w14:textId="6DDF736C" w:rsidR="009C7422" w:rsidRPr="00BD17CA" w:rsidRDefault="001706EB" w:rsidP="00FD4375">
      <w:pPr>
        <w:spacing w:after="200" w:line="276" w:lineRule="auto"/>
        <w:ind w:right="74"/>
        <w:jc w:val="both"/>
        <w:rPr>
          <w:rFonts w:ascii="Arial" w:eastAsia="Arial" w:hAnsi="Arial" w:cs="Arial"/>
          <w:sz w:val="22"/>
          <w:szCs w:val="22"/>
        </w:rPr>
      </w:pPr>
      <w:bookmarkStart w:id="10" w:name="_Hlk55551277"/>
      <w:r w:rsidRPr="00FD4375">
        <w:rPr>
          <w:rFonts w:ascii="Arial" w:eastAsia="Arial" w:hAnsi="Arial" w:cs="Arial"/>
          <w:sz w:val="22"/>
          <w:szCs w:val="22"/>
        </w:rPr>
        <w:t>Give</w:t>
      </w:r>
      <w:r w:rsidRPr="00BD17CA">
        <w:rPr>
          <w:rFonts w:ascii="Arial" w:eastAsia="Arial" w:hAnsi="Arial" w:cs="Arial"/>
          <w:sz w:val="22"/>
          <w:szCs w:val="22"/>
        </w:rPr>
        <w:t>n</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mi</w:t>
      </w:r>
      <w:r w:rsidRPr="00BD17CA">
        <w:rPr>
          <w:rFonts w:ascii="Arial" w:eastAsia="Arial" w:hAnsi="Arial" w:cs="Arial"/>
          <w:sz w:val="22"/>
          <w:szCs w:val="22"/>
        </w:rPr>
        <w:t>n</w:t>
      </w:r>
      <w:r w:rsidRPr="00FD4375">
        <w:rPr>
          <w:rFonts w:ascii="Arial" w:eastAsia="Arial" w:hAnsi="Arial" w:cs="Arial"/>
          <w:sz w:val="22"/>
          <w:szCs w:val="22"/>
        </w:rPr>
        <w:t>imu</w:t>
      </w:r>
      <w:r w:rsidRPr="00BD17CA">
        <w:rPr>
          <w:rFonts w:ascii="Arial" w:eastAsia="Arial" w:hAnsi="Arial" w:cs="Arial"/>
          <w:sz w:val="22"/>
          <w:szCs w:val="22"/>
        </w:rPr>
        <w:t>m</w:t>
      </w:r>
      <w:r w:rsidRPr="00FD4375">
        <w:rPr>
          <w:rFonts w:ascii="Arial" w:eastAsia="Arial" w:hAnsi="Arial" w:cs="Arial"/>
          <w:sz w:val="22"/>
          <w:szCs w:val="22"/>
        </w:rPr>
        <w:t xml:space="preserve"> </w:t>
      </w:r>
      <w:r w:rsidRPr="00BD17CA">
        <w:rPr>
          <w:rFonts w:ascii="Arial" w:eastAsia="Arial" w:hAnsi="Arial" w:cs="Arial"/>
          <w:sz w:val="22"/>
          <w:szCs w:val="22"/>
        </w:rPr>
        <w:t>exp</w:t>
      </w:r>
      <w:r w:rsidRPr="00FD4375">
        <w:rPr>
          <w:rFonts w:ascii="Arial" w:eastAsia="Arial" w:hAnsi="Arial" w:cs="Arial"/>
          <w:sz w:val="22"/>
          <w:szCs w:val="22"/>
        </w:rPr>
        <w:t>os</w:t>
      </w:r>
      <w:r w:rsidRPr="00BD17CA">
        <w:rPr>
          <w:rFonts w:ascii="Arial" w:eastAsia="Arial" w:hAnsi="Arial" w:cs="Arial"/>
          <w:sz w:val="22"/>
          <w:szCs w:val="22"/>
        </w:rPr>
        <w:t>ure</w:t>
      </w:r>
      <w:r w:rsidRPr="00FD4375">
        <w:rPr>
          <w:rFonts w:ascii="Arial" w:eastAsia="Arial" w:hAnsi="Arial" w:cs="Arial"/>
          <w:sz w:val="22"/>
          <w:szCs w:val="22"/>
        </w:rPr>
        <w:t xml:space="preserve"> </w:t>
      </w:r>
      <w:r w:rsidRPr="00BD17CA">
        <w:rPr>
          <w:rFonts w:ascii="Arial" w:eastAsia="Arial" w:hAnsi="Arial" w:cs="Arial"/>
          <w:sz w:val="22"/>
          <w:szCs w:val="22"/>
        </w:rPr>
        <w:t>of 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w:t>
      </w:r>
      <w:proofErr w:type="spellStart"/>
      <w:proofErr w:type="gramStart"/>
      <w:r w:rsidRPr="00FD4375">
        <w:rPr>
          <w:rFonts w:ascii="Arial" w:eastAsia="Arial" w:hAnsi="Arial" w:cs="Arial"/>
          <w:sz w:val="22"/>
          <w:szCs w:val="22"/>
        </w:rPr>
        <w:t>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proofErr w:type="spellEnd"/>
      <w:proofErr w:type="gramEnd"/>
      <w:r w:rsidRPr="00FD4375">
        <w:rPr>
          <w:rFonts w:ascii="Arial" w:eastAsia="Arial" w:hAnsi="Arial" w:cs="Arial"/>
          <w:sz w:val="22"/>
          <w:szCs w:val="22"/>
        </w:rPr>
        <w:t xml:space="preserve"> </w:t>
      </w:r>
      <w:r w:rsidRPr="00BD17CA">
        <w:rPr>
          <w:rFonts w:ascii="Arial" w:eastAsia="Arial" w:hAnsi="Arial" w:cs="Arial"/>
          <w:sz w:val="22"/>
          <w:szCs w:val="22"/>
        </w:rPr>
        <w:t>as</w:t>
      </w:r>
      <w:r w:rsidRPr="00FD4375">
        <w:rPr>
          <w:rFonts w:ascii="Arial" w:eastAsia="Arial" w:hAnsi="Arial" w:cs="Arial"/>
          <w:sz w:val="22"/>
          <w:szCs w:val="22"/>
        </w:rPr>
        <w:t>s</w:t>
      </w:r>
      <w:r w:rsidRPr="00BD17CA">
        <w:rPr>
          <w:rFonts w:ascii="Arial" w:eastAsia="Arial" w:hAnsi="Arial" w:cs="Arial"/>
          <w:sz w:val="22"/>
          <w:szCs w:val="22"/>
        </w:rPr>
        <w:t>et</w:t>
      </w:r>
      <w:r w:rsidR="0079221D">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at</w:t>
      </w:r>
      <w:r w:rsidRPr="00FD4375">
        <w:rPr>
          <w:rFonts w:ascii="Arial" w:eastAsia="Arial" w:hAnsi="Arial" w:cs="Arial"/>
          <w:sz w:val="22"/>
          <w:szCs w:val="22"/>
        </w:rPr>
        <w:t xml:space="preserve"> </w:t>
      </w:r>
      <w:r w:rsidRPr="00BD17CA">
        <w:rPr>
          <w:rFonts w:ascii="Arial" w:eastAsia="Arial" w:hAnsi="Arial" w:cs="Arial"/>
          <w:sz w:val="22"/>
          <w:szCs w:val="22"/>
        </w:rPr>
        <w:t>pre</w:t>
      </w:r>
      <w:r w:rsidRPr="00FD4375">
        <w:rPr>
          <w:rFonts w:ascii="Arial" w:eastAsia="Arial" w:hAnsi="Arial" w:cs="Arial"/>
          <w:sz w:val="22"/>
          <w:szCs w:val="22"/>
        </w:rPr>
        <w:t>s</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n</w:t>
      </w:r>
      <w:r w:rsidRPr="00BD17CA">
        <w:rPr>
          <w:rFonts w:ascii="Arial" w:eastAsia="Arial" w:hAnsi="Arial" w:cs="Arial"/>
          <w:sz w:val="22"/>
          <w:szCs w:val="22"/>
        </w:rPr>
        <w:t>o</w:t>
      </w:r>
      <w:r w:rsidRPr="00FD4375">
        <w:rPr>
          <w:rFonts w:ascii="Arial" w:eastAsia="Arial" w:hAnsi="Arial" w:cs="Arial"/>
          <w:sz w:val="22"/>
          <w:szCs w:val="22"/>
        </w:rPr>
        <w:t xml:space="preserve"> f</w:t>
      </w:r>
      <w:r w:rsidRPr="00BD17CA">
        <w:rPr>
          <w:rFonts w:ascii="Arial" w:eastAsia="Arial" w:hAnsi="Arial" w:cs="Arial"/>
          <w:sz w:val="22"/>
          <w:szCs w:val="22"/>
        </w:rPr>
        <w:t>urther</w:t>
      </w:r>
      <w:r w:rsidRPr="00FD4375">
        <w:rPr>
          <w:rFonts w:ascii="Arial" w:eastAsia="Arial" w:hAnsi="Arial" w:cs="Arial"/>
          <w:sz w:val="22"/>
          <w:szCs w:val="22"/>
        </w:rPr>
        <w:t xml:space="preserve"> </w:t>
      </w:r>
      <w:r w:rsidRPr="00BD17CA">
        <w:rPr>
          <w:rFonts w:ascii="Arial" w:eastAsia="Arial" w:hAnsi="Arial" w:cs="Arial"/>
          <w:sz w:val="22"/>
          <w:szCs w:val="22"/>
        </w:rPr>
        <w:t>an</w:t>
      </w:r>
      <w:r w:rsidRPr="00FD4375">
        <w:rPr>
          <w:rFonts w:ascii="Arial" w:eastAsia="Arial" w:hAnsi="Arial" w:cs="Arial"/>
          <w:sz w:val="22"/>
          <w:szCs w:val="22"/>
        </w:rPr>
        <w:t>alysi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h</w:t>
      </w:r>
      <w:r w:rsidRPr="00FD4375">
        <w:rPr>
          <w:rFonts w:ascii="Arial" w:eastAsia="Arial" w:hAnsi="Arial" w:cs="Arial"/>
          <w:sz w:val="22"/>
          <w:szCs w:val="22"/>
        </w:rPr>
        <w:t>a</w:t>
      </w:r>
      <w:r w:rsidRPr="00BD17CA">
        <w:rPr>
          <w:rFonts w:ascii="Arial" w:eastAsia="Arial" w:hAnsi="Arial" w:cs="Arial"/>
          <w:sz w:val="22"/>
          <w:szCs w:val="22"/>
        </w:rPr>
        <w:t>s b</w:t>
      </w:r>
      <w:r w:rsidRPr="00FD4375">
        <w:rPr>
          <w:rFonts w:ascii="Arial" w:eastAsia="Arial" w:hAnsi="Arial" w:cs="Arial"/>
          <w:sz w:val="22"/>
          <w:szCs w:val="22"/>
        </w:rPr>
        <w:t>e</w:t>
      </w:r>
      <w:r w:rsidRPr="00BD17CA">
        <w:rPr>
          <w:rFonts w:ascii="Arial" w:eastAsia="Arial" w:hAnsi="Arial" w:cs="Arial"/>
          <w:sz w:val="22"/>
          <w:szCs w:val="22"/>
        </w:rPr>
        <w:t>en</w:t>
      </w:r>
      <w:r w:rsidRPr="00FD4375">
        <w:rPr>
          <w:rFonts w:ascii="Arial" w:eastAsia="Arial" w:hAnsi="Arial" w:cs="Arial"/>
          <w:sz w:val="22"/>
          <w:szCs w:val="22"/>
        </w:rPr>
        <w:t xml:space="preserve"> </w:t>
      </w:r>
      <w:r w:rsidRPr="00BD17CA">
        <w:rPr>
          <w:rFonts w:ascii="Arial" w:eastAsia="Arial" w:hAnsi="Arial" w:cs="Arial"/>
          <w:sz w:val="22"/>
          <w:szCs w:val="22"/>
        </w:rPr>
        <w:t>pr</w:t>
      </w:r>
      <w:r w:rsidRPr="00FD4375">
        <w:rPr>
          <w:rFonts w:ascii="Arial" w:eastAsia="Arial" w:hAnsi="Arial" w:cs="Arial"/>
          <w:sz w:val="22"/>
          <w:szCs w:val="22"/>
        </w:rPr>
        <w:t>ovi</w:t>
      </w:r>
      <w:r w:rsidRPr="00BD17CA">
        <w:rPr>
          <w:rFonts w:ascii="Arial" w:eastAsia="Arial" w:hAnsi="Arial" w:cs="Arial"/>
          <w:sz w:val="22"/>
          <w:szCs w:val="22"/>
        </w:rPr>
        <w:t>d</w:t>
      </w:r>
      <w:r w:rsidRPr="00FD4375">
        <w:rPr>
          <w:rFonts w:ascii="Arial" w:eastAsia="Arial" w:hAnsi="Arial" w:cs="Arial"/>
          <w:sz w:val="22"/>
          <w:szCs w:val="22"/>
        </w:rPr>
        <w:t>e</w:t>
      </w:r>
      <w:r w:rsidRPr="00BD17CA">
        <w:rPr>
          <w:rFonts w:ascii="Arial" w:eastAsia="Arial" w:hAnsi="Arial" w:cs="Arial"/>
          <w:sz w:val="22"/>
          <w:szCs w:val="22"/>
        </w:rPr>
        <w:t>d</w:t>
      </w:r>
      <w:r w:rsidRPr="00FD4375">
        <w:rPr>
          <w:rFonts w:ascii="Arial" w:eastAsia="Arial" w:hAnsi="Arial" w:cs="Arial"/>
          <w:sz w:val="22"/>
          <w:szCs w:val="22"/>
        </w:rPr>
        <w:t xml:space="preserve"> a</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hi</w:t>
      </w:r>
      <w:r w:rsidRPr="00BD17CA">
        <w:rPr>
          <w:rFonts w:ascii="Arial" w:eastAsia="Arial" w:hAnsi="Arial" w:cs="Arial"/>
          <w:sz w:val="22"/>
          <w:szCs w:val="22"/>
        </w:rPr>
        <w:t xml:space="preserve">s </w:t>
      </w:r>
      <w:r w:rsidRPr="00FD4375">
        <w:rPr>
          <w:rFonts w:ascii="Arial" w:eastAsia="Arial" w:hAnsi="Arial" w:cs="Arial"/>
          <w:sz w:val="22"/>
          <w:szCs w:val="22"/>
        </w:rPr>
        <w:t>w</w:t>
      </w:r>
      <w:r w:rsidRPr="00BD17CA">
        <w:rPr>
          <w:rFonts w:ascii="Arial" w:eastAsia="Arial" w:hAnsi="Arial" w:cs="Arial"/>
          <w:sz w:val="22"/>
          <w:szCs w:val="22"/>
        </w:rPr>
        <w:t>o</w:t>
      </w:r>
      <w:r w:rsidRPr="00FD4375">
        <w:rPr>
          <w:rFonts w:ascii="Arial" w:eastAsia="Arial" w:hAnsi="Arial" w:cs="Arial"/>
          <w:sz w:val="22"/>
          <w:szCs w:val="22"/>
        </w:rPr>
        <w:t>ul</w:t>
      </w:r>
      <w:r w:rsidRPr="00BD17CA">
        <w:rPr>
          <w:rFonts w:ascii="Arial" w:eastAsia="Arial" w:hAnsi="Arial" w:cs="Arial"/>
          <w:sz w:val="22"/>
          <w:szCs w:val="22"/>
        </w:rPr>
        <w:t>d be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mi</w:t>
      </w:r>
      <w:r w:rsidRPr="00BD17CA">
        <w:rPr>
          <w:rFonts w:ascii="Arial" w:eastAsia="Arial" w:hAnsi="Arial" w:cs="Arial"/>
          <w:sz w:val="22"/>
          <w:szCs w:val="22"/>
        </w:rPr>
        <w:t>n</w:t>
      </w:r>
      <w:r w:rsidRPr="00FD4375">
        <w:rPr>
          <w:rFonts w:ascii="Arial" w:eastAsia="Arial" w:hAnsi="Arial" w:cs="Arial"/>
          <w:sz w:val="22"/>
          <w:szCs w:val="22"/>
        </w:rPr>
        <w:t>im</w:t>
      </w:r>
      <w:r w:rsidRPr="00BD17CA">
        <w:rPr>
          <w:rFonts w:ascii="Arial" w:eastAsia="Arial" w:hAnsi="Arial" w:cs="Arial"/>
          <w:sz w:val="22"/>
          <w:szCs w:val="22"/>
        </w:rPr>
        <w:t>al</w:t>
      </w:r>
      <w:r w:rsidRPr="00FD4375">
        <w:rPr>
          <w:rFonts w:ascii="Arial" w:eastAsia="Arial" w:hAnsi="Arial" w:cs="Arial"/>
          <w:sz w:val="22"/>
          <w:szCs w:val="22"/>
        </w:rPr>
        <w:t xml:space="preserve"> </w:t>
      </w:r>
      <w:r w:rsidRPr="00BD17CA">
        <w:rPr>
          <w:rFonts w:ascii="Arial" w:eastAsia="Arial" w:hAnsi="Arial" w:cs="Arial"/>
          <w:sz w:val="22"/>
          <w:szCs w:val="22"/>
        </w:rPr>
        <w:t>b</w:t>
      </w:r>
      <w:r w:rsidRPr="00FD4375">
        <w:rPr>
          <w:rFonts w:ascii="Arial" w:eastAsia="Arial" w:hAnsi="Arial" w:cs="Arial"/>
          <w:sz w:val="22"/>
          <w:szCs w:val="22"/>
        </w:rPr>
        <w:t>e</w:t>
      </w:r>
      <w:r w:rsidRPr="00BD17CA">
        <w:rPr>
          <w:rFonts w:ascii="Arial" w:eastAsia="Arial" w:hAnsi="Arial" w:cs="Arial"/>
          <w:sz w:val="22"/>
          <w:szCs w:val="22"/>
        </w:rPr>
        <w:t>n</w:t>
      </w:r>
      <w:r w:rsidRPr="00FD4375">
        <w:rPr>
          <w:rFonts w:ascii="Arial" w:eastAsia="Arial" w:hAnsi="Arial" w:cs="Arial"/>
          <w:sz w:val="22"/>
          <w:szCs w:val="22"/>
        </w:rPr>
        <w:t>efi</w:t>
      </w:r>
      <w:r w:rsidRPr="00BD17CA">
        <w:rPr>
          <w:rFonts w:ascii="Arial" w:eastAsia="Arial" w:hAnsi="Arial" w:cs="Arial"/>
          <w:sz w:val="22"/>
          <w:szCs w:val="22"/>
        </w:rPr>
        <w:t>t</w:t>
      </w:r>
      <w:bookmarkEnd w:id="10"/>
      <w:r w:rsidRPr="00BD17CA">
        <w:rPr>
          <w:rFonts w:ascii="Arial" w:eastAsia="Arial" w:hAnsi="Arial" w:cs="Arial"/>
          <w:sz w:val="22"/>
          <w:szCs w:val="22"/>
        </w:rPr>
        <w:t>.</w:t>
      </w:r>
    </w:p>
    <w:p w14:paraId="51636BFE" w14:textId="77777777" w:rsidR="009C7422" w:rsidRPr="00FD4375" w:rsidRDefault="001706EB" w:rsidP="00FD4375">
      <w:pPr>
        <w:spacing w:after="200" w:line="276" w:lineRule="auto"/>
        <w:ind w:right="74"/>
        <w:jc w:val="both"/>
        <w:rPr>
          <w:rFonts w:ascii="Arial" w:eastAsia="Arial" w:hAnsi="Arial" w:cs="Arial"/>
          <w:b/>
          <w:bCs/>
          <w:sz w:val="22"/>
          <w:szCs w:val="22"/>
        </w:rPr>
      </w:pPr>
      <w:r w:rsidRPr="00FD4375">
        <w:rPr>
          <w:rFonts w:ascii="Arial" w:eastAsia="Arial" w:hAnsi="Arial" w:cs="Arial"/>
          <w:b/>
          <w:bCs/>
          <w:sz w:val="22"/>
          <w:szCs w:val="22"/>
        </w:rPr>
        <w:t>Currency risk</w:t>
      </w:r>
    </w:p>
    <w:p w14:paraId="6E32E030" w14:textId="77777777" w:rsidR="009C7422" w:rsidRPr="00BD17CA" w:rsidRDefault="001706EB" w:rsidP="00FD4375">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Cur</w:t>
      </w:r>
      <w:r w:rsidRPr="00FD4375">
        <w:rPr>
          <w:rFonts w:ascii="Arial" w:eastAsia="Arial" w:hAnsi="Arial" w:cs="Arial"/>
          <w:sz w:val="22"/>
          <w:szCs w:val="22"/>
        </w:rPr>
        <w:t>r</w:t>
      </w:r>
      <w:r w:rsidRPr="00BD17CA">
        <w:rPr>
          <w:rFonts w:ascii="Arial" w:eastAsia="Arial" w:hAnsi="Arial" w:cs="Arial"/>
          <w:sz w:val="22"/>
          <w:szCs w:val="22"/>
        </w:rPr>
        <w:t>en</w:t>
      </w:r>
      <w:r w:rsidRPr="00FD4375">
        <w:rPr>
          <w:rFonts w:ascii="Arial" w:eastAsia="Arial" w:hAnsi="Arial" w:cs="Arial"/>
          <w:sz w:val="22"/>
          <w:szCs w:val="22"/>
        </w:rPr>
        <w:t>c</w:t>
      </w:r>
      <w:r w:rsidRPr="00BD17CA">
        <w:rPr>
          <w:rFonts w:ascii="Arial" w:eastAsia="Arial" w:hAnsi="Arial" w:cs="Arial"/>
          <w:sz w:val="22"/>
          <w:szCs w:val="22"/>
        </w:rPr>
        <w:t xml:space="preserve">y </w:t>
      </w:r>
      <w:r w:rsidRPr="00FD4375">
        <w:rPr>
          <w:rFonts w:ascii="Arial" w:eastAsia="Arial" w:hAnsi="Arial" w:cs="Arial"/>
          <w:sz w:val="22"/>
          <w:szCs w:val="22"/>
        </w:rPr>
        <w:t>ris</w:t>
      </w:r>
      <w:r w:rsidRPr="00BD17CA">
        <w:rPr>
          <w:rFonts w:ascii="Arial" w:eastAsia="Arial" w:hAnsi="Arial" w:cs="Arial"/>
          <w:sz w:val="22"/>
          <w:szCs w:val="22"/>
        </w:rPr>
        <w:t>k</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pr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th</w:t>
      </w:r>
      <w:r w:rsidRPr="00FD4375">
        <w:rPr>
          <w:rFonts w:ascii="Arial" w:eastAsia="Arial" w:hAnsi="Arial" w:cs="Arial"/>
          <w:sz w:val="22"/>
          <w:szCs w:val="22"/>
        </w:rPr>
        <w:t>a</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f</w:t>
      </w:r>
      <w:r w:rsidRPr="00BD17CA">
        <w:rPr>
          <w:rFonts w:ascii="Arial" w:eastAsia="Arial" w:hAnsi="Arial" w:cs="Arial"/>
          <w:sz w:val="22"/>
          <w:szCs w:val="22"/>
        </w:rPr>
        <w:t>a</w:t>
      </w:r>
      <w:r w:rsidRPr="00FD4375">
        <w:rPr>
          <w:rFonts w:ascii="Arial" w:eastAsia="Arial" w:hAnsi="Arial" w:cs="Arial"/>
          <w:sz w:val="22"/>
          <w:szCs w:val="22"/>
        </w:rPr>
        <w:t>i</w:t>
      </w:r>
      <w:r w:rsidRPr="00BD17CA">
        <w:rPr>
          <w:rFonts w:ascii="Arial" w:eastAsia="Arial" w:hAnsi="Arial" w:cs="Arial"/>
          <w:sz w:val="22"/>
          <w:szCs w:val="22"/>
        </w:rPr>
        <w:t>r</w:t>
      </w:r>
      <w:r w:rsidRPr="00FD4375">
        <w:rPr>
          <w:rFonts w:ascii="Arial" w:eastAsia="Arial" w:hAnsi="Arial" w:cs="Arial"/>
          <w:sz w:val="22"/>
          <w:szCs w:val="22"/>
        </w:rPr>
        <w:t xml:space="preserve"> val</w:t>
      </w:r>
      <w:r w:rsidRPr="00BD17CA">
        <w:rPr>
          <w:rFonts w:ascii="Arial" w:eastAsia="Arial" w:hAnsi="Arial" w:cs="Arial"/>
          <w:sz w:val="22"/>
          <w:szCs w:val="22"/>
        </w:rPr>
        <w:t>ue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f</w:t>
      </w:r>
      <w:r w:rsidRPr="00BD17CA">
        <w:rPr>
          <w:rFonts w:ascii="Arial" w:eastAsia="Arial" w:hAnsi="Arial" w:cs="Arial"/>
          <w:sz w:val="22"/>
          <w:szCs w:val="22"/>
        </w:rPr>
        <w:t>ut</w:t>
      </w:r>
      <w:r w:rsidRPr="00FD4375">
        <w:rPr>
          <w:rFonts w:ascii="Arial" w:eastAsia="Arial" w:hAnsi="Arial" w:cs="Arial"/>
          <w:sz w:val="22"/>
          <w:szCs w:val="22"/>
        </w:rPr>
        <w:t>ur</w:t>
      </w:r>
      <w:r w:rsidRPr="00BD17CA">
        <w:rPr>
          <w:rFonts w:ascii="Arial" w:eastAsia="Arial" w:hAnsi="Arial" w:cs="Arial"/>
          <w:sz w:val="22"/>
          <w:szCs w:val="22"/>
        </w:rPr>
        <w:t>e</w:t>
      </w:r>
      <w:r w:rsidRPr="00FD4375">
        <w:rPr>
          <w:rFonts w:ascii="Arial" w:eastAsia="Arial" w:hAnsi="Arial" w:cs="Arial"/>
          <w:sz w:val="22"/>
          <w:szCs w:val="22"/>
        </w:rPr>
        <w:t xml:space="preserve"> c</w:t>
      </w:r>
      <w:r w:rsidRPr="00BD17CA">
        <w:rPr>
          <w:rFonts w:ascii="Arial" w:eastAsia="Arial" w:hAnsi="Arial" w:cs="Arial"/>
          <w:sz w:val="22"/>
          <w:szCs w:val="22"/>
        </w:rPr>
        <w:t>a</w:t>
      </w:r>
      <w:r w:rsidRPr="00FD4375">
        <w:rPr>
          <w:rFonts w:ascii="Arial" w:eastAsia="Arial" w:hAnsi="Arial" w:cs="Arial"/>
          <w:sz w:val="22"/>
          <w:szCs w:val="22"/>
        </w:rPr>
        <w:t>s</w:t>
      </w:r>
      <w:r w:rsidRPr="00BD17CA">
        <w:rPr>
          <w:rFonts w:ascii="Arial" w:eastAsia="Arial" w:hAnsi="Arial" w:cs="Arial"/>
          <w:sz w:val="22"/>
          <w:szCs w:val="22"/>
        </w:rPr>
        <w:t>h</w:t>
      </w:r>
      <w:r w:rsidRPr="00FD4375">
        <w:rPr>
          <w:rFonts w:ascii="Arial" w:eastAsia="Arial" w:hAnsi="Arial" w:cs="Arial"/>
          <w:sz w:val="22"/>
          <w:szCs w:val="22"/>
        </w:rPr>
        <w:t xml:space="preserve"> fl</w:t>
      </w:r>
      <w:r w:rsidRPr="00BD17CA">
        <w:rPr>
          <w:rFonts w:ascii="Arial" w:eastAsia="Arial" w:hAnsi="Arial" w:cs="Arial"/>
          <w:sz w:val="22"/>
          <w:szCs w:val="22"/>
        </w:rPr>
        <w:t>o</w:t>
      </w:r>
      <w:r w:rsidRPr="00FD4375">
        <w:rPr>
          <w:rFonts w:ascii="Arial" w:eastAsia="Arial" w:hAnsi="Arial" w:cs="Arial"/>
          <w:sz w:val="22"/>
          <w:szCs w:val="22"/>
        </w:rPr>
        <w:t>w</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 xml:space="preserve"> fi</w:t>
      </w:r>
      <w:r w:rsidRPr="00BD17CA">
        <w:rPr>
          <w:rFonts w:ascii="Arial" w:eastAsia="Arial" w:hAnsi="Arial" w:cs="Arial"/>
          <w:sz w:val="22"/>
          <w:szCs w:val="22"/>
        </w:rPr>
        <w:t>n</w:t>
      </w:r>
      <w:r w:rsidRPr="00FD4375">
        <w:rPr>
          <w:rFonts w:ascii="Arial" w:eastAsia="Arial" w:hAnsi="Arial" w:cs="Arial"/>
          <w:sz w:val="22"/>
          <w:szCs w:val="22"/>
        </w:rPr>
        <w:t>anci</w:t>
      </w:r>
      <w:r w:rsidRPr="00BD17CA">
        <w:rPr>
          <w:rFonts w:ascii="Arial" w:eastAsia="Arial" w:hAnsi="Arial" w:cs="Arial"/>
          <w:sz w:val="22"/>
          <w:szCs w:val="22"/>
        </w:rPr>
        <w:t>al</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tru</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il</w:t>
      </w:r>
      <w:r w:rsidRPr="00BD17CA">
        <w:rPr>
          <w:rFonts w:ascii="Arial" w:eastAsia="Arial" w:hAnsi="Arial" w:cs="Arial"/>
          <w:sz w:val="22"/>
          <w:szCs w:val="22"/>
        </w:rPr>
        <w:t>l</w:t>
      </w:r>
      <w:r w:rsidRPr="00FD4375">
        <w:rPr>
          <w:rFonts w:ascii="Arial" w:eastAsia="Arial" w:hAnsi="Arial" w:cs="Arial"/>
          <w:sz w:val="22"/>
          <w:szCs w:val="22"/>
        </w:rPr>
        <w:t xml:space="preserve"> fl</w:t>
      </w:r>
      <w:r w:rsidRPr="00BD17CA">
        <w:rPr>
          <w:rFonts w:ascii="Arial" w:eastAsia="Arial" w:hAnsi="Arial" w:cs="Arial"/>
          <w:sz w:val="22"/>
          <w:szCs w:val="22"/>
        </w:rPr>
        <w:t>u</w:t>
      </w:r>
      <w:r w:rsidRPr="00FD4375">
        <w:rPr>
          <w:rFonts w:ascii="Arial" w:eastAsia="Arial" w:hAnsi="Arial" w:cs="Arial"/>
          <w:sz w:val="22"/>
          <w:szCs w:val="22"/>
        </w:rPr>
        <w:t>c</w:t>
      </w:r>
      <w:r w:rsidRPr="00BD17CA">
        <w:rPr>
          <w:rFonts w:ascii="Arial" w:eastAsia="Arial" w:hAnsi="Arial" w:cs="Arial"/>
          <w:sz w:val="22"/>
          <w:szCs w:val="22"/>
        </w:rPr>
        <w:t>tu</w:t>
      </w:r>
      <w:r w:rsidRPr="00FD4375">
        <w:rPr>
          <w:rFonts w:ascii="Arial" w:eastAsia="Arial" w:hAnsi="Arial" w:cs="Arial"/>
          <w:sz w:val="22"/>
          <w:szCs w:val="22"/>
        </w:rPr>
        <w:t>at</w:t>
      </w:r>
      <w:r w:rsidRPr="00BD17CA">
        <w:rPr>
          <w:rFonts w:ascii="Arial" w:eastAsia="Arial" w:hAnsi="Arial" w:cs="Arial"/>
          <w:sz w:val="22"/>
          <w:szCs w:val="22"/>
        </w:rPr>
        <w:t>e b</w:t>
      </w:r>
      <w:r w:rsidRPr="00FD4375">
        <w:rPr>
          <w:rFonts w:ascii="Arial" w:eastAsia="Arial" w:hAnsi="Arial" w:cs="Arial"/>
          <w:sz w:val="22"/>
          <w:szCs w:val="22"/>
        </w:rPr>
        <w:t>ec</w:t>
      </w:r>
      <w:r w:rsidRPr="00BD17CA">
        <w:rPr>
          <w:rFonts w:ascii="Arial" w:eastAsia="Arial" w:hAnsi="Arial" w:cs="Arial"/>
          <w:sz w:val="22"/>
          <w:szCs w:val="22"/>
        </w:rPr>
        <w:t>a</w:t>
      </w:r>
      <w:r w:rsidRPr="00FD4375">
        <w:rPr>
          <w:rFonts w:ascii="Arial" w:eastAsia="Arial" w:hAnsi="Arial" w:cs="Arial"/>
          <w:sz w:val="22"/>
          <w:szCs w:val="22"/>
        </w:rPr>
        <w:t>us</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c</w:t>
      </w:r>
      <w:r w:rsidRPr="00BD17CA">
        <w:rPr>
          <w:rFonts w:ascii="Arial" w:eastAsia="Arial" w:hAnsi="Arial" w:cs="Arial"/>
          <w:sz w:val="22"/>
          <w:szCs w:val="22"/>
        </w:rPr>
        <w:t>h</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g</w:t>
      </w:r>
      <w:r w:rsidRPr="00BD17CA">
        <w:rPr>
          <w:rFonts w:ascii="Arial" w:eastAsia="Arial" w:hAnsi="Arial" w:cs="Arial"/>
          <w:sz w:val="22"/>
          <w:szCs w:val="22"/>
        </w:rPr>
        <w:t>es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f</w:t>
      </w:r>
      <w:r w:rsidRPr="00BD17CA">
        <w:rPr>
          <w:rFonts w:ascii="Arial" w:eastAsia="Arial" w:hAnsi="Arial" w:cs="Arial"/>
          <w:sz w:val="22"/>
          <w:szCs w:val="22"/>
        </w:rPr>
        <w:t>or</w:t>
      </w:r>
      <w:r w:rsidRPr="00FD4375">
        <w:rPr>
          <w:rFonts w:ascii="Arial" w:eastAsia="Arial" w:hAnsi="Arial" w:cs="Arial"/>
          <w:sz w:val="22"/>
          <w:szCs w:val="22"/>
        </w:rPr>
        <w:t>ei</w:t>
      </w:r>
      <w:r w:rsidRPr="00BD17CA">
        <w:rPr>
          <w:rFonts w:ascii="Arial" w:eastAsia="Arial" w:hAnsi="Arial" w:cs="Arial"/>
          <w:sz w:val="22"/>
          <w:szCs w:val="22"/>
        </w:rPr>
        <w:t>gn</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xc</w:t>
      </w:r>
      <w:r w:rsidRPr="00BD17CA">
        <w:rPr>
          <w:rFonts w:ascii="Arial" w:eastAsia="Arial" w:hAnsi="Arial" w:cs="Arial"/>
          <w:sz w:val="22"/>
          <w:szCs w:val="22"/>
        </w:rPr>
        <w:t>h</w:t>
      </w:r>
      <w:r w:rsidRPr="00FD4375">
        <w:rPr>
          <w:rFonts w:ascii="Arial" w:eastAsia="Arial" w:hAnsi="Arial" w:cs="Arial"/>
          <w:sz w:val="22"/>
          <w:szCs w:val="22"/>
        </w:rPr>
        <w:t>an</w:t>
      </w:r>
      <w:r w:rsidRPr="00BD17CA">
        <w:rPr>
          <w:rFonts w:ascii="Arial" w:eastAsia="Arial" w:hAnsi="Arial" w:cs="Arial"/>
          <w:sz w:val="22"/>
          <w:szCs w:val="22"/>
        </w:rPr>
        <w:t xml:space="preserve">ge </w:t>
      </w:r>
      <w:r w:rsidRPr="00FD4375">
        <w:rPr>
          <w:rFonts w:ascii="Arial" w:eastAsia="Arial" w:hAnsi="Arial" w:cs="Arial"/>
          <w:sz w:val="22"/>
          <w:szCs w:val="22"/>
        </w:rPr>
        <w:t>r</w:t>
      </w:r>
      <w:r w:rsidRPr="00BD17CA">
        <w:rPr>
          <w:rFonts w:ascii="Arial" w:eastAsia="Arial" w:hAnsi="Arial" w:cs="Arial"/>
          <w:sz w:val="22"/>
          <w:szCs w:val="22"/>
        </w:rPr>
        <w:t>a</w:t>
      </w:r>
      <w:r w:rsidRPr="00FD4375">
        <w:rPr>
          <w:rFonts w:ascii="Arial" w:eastAsia="Arial" w:hAnsi="Arial" w:cs="Arial"/>
          <w:sz w:val="22"/>
          <w:szCs w:val="22"/>
        </w:rPr>
        <w:t>t</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x</w:t>
      </w:r>
      <w:r w:rsidRPr="00BD17CA">
        <w:rPr>
          <w:rFonts w:ascii="Arial" w:eastAsia="Arial" w:hAnsi="Arial" w:cs="Arial"/>
          <w:sz w:val="22"/>
          <w:szCs w:val="22"/>
        </w:rPr>
        <w:t>p</w:t>
      </w:r>
      <w:r w:rsidRPr="00FD4375">
        <w:rPr>
          <w:rFonts w:ascii="Arial" w:eastAsia="Arial" w:hAnsi="Arial" w:cs="Arial"/>
          <w:sz w:val="22"/>
          <w:szCs w:val="22"/>
        </w:rPr>
        <w:t>os</w:t>
      </w:r>
      <w:r w:rsidRPr="00BD17CA">
        <w:rPr>
          <w:rFonts w:ascii="Arial" w:eastAsia="Arial" w:hAnsi="Arial" w:cs="Arial"/>
          <w:sz w:val="22"/>
          <w:szCs w:val="22"/>
        </w:rPr>
        <w:t>ed</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c</w:t>
      </w:r>
      <w:r w:rsidRPr="00BD17CA">
        <w:rPr>
          <w:rFonts w:ascii="Arial" w:eastAsia="Arial" w:hAnsi="Arial" w:cs="Arial"/>
          <w:sz w:val="22"/>
          <w:szCs w:val="22"/>
        </w:rPr>
        <w:t>ur</w:t>
      </w:r>
      <w:r w:rsidRPr="00FD4375">
        <w:rPr>
          <w:rFonts w:ascii="Arial" w:eastAsia="Arial" w:hAnsi="Arial" w:cs="Arial"/>
          <w:sz w:val="22"/>
          <w:szCs w:val="22"/>
        </w:rPr>
        <w:t>re</w:t>
      </w:r>
      <w:r w:rsidRPr="00BD17CA">
        <w:rPr>
          <w:rFonts w:ascii="Arial" w:eastAsia="Arial" w:hAnsi="Arial" w:cs="Arial"/>
          <w:sz w:val="22"/>
          <w:szCs w:val="22"/>
        </w:rPr>
        <w:t>n</w:t>
      </w:r>
      <w:r w:rsidRPr="00FD4375">
        <w:rPr>
          <w:rFonts w:ascii="Arial" w:eastAsia="Arial" w:hAnsi="Arial" w:cs="Arial"/>
          <w:sz w:val="22"/>
          <w:szCs w:val="22"/>
        </w:rPr>
        <w:t>c</w:t>
      </w:r>
      <w:r w:rsidRPr="00BD17CA">
        <w:rPr>
          <w:rFonts w:ascii="Arial" w:eastAsia="Arial" w:hAnsi="Arial" w:cs="Arial"/>
          <w:sz w:val="22"/>
          <w:szCs w:val="22"/>
        </w:rPr>
        <w:t xml:space="preserve">y </w:t>
      </w:r>
      <w:r w:rsidRPr="00FD4375">
        <w:rPr>
          <w:rFonts w:ascii="Arial" w:eastAsia="Arial" w:hAnsi="Arial" w:cs="Arial"/>
          <w:sz w:val="22"/>
          <w:szCs w:val="22"/>
        </w:rPr>
        <w:t>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on</w:t>
      </w:r>
      <w:r w:rsidRPr="00FD4375">
        <w:rPr>
          <w:rFonts w:ascii="Arial" w:eastAsia="Arial" w:hAnsi="Arial" w:cs="Arial"/>
          <w:sz w:val="22"/>
          <w:szCs w:val="22"/>
        </w:rPr>
        <w:t xml:space="preserve"> fi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ci</w:t>
      </w:r>
      <w:r w:rsidRPr="00BD17CA">
        <w:rPr>
          <w:rFonts w:ascii="Arial" w:eastAsia="Arial" w:hAnsi="Arial" w:cs="Arial"/>
          <w:sz w:val="22"/>
          <w:szCs w:val="22"/>
        </w:rPr>
        <w:t>al</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tru</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 th</w:t>
      </w:r>
      <w:r w:rsidRPr="00FD4375">
        <w:rPr>
          <w:rFonts w:ascii="Arial" w:eastAsia="Arial" w:hAnsi="Arial" w:cs="Arial"/>
          <w:sz w:val="22"/>
          <w:szCs w:val="22"/>
        </w:rPr>
        <w:t>a</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d</w:t>
      </w:r>
      <w:r w:rsidRPr="00FD4375">
        <w:rPr>
          <w:rFonts w:ascii="Arial" w:eastAsia="Arial" w:hAnsi="Arial" w:cs="Arial"/>
          <w:sz w:val="22"/>
          <w:szCs w:val="22"/>
        </w:rPr>
        <w:t>e</w:t>
      </w:r>
      <w:r w:rsidRPr="00BD17CA">
        <w:rPr>
          <w:rFonts w:ascii="Arial" w:eastAsia="Arial" w:hAnsi="Arial" w:cs="Arial"/>
          <w:sz w:val="22"/>
          <w:szCs w:val="22"/>
        </w:rPr>
        <w:t>n</w:t>
      </w:r>
      <w:r w:rsidRPr="00FD4375">
        <w:rPr>
          <w:rFonts w:ascii="Arial" w:eastAsia="Arial" w:hAnsi="Arial" w:cs="Arial"/>
          <w:sz w:val="22"/>
          <w:szCs w:val="22"/>
        </w:rPr>
        <w:t>omi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t</w:t>
      </w:r>
      <w:r w:rsidRPr="00FD4375">
        <w:rPr>
          <w:rFonts w:ascii="Arial" w:eastAsia="Arial" w:hAnsi="Arial" w:cs="Arial"/>
          <w:sz w:val="22"/>
          <w:szCs w:val="22"/>
        </w:rPr>
        <w:t>e</w:t>
      </w:r>
      <w:r w:rsidRPr="00BD17CA">
        <w:rPr>
          <w:rFonts w:ascii="Arial" w:eastAsia="Arial" w:hAnsi="Arial" w:cs="Arial"/>
          <w:sz w:val="22"/>
          <w:szCs w:val="22"/>
        </w:rPr>
        <w:t>d</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y</w:t>
      </w:r>
      <w:r w:rsidRPr="00FD4375">
        <w:rPr>
          <w:rFonts w:ascii="Arial" w:eastAsia="Arial" w:hAnsi="Arial" w:cs="Arial"/>
          <w:sz w:val="22"/>
          <w:szCs w:val="22"/>
        </w:rPr>
        <w:t xml:space="preserve"> c</w:t>
      </w:r>
      <w:r w:rsidRPr="00BD17CA">
        <w:rPr>
          <w:rFonts w:ascii="Arial" w:eastAsia="Arial" w:hAnsi="Arial" w:cs="Arial"/>
          <w:sz w:val="22"/>
          <w:szCs w:val="22"/>
        </w:rPr>
        <w:t>ur</w:t>
      </w:r>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nc</w:t>
      </w:r>
      <w:r w:rsidRPr="00BD17CA">
        <w:rPr>
          <w:rFonts w:ascii="Arial" w:eastAsia="Arial" w:hAnsi="Arial" w:cs="Arial"/>
          <w:sz w:val="22"/>
          <w:szCs w:val="22"/>
        </w:rPr>
        <w:t>y</w:t>
      </w:r>
      <w:r w:rsidRPr="00FD4375">
        <w:rPr>
          <w:rFonts w:ascii="Arial" w:eastAsia="Arial" w:hAnsi="Arial" w:cs="Arial"/>
          <w:sz w:val="22"/>
          <w:szCs w:val="22"/>
        </w:rPr>
        <w:t xml:space="preserve"> o</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er</w:t>
      </w:r>
      <w:r w:rsidRPr="00FD4375">
        <w:rPr>
          <w:rFonts w:ascii="Arial" w:eastAsia="Arial" w:hAnsi="Arial" w:cs="Arial"/>
          <w:sz w:val="22"/>
          <w:szCs w:val="22"/>
        </w:rPr>
        <w:t xml:space="preserve"> </w:t>
      </w:r>
      <w:r w:rsidRPr="00BD17CA">
        <w:rPr>
          <w:rFonts w:ascii="Arial" w:eastAsia="Arial" w:hAnsi="Arial" w:cs="Arial"/>
          <w:sz w:val="22"/>
          <w:szCs w:val="22"/>
        </w:rPr>
        <w:t>th</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 xml:space="preserve"> s</w:t>
      </w:r>
      <w:r w:rsidRPr="00BD17CA">
        <w:rPr>
          <w:rFonts w:ascii="Arial" w:eastAsia="Arial" w:hAnsi="Arial" w:cs="Arial"/>
          <w:sz w:val="22"/>
          <w:szCs w:val="22"/>
        </w:rPr>
        <w:t>ter</w:t>
      </w:r>
      <w:r w:rsidRPr="00FD4375">
        <w:rPr>
          <w:rFonts w:ascii="Arial" w:eastAsia="Arial" w:hAnsi="Arial" w:cs="Arial"/>
          <w:sz w:val="22"/>
          <w:szCs w:val="22"/>
        </w:rPr>
        <w:t>li</w:t>
      </w:r>
      <w:r w:rsidRPr="00BD17CA">
        <w:rPr>
          <w:rFonts w:ascii="Arial" w:eastAsia="Arial" w:hAnsi="Arial" w:cs="Arial"/>
          <w:sz w:val="22"/>
          <w:szCs w:val="22"/>
        </w:rPr>
        <w:t>n</w:t>
      </w:r>
      <w:r w:rsidRPr="00FD4375">
        <w:rPr>
          <w:rFonts w:ascii="Arial" w:eastAsia="Arial" w:hAnsi="Arial" w:cs="Arial"/>
          <w:sz w:val="22"/>
          <w:szCs w:val="22"/>
        </w:rPr>
        <w:t>g</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c</w:t>
      </w:r>
      <w:r w:rsidRPr="00BD17CA">
        <w:rPr>
          <w:rFonts w:ascii="Arial" w:eastAsia="Arial" w:hAnsi="Arial" w:cs="Arial"/>
          <w:sz w:val="22"/>
          <w:szCs w:val="22"/>
        </w:rPr>
        <w:t>ur</w:t>
      </w:r>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nc</w:t>
      </w:r>
      <w:r w:rsidRPr="00BD17CA">
        <w:rPr>
          <w:rFonts w:ascii="Arial" w:eastAsia="Arial" w:hAnsi="Arial" w:cs="Arial"/>
          <w:sz w:val="22"/>
          <w:szCs w:val="22"/>
        </w:rPr>
        <w:t>y</w:t>
      </w:r>
      <w:r w:rsidRPr="00FD4375">
        <w:rPr>
          <w:rFonts w:ascii="Arial" w:eastAsia="Arial" w:hAnsi="Arial" w:cs="Arial"/>
          <w:sz w:val="22"/>
          <w:szCs w:val="22"/>
        </w:rPr>
        <w:t xml:space="preserve"> r</w:t>
      </w:r>
      <w:r w:rsidRPr="00BD17CA">
        <w:rPr>
          <w:rFonts w:ascii="Arial" w:eastAsia="Arial" w:hAnsi="Arial" w:cs="Arial"/>
          <w:sz w:val="22"/>
          <w:szCs w:val="22"/>
        </w:rPr>
        <w:t>a</w:t>
      </w:r>
      <w:r w:rsidRPr="00FD4375">
        <w:rPr>
          <w:rFonts w:ascii="Arial" w:eastAsia="Arial" w:hAnsi="Arial" w:cs="Arial"/>
          <w:sz w:val="22"/>
          <w:szCs w:val="22"/>
        </w:rPr>
        <w:t>t</w:t>
      </w:r>
      <w:r w:rsidRPr="00BD17CA">
        <w:rPr>
          <w:rFonts w:ascii="Arial" w:eastAsia="Arial" w:hAnsi="Arial" w:cs="Arial"/>
          <w:sz w:val="22"/>
          <w:szCs w:val="22"/>
        </w:rPr>
        <w:t>e</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r</w:t>
      </w:r>
      <w:r w:rsidRPr="00BD17CA">
        <w:rPr>
          <w:rFonts w:ascii="Arial" w:eastAsia="Arial" w:hAnsi="Arial" w:cs="Arial"/>
          <w:sz w:val="22"/>
          <w:szCs w:val="22"/>
        </w:rPr>
        <w:t>o</w:t>
      </w:r>
      <w:r w:rsidRPr="00FD4375">
        <w:rPr>
          <w:rFonts w:ascii="Arial" w:eastAsia="Arial" w:hAnsi="Arial" w:cs="Arial"/>
          <w:sz w:val="22"/>
          <w:szCs w:val="22"/>
        </w:rPr>
        <w:t>u</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n</w:t>
      </w:r>
      <w:r w:rsidRPr="00FD4375">
        <w:rPr>
          <w:rFonts w:ascii="Arial" w:eastAsia="Arial" w:hAnsi="Arial" w:cs="Arial"/>
          <w:sz w:val="22"/>
          <w:szCs w:val="22"/>
        </w:rPr>
        <w:t>el</w:t>
      </w:r>
      <w:r w:rsidRPr="00BD17CA">
        <w:rPr>
          <w:rFonts w:ascii="Arial" w:eastAsia="Arial" w:hAnsi="Arial" w:cs="Arial"/>
          <w:sz w:val="22"/>
          <w:szCs w:val="22"/>
        </w:rPr>
        <w:t>y</w:t>
      </w:r>
      <w:r w:rsidRPr="00FD4375">
        <w:rPr>
          <w:rFonts w:ascii="Arial" w:eastAsia="Arial" w:hAnsi="Arial" w:cs="Arial"/>
          <w:sz w:val="22"/>
          <w:szCs w:val="22"/>
        </w:rPr>
        <w:t xml:space="preserve"> m</w:t>
      </w:r>
      <w:r w:rsidRPr="00BD17CA">
        <w:rPr>
          <w:rFonts w:ascii="Arial" w:eastAsia="Arial" w:hAnsi="Arial" w:cs="Arial"/>
          <w:sz w:val="22"/>
          <w:szCs w:val="22"/>
        </w:rPr>
        <w:t>o</w:t>
      </w:r>
      <w:r w:rsidRPr="00FD4375">
        <w:rPr>
          <w:rFonts w:ascii="Arial" w:eastAsia="Arial" w:hAnsi="Arial" w:cs="Arial"/>
          <w:sz w:val="22"/>
          <w:szCs w:val="22"/>
        </w:rPr>
        <w:t>nit</w:t>
      </w:r>
      <w:r w:rsidRPr="00BD17CA">
        <w:rPr>
          <w:rFonts w:ascii="Arial" w:eastAsia="Arial" w:hAnsi="Arial" w:cs="Arial"/>
          <w:sz w:val="22"/>
          <w:szCs w:val="22"/>
        </w:rPr>
        <w:t>ored</w:t>
      </w:r>
      <w:r w:rsidRPr="00FD4375">
        <w:rPr>
          <w:rFonts w:ascii="Arial" w:eastAsia="Arial" w:hAnsi="Arial" w:cs="Arial"/>
          <w:sz w:val="22"/>
          <w:szCs w:val="22"/>
        </w:rPr>
        <w:t xml:space="preserve"> b</w:t>
      </w:r>
      <w:r w:rsidRPr="00BD17CA">
        <w:rPr>
          <w:rFonts w:ascii="Arial" w:eastAsia="Arial" w:hAnsi="Arial" w:cs="Arial"/>
          <w:sz w:val="22"/>
          <w:szCs w:val="22"/>
        </w:rPr>
        <w:t>y the</w:t>
      </w:r>
      <w:r w:rsidRPr="00FD4375">
        <w:rPr>
          <w:rFonts w:ascii="Arial" w:eastAsia="Arial" w:hAnsi="Arial" w:cs="Arial"/>
          <w:sz w:val="22"/>
          <w:szCs w:val="22"/>
        </w:rPr>
        <w:t xml:space="preserve"> p</w:t>
      </w:r>
      <w:r w:rsidRPr="00BD17CA">
        <w:rPr>
          <w:rFonts w:ascii="Arial" w:eastAsia="Arial" w:hAnsi="Arial" w:cs="Arial"/>
          <w:sz w:val="22"/>
          <w:szCs w:val="22"/>
        </w:rPr>
        <w:t>e</w:t>
      </w:r>
      <w:r w:rsidRPr="00FD4375">
        <w:rPr>
          <w:rFonts w:ascii="Arial" w:eastAsia="Arial" w:hAnsi="Arial" w:cs="Arial"/>
          <w:sz w:val="22"/>
          <w:szCs w:val="22"/>
        </w:rPr>
        <w:t>nsi</w:t>
      </w:r>
      <w:r w:rsidRPr="00BD17CA">
        <w:rPr>
          <w:rFonts w:ascii="Arial" w:eastAsia="Arial" w:hAnsi="Arial" w:cs="Arial"/>
          <w:sz w:val="22"/>
          <w:szCs w:val="22"/>
        </w:rPr>
        <w:t>on</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inv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a</w:t>
      </w:r>
      <w:r w:rsidRPr="00BD17CA">
        <w:rPr>
          <w:rFonts w:ascii="Arial" w:eastAsia="Arial" w:hAnsi="Arial" w:cs="Arial"/>
          <w:sz w:val="22"/>
          <w:szCs w:val="22"/>
        </w:rPr>
        <w:t>d</w:t>
      </w:r>
      <w:r w:rsidRPr="00FD4375">
        <w:rPr>
          <w:rFonts w:ascii="Arial" w:eastAsia="Arial" w:hAnsi="Arial" w:cs="Arial"/>
          <w:sz w:val="22"/>
          <w:szCs w:val="22"/>
        </w:rPr>
        <w:t>vis</w:t>
      </w:r>
      <w:r w:rsidRPr="00BD17CA">
        <w:rPr>
          <w:rFonts w:ascii="Arial" w:eastAsia="Arial" w:hAnsi="Arial" w:cs="Arial"/>
          <w:sz w:val="22"/>
          <w:szCs w:val="22"/>
        </w:rPr>
        <w:t>ers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acc</w:t>
      </w:r>
      <w:r w:rsidRPr="00BD17CA">
        <w:rPr>
          <w:rFonts w:ascii="Arial" w:eastAsia="Arial" w:hAnsi="Arial" w:cs="Arial"/>
          <w:sz w:val="22"/>
          <w:szCs w:val="22"/>
        </w:rPr>
        <w:t>o</w:t>
      </w:r>
      <w:r w:rsidRPr="00FD4375">
        <w:rPr>
          <w:rFonts w:ascii="Arial" w:eastAsia="Arial" w:hAnsi="Arial" w:cs="Arial"/>
          <w:sz w:val="22"/>
          <w:szCs w:val="22"/>
        </w:rPr>
        <w:t>rd</w:t>
      </w:r>
      <w:r w:rsidRPr="00BD17CA">
        <w:rPr>
          <w:rFonts w:ascii="Arial" w:eastAsia="Arial" w:hAnsi="Arial" w:cs="Arial"/>
          <w:sz w:val="22"/>
          <w:szCs w:val="22"/>
        </w:rPr>
        <w:t>a</w:t>
      </w:r>
      <w:r w:rsidRPr="00FD4375">
        <w:rPr>
          <w:rFonts w:ascii="Arial" w:eastAsia="Arial" w:hAnsi="Arial" w:cs="Arial"/>
          <w:sz w:val="22"/>
          <w:szCs w:val="22"/>
        </w:rPr>
        <w:t>nc</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w:t>
      </w:r>
      <w:r w:rsidRPr="00BD17CA">
        <w:rPr>
          <w:rFonts w:ascii="Arial" w:eastAsia="Arial" w:hAnsi="Arial" w:cs="Arial"/>
          <w:sz w:val="22"/>
          <w:szCs w:val="22"/>
        </w:rPr>
        <w:t>th</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inv</w:t>
      </w:r>
      <w:r w:rsidRPr="00BD17CA">
        <w:rPr>
          <w:rFonts w:ascii="Arial" w:eastAsia="Arial" w:hAnsi="Arial" w:cs="Arial"/>
          <w:sz w:val="22"/>
          <w:szCs w:val="22"/>
        </w:rPr>
        <w:t>e</w:t>
      </w:r>
      <w:r w:rsidRPr="00FD4375">
        <w:rPr>
          <w:rFonts w:ascii="Arial" w:eastAsia="Arial" w:hAnsi="Arial" w:cs="Arial"/>
          <w:sz w:val="22"/>
          <w:szCs w:val="22"/>
        </w:rPr>
        <w:t>stm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s</w:t>
      </w:r>
      <w:r w:rsidRPr="00BD17CA">
        <w:rPr>
          <w:rFonts w:ascii="Arial" w:eastAsia="Arial" w:hAnsi="Arial" w:cs="Arial"/>
          <w:sz w:val="22"/>
          <w:szCs w:val="22"/>
        </w:rPr>
        <w:t>trat</w:t>
      </w:r>
      <w:r w:rsidRPr="00FD4375">
        <w:rPr>
          <w:rFonts w:ascii="Arial" w:eastAsia="Arial" w:hAnsi="Arial" w:cs="Arial"/>
          <w:sz w:val="22"/>
          <w:szCs w:val="22"/>
        </w:rPr>
        <w:t>egy</w:t>
      </w:r>
      <w:r w:rsidRPr="00BD17CA">
        <w:rPr>
          <w:rFonts w:ascii="Arial" w:eastAsia="Arial" w:hAnsi="Arial" w:cs="Arial"/>
          <w:sz w:val="22"/>
          <w:szCs w:val="22"/>
        </w:rPr>
        <w:t>.</w:t>
      </w:r>
    </w:p>
    <w:p w14:paraId="2489441F" w14:textId="77777777" w:rsidR="009C7422" w:rsidRPr="00FD4375" w:rsidRDefault="001706EB" w:rsidP="00FD4375">
      <w:pPr>
        <w:spacing w:after="200" w:line="276" w:lineRule="auto"/>
        <w:ind w:right="74"/>
        <w:jc w:val="both"/>
        <w:rPr>
          <w:rFonts w:ascii="Arial" w:eastAsia="Arial" w:hAnsi="Arial" w:cs="Arial"/>
          <w:b/>
          <w:bCs/>
          <w:sz w:val="22"/>
          <w:szCs w:val="22"/>
        </w:rPr>
      </w:pPr>
      <w:r w:rsidRPr="00FD4375">
        <w:rPr>
          <w:rFonts w:ascii="Arial" w:eastAsia="Arial" w:hAnsi="Arial" w:cs="Arial"/>
          <w:b/>
          <w:bCs/>
          <w:sz w:val="22"/>
          <w:szCs w:val="22"/>
        </w:rPr>
        <w:t>Credit risk</w:t>
      </w:r>
    </w:p>
    <w:p w14:paraId="41070F5C" w14:textId="397B0296" w:rsidR="009C7422" w:rsidRDefault="001706EB" w:rsidP="00FD4375">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C</w:t>
      </w:r>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di</w:t>
      </w:r>
      <w:r w:rsidRPr="00BD17CA">
        <w:rPr>
          <w:rFonts w:ascii="Arial" w:eastAsia="Arial" w:hAnsi="Arial" w:cs="Arial"/>
          <w:sz w:val="22"/>
          <w:szCs w:val="22"/>
        </w:rPr>
        <w:t>t</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pr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th</w:t>
      </w:r>
      <w:r w:rsidRPr="00FD4375">
        <w:rPr>
          <w:rFonts w:ascii="Arial" w:eastAsia="Arial" w:hAnsi="Arial" w:cs="Arial"/>
          <w:sz w:val="22"/>
          <w:szCs w:val="22"/>
        </w:rPr>
        <w:t>a</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u</w:t>
      </w:r>
      <w:r w:rsidRPr="00BD17CA">
        <w:rPr>
          <w:rFonts w:ascii="Arial" w:eastAsia="Arial" w:hAnsi="Arial" w:cs="Arial"/>
          <w:sz w:val="22"/>
          <w:szCs w:val="22"/>
        </w:rPr>
        <w:t>nt</w:t>
      </w:r>
      <w:r w:rsidRPr="00FD4375">
        <w:rPr>
          <w:rFonts w:ascii="Arial" w:eastAsia="Arial" w:hAnsi="Arial" w:cs="Arial"/>
          <w:sz w:val="22"/>
          <w:szCs w:val="22"/>
        </w:rPr>
        <w:t>er</w:t>
      </w:r>
      <w:r w:rsidRPr="00BD17CA">
        <w:rPr>
          <w:rFonts w:ascii="Arial" w:eastAsia="Arial" w:hAnsi="Arial" w:cs="Arial"/>
          <w:sz w:val="22"/>
          <w:szCs w:val="22"/>
        </w:rPr>
        <w:t>p</w:t>
      </w:r>
      <w:r w:rsidRPr="00FD4375">
        <w:rPr>
          <w:rFonts w:ascii="Arial" w:eastAsia="Arial" w:hAnsi="Arial" w:cs="Arial"/>
          <w:sz w:val="22"/>
          <w:szCs w:val="22"/>
        </w:rPr>
        <w:t>art</w:t>
      </w:r>
      <w:r w:rsidRPr="00BD17CA">
        <w:rPr>
          <w:rFonts w:ascii="Arial" w:eastAsia="Arial" w:hAnsi="Arial" w:cs="Arial"/>
          <w:sz w:val="22"/>
          <w:szCs w:val="22"/>
        </w:rPr>
        <w:t>y</w:t>
      </w:r>
      <w:r w:rsidRPr="00FD4375">
        <w:rPr>
          <w:rFonts w:ascii="Arial" w:eastAsia="Arial" w:hAnsi="Arial" w:cs="Arial"/>
          <w:sz w:val="22"/>
          <w:szCs w:val="22"/>
        </w:rPr>
        <w:t xml:space="preserve"> t</w:t>
      </w:r>
      <w:r w:rsidRPr="00BD17CA">
        <w:rPr>
          <w:rFonts w:ascii="Arial" w:eastAsia="Arial" w:hAnsi="Arial" w:cs="Arial"/>
          <w:sz w:val="22"/>
          <w:szCs w:val="22"/>
        </w:rPr>
        <w:t>o</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 xml:space="preserve"> fi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ci</w:t>
      </w:r>
      <w:r w:rsidRPr="00BD17CA">
        <w:rPr>
          <w:rFonts w:ascii="Arial" w:eastAsia="Arial" w:hAnsi="Arial" w:cs="Arial"/>
          <w:sz w:val="22"/>
          <w:szCs w:val="22"/>
        </w:rPr>
        <w:t>al</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r</w:t>
      </w:r>
      <w:r w:rsidRPr="00BD17CA">
        <w:rPr>
          <w:rFonts w:ascii="Arial" w:eastAsia="Arial" w:hAnsi="Arial" w:cs="Arial"/>
          <w:sz w:val="22"/>
          <w:szCs w:val="22"/>
        </w:rPr>
        <w:t>a</w:t>
      </w:r>
      <w:r w:rsidRPr="00FD4375">
        <w:rPr>
          <w:rFonts w:ascii="Arial" w:eastAsia="Arial" w:hAnsi="Arial" w:cs="Arial"/>
          <w:sz w:val="22"/>
          <w:szCs w:val="22"/>
        </w:rPr>
        <w:t>ns</w:t>
      </w:r>
      <w:r w:rsidRPr="00BD17CA">
        <w:rPr>
          <w:rFonts w:ascii="Arial" w:eastAsia="Arial" w:hAnsi="Arial" w:cs="Arial"/>
          <w:sz w:val="22"/>
          <w:szCs w:val="22"/>
        </w:rPr>
        <w:t>a</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on</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il</w:t>
      </w:r>
      <w:r w:rsidRPr="00BD17CA">
        <w:rPr>
          <w:rFonts w:ascii="Arial" w:eastAsia="Arial" w:hAnsi="Arial" w:cs="Arial"/>
          <w:sz w:val="22"/>
          <w:szCs w:val="22"/>
        </w:rPr>
        <w:t xml:space="preserve">l </w:t>
      </w:r>
      <w:r w:rsidRPr="00FD4375">
        <w:rPr>
          <w:rFonts w:ascii="Arial" w:eastAsia="Arial" w:hAnsi="Arial" w:cs="Arial"/>
          <w:sz w:val="22"/>
          <w:szCs w:val="22"/>
        </w:rPr>
        <w:t>f</w:t>
      </w:r>
      <w:r w:rsidRPr="00BD17CA">
        <w:rPr>
          <w:rFonts w:ascii="Arial" w:eastAsia="Arial" w:hAnsi="Arial" w:cs="Arial"/>
          <w:sz w:val="22"/>
          <w:szCs w:val="22"/>
        </w:rPr>
        <w:t>a</w:t>
      </w:r>
      <w:r w:rsidRPr="00FD4375">
        <w:rPr>
          <w:rFonts w:ascii="Arial" w:eastAsia="Arial" w:hAnsi="Arial" w:cs="Arial"/>
          <w:sz w:val="22"/>
          <w:szCs w:val="22"/>
        </w:rPr>
        <w:t>i</w:t>
      </w:r>
      <w:r w:rsidRPr="00BD17CA">
        <w:rPr>
          <w:rFonts w:ascii="Arial" w:eastAsia="Arial" w:hAnsi="Arial" w:cs="Arial"/>
          <w:sz w:val="22"/>
          <w:szCs w:val="22"/>
        </w:rPr>
        <w:t>l</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w:t>
      </w:r>
      <w:r w:rsidRPr="00BD17CA">
        <w:rPr>
          <w:rFonts w:ascii="Arial" w:eastAsia="Arial" w:hAnsi="Arial" w:cs="Arial"/>
          <w:sz w:val="22"/>
          <w:szCs w:val="22"/>
        </w:rPr>
        <w:t>d</w:t>
      </w:r>
      <w:r w:rsidRPr="00FD4375">
        <w:rPr>
          <w:rFonts w:ascii="Arial" w:eastAsia="Arial" w:hAnsi="Arial" w:cs="Arial"/>
          <w:sz w:val="22"/>
          <w:szCs w:val="22"/>
        </w:rPr>
        <w:t>isc</w:t>
      </w:r>
      <w:r w:rsidRPr="00BD17CA">
        <w:rPr>
          <w:rFonts w:ascii="Arial" w:eastAsia="Arial" w:hAnsi="Arial" w:cs="Arial"/>
          <w:sz w:val="22"/>
          <w:szCs w:val="22"/>
        </w:rPr>
        <w:t>h</w:t>
      </w:r>
      <w:r w:rsidRPr="00FD4375">
        <w:rPr>
          <w:rFonts w:ascii="Arial" w:eastAsia="Arial" w:hAnsi="Arial" w:cs="Arial"/>
          <w:sz w:val="22"/>
          <w:szCs w:val="22"/>
        </w:rPr>
        <w:t>arg</w:t>
      </w:r>
      <w:r w:rsidRPr="00BD17CA">
        <w:rPr>
          <w:rFonts w:ascii="Arial" w:eastAsia="Arial" w:hAnsi="Arial" w:cs="Arial"/>
          <w:sz w:val="22"/>
          <w:szCs w:val="22"/>
        </w:rPr>
        <w:t>e</w:t>
      </w:r>
      <w:r w:rsidRPr="00FD4375">
        <w:rPr>
          <w:rFonts w:ascii="Arial" w:eastAsia="Arial" w:hAnsi="Arial" w:cs="Arial"/>
          <w:sz w:val="22"/>
          <w:szCs w:val="22"/>
        </w:rPr>
        <w:t xml:space="preserve"> a</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o</w:t>
      </w:r>
      <w:r w:rsidRPr="00FD4375">
        <w:rPr>
          <w:rFonts w:ascii="Arial" w:eastAsia="Arial" w:hAnsi="Arial" w:cs="Arial"/>
          <w:sz w:val="22"/>
          <w:szCs w:val="22"/>
        </w:rPr>
        <w:t>bli</w:t>
      </w:r>
      <w:r w:rsidRPr="00BD17CA">
        <w:rPr>
          <w:rFonts w:ascii="Arial" w:eastAsia="Arial" w:hAnsi="Arial" w:cs="Arial"/>
          <w:sz w:val="22"/>
          <w:szCs w:val="22"/>
        </w:rPr>
        <w:t>g</w:t>
      </w:r>
      <w:r w:rsidRPr="00FD4375">
        <w:rPr>
          <w:rFonts w:ascii="Arial" w:eastAsia="Arial" w:hAnsi="Arial" w:cs="Arial"/>
          <w:sz w:val="22"/>
          <w:szCs w:val="22"/>
        </w:rPr>
        <w:t>atio</w:t>
      </w:r>
      <w:r w:rsidRPr="00BD17CA">
        <w:rPr>
          <w:rFonts w:ascii="Arial" w:eastAsia="Arial" w:hAnsi="Arial" w:cs="Arial"/>
          <w:sz w:val="22"/>
          <w:szCs w:val="22"/>
        </w:rPr>
        <w:t>n 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c</w:t>
      </w:r>
      <w:r w:rsidRPr="00BD17CA">
        <w:rPr>
          <w:rFonts w:ascii="Arial" w:eastAsia="Arial" w:hAnsi="Arial" w:cs="Arial"/>
          <w:sz w:val="22"/>
          <w:szCs w:val="22"/>
        </w:rPr>
        <w:t>a</w:t>
      </w:r>
      <w:r w:rsidRPr="00FD4375">
        <w:rPr>
          <w:rFonts w:ascii="Arial" w:eastAsia="Arial" w:hAnsi="Arial" w:cs="Arial"/>
          <w:sz w:val="22"/>
          <w:szCs w:val="22"/>
        </w:rPr>
        <w:t>us</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c</w:t>
      </w:r>
      <w:r w:rsidRPr="00BD17CA">
        <w:rPr>
          <w:rFonts w:ascii="Arial" w:eastAsia="Arial" w:hAnsi="Arial" w:cs="Arial"/>
          <w:sz w:val="22"/>
          <w:szCs w:val="22"/>
        </w:rPr>
        <w:t>ur</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 xml:space="preserve"> fin</w:t>
      </w:r>
      <w:r w:rsidRPr="00BD17CA">
        <w:rPr>
          <w:rFonts w:ascii="Arial" w:eastAsia="Arial" w:hAnsi="Arial" w:cs="Arial"/>
          <w:sz w:val="22"/>
          <w:szCs w:val="22"/>
        </w:rPr>
        <w:t>a</w:t>
      </w:r>
      <w:r w:rsidRPr="00FD4375">
        <w:rPr>
          <w:rFonts w:ascii="Arial" w:eastAsia="Arial" w:hAnsi="Arial" w:cs="Arial"/>
          <w:sz w:val="22"/>
          <w:szCs w:val="22"/>
        </w:rPr>
        <w:t>nci</w:t>
      </w:r>
      <w:r w:rsidRPr="00BD17CA">
        <w:rPr>
          <w:rFonts w:ascii="Arial" w:eastAsia="Arial" w:hAnsi="Arial" w:cs="Arial"/>
          <w:sz w:val="22"/>
          <w:szCs w:val="22"/>
        </w:rPr>
        <w:t>al</w:t>
      </w:r>
      <w:r w:rsidRPr="00FD4375">
        <w:rPr>
          <w:rFonts w:ascii="Arial" w:eastAsia="Arial" w:hAnsi="Arial" w:cs="Arial"/>
          <w:sz w:val="22"/>
          <w:szCs w:val="22"/>
        </w:rPr>
        <w:t xml:space="preserve"> l</w:t>
      </w:r>
      <w:r w:rsidRPr="00BD17CA">
        <w:rPr>
          <w:rFonts w:ascii="Arial" w:eastAsia="Arial" w:hAnsi="Arial" w:cs="Arial"/>
          <w:sz w:val="22"/>
          <w:szCs w:val="22"/>
        </w:rPr>
        <w:t>o</w:t>
      </w:r>
      <w:r w:rsidRPr="00FD4375">
        <w:rPr>
          <w:rFonts w:ascii="Arial" w:eastAsia="Arial" w:hAnsi="Arial" w:cs="Arial"/>
          <w:sz w:val="22"/>
          <w:szCs w:val="22"/>
        </w:rPr>
        <w:t>ss</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rke</w:t>
      </w:r>
      <w:r w:rsidRPr="00BD17CA">
        <w:rPr>
          <w:rFonts w:ascii="Arial" w:eastAsia="Arial" w:hAnsi="Arial" w:cs="Arial"/>
          <w:sz w:val="22"/>
          <w:szCs w:val="22"/>
        </w:rPr>
        <w:t>t</w:t>
      </w:r>
      <w:r w:rsidRPr="00FD4375">
        <w:rPr>
          <w:rFonts w:ascii="Arial" w:eastAsia="Arial" w:hAnsi="Arial" w:cs="Arial"/>
          <w:sz w:val="22"/>
          <w:szCs w:val="22"/>
        </w:rPr>
        <w:t xml:space="preserve"> v</w:t>
      </w:r>
      <w:r w:rsidRPr="00BD17CA">
        <w:rPr>
          <w:rFonts w:ascii="Arial" w:eastAsia="Arial" w:hAnsi="Arial" w:cs="Arial"/>
          <w:sz w:val="22"/>
          <w:szCs w:val="22"/>
        </w:rPr>
        <w:t>a</w:t>
      </w:r>
      <w:r w:rsidRPr="00FD4375">
        <w:rPr>
          <w:rFonts w:ascii="Arial" w:eastAsia="Arial" w:hAnsi="Arial" w:cs="Arial"/>
          <w:sz w:val="22"/>
          <w:szCs w:val="22"/>
        </w:rPr>
        <w:t>l</w:t>
      </w:r>
      <w:r w:rsidRPr="00BD17CA">
        <w:rPr>
          <w:rFonts w:ascii="Arial" w:eastAsia="Arial" w:hAnsi="Arial" w:cs="Arial"/>
          <w:sz w:val="22"/>
          <w:szCs w:val="22"/>
        </w:rPr>
        <w:t>u</w:t>
      </w:r>
      <w:r w:rsidRPr="00FD4375">
        <w:rPr>
          <w:rFonts w:ascii="Arial" w:eastAsia="Arial" w:hAnsi="Arial" w:cs="Arial"/>
          <w:sz w:val="22"/>
          <w:szCs w:val="22"/>
        </w:rPr>
        <w:t>e</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 xml:space="preserve">of </w:t>
      </w:r>
      <w:r w:rsidRPr="00FD4375">
        <w:rPr>
          <w:rFonts w:ascii="Arial" w:eastAsia="Arial" w:hAnsi="Arial" w:cs="Arial"/>
          <w:sz w:val="22"/>
          <w:szCs w:val="22"/>
        </w:rPr>
        <w:t>inv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g</w:t>
      </w:r>
      <w:r w:rsidRPr="00FD4375">
        <w:rPr>
          <w:rFonts w:ascii="Arial" w:eastAsia="Arial" w:hAnsi="Arial" w:cs="Arial"/>
          <w:sz w:val="22"/>
          <w:szCs w:val="22"/>
        </w:rPr>
        <w:t>en</w:t>
      </w:r>
      <w:r w:rsidRPr="00BD17CA">
        <w:rPr>
          <w:rFonts w:ascii="Arial" w:eastAsia="Arial" w:hAnsi="Arial" w:cs="Arial"/>
          <w:sz w:val="22"/>
          <w:szCs w:val="22"/>
        </w:rPr>
        <w:t>era</w:t>
      </w:r>
      <w:r w:rsidRPr="00FD4375">
        <w:rPr>
          <w:rFonts w:ascii="Arial" w:eastAsia="Arial" w:hAnsi="Arial" w:cs="Arial"/>
          <w:sz w:val="22"/>
          <w:szCs w:val="22"/>
        </w:rPr>
        <w:t>ll</w:t>
      </w:r>
      <w:r w:rsidRPr="00BD17CA">
        <w:rPr>
          <w:rFonts w:ascii="Arial" w:eastAsia="Arial" w:hAnsi="Arial" w:cs="Arial"/>
          <w:sz w:val="22"/>
          <w:szCs w:val="22"/>
        </w:rPr>
        <w:t>y</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fl</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an</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ss</w:t>
      </w:r>
      <w:r w:rsidRPr="00BD17CA">
        <w:rPr>
          <w:rFonts w:ascii="Arial" w:eastAsia="Arial" w:hAnsi="Arial" w:cs="Arial"/>
          <w:sz w:val="22"/>
          <w:szCs w:val="22"/>
        </w:rPr>
        <w:t>e</w:t>
      </w:r>
      <w:r w:rsidRPr="00FD4375">
        <w:rPr>
          <w:rFonts w:ascii="Arial" w:eastAsia="Arial" w:hAnsi="Arial" w:cs="Arial"/>
          <w:sz w:val="22"/>
          <w:szCs w:val="22"/>
        </w:rPr>
        <w:t>ssm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 of</w:t>
      </w:r>
      <w:r w:rsidRPr="00FD4375">
        <w:rPr>
          <w:rFonts w:ascii="Arial" w:eastAsia="Arial" w:hAnsi="Arial" w:cs="Arial"/>
          <w:sz w:val="22"/>
          <w:szCs w:val="22"/>
        </w:rPr>
        <w:t xml:space="preserve"> cr</w:t>
      </w:r>
      <w:r w:rsidRPr="00BD17CA">
        <w:rPr>
          <w:rFonts w:ascii="Arial" w:eastAsia="Arial" w:hAnsi="Arial" w:cs="Arial"/>
          <w:sz w:val="22"/>
          <w:szCs w:val="22"/>
        </w:rPr>
        <w:t>e</w:t>
      </w:r>
      <w:r w:rsidRPr="00FD4375">
        <w:rPr>
          <w:rFonts w:ascii="Arial" w:eastAsia="Arial" w:hAnsi="Arial" w:cs="Arial"/>
          <w:sz w:val="22"/>
          <w:szCs w:val="22"/>
        </w:rPr>
        <w:t>di</w:t>
      </w:r>
      <w:r w:rsidRPr="00BD17CA">
        <w:rPr>
          <w:rFonts w:ascii="Arial" w:eastAsia="Arial" w:hAnsi="Arial" w:cs="Arial"/>
          <w:sz w:val="22"/>
          <w:szCs w:val="22"/>
        </w:rPr>
        <w:t>t</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i</w:t>
      </w:r>
      <w:r w:rsidRPr="00BD17CA">
        <w:rPr>
          <w:rFonts w:ascii="Arial" w:eastAsia="Arial" w:hAnsi="Arial" w:cs="Arial"/>
          <w:sz w:val="22"/>
          <w:szCs w:val="22"/>
        </w:rPr>
        <w:t>r</w:t>
      </w:r>
      <w:r w:rsidRPr="00FD4375">
        <w:rPr>
          <w:rFonts w:ascii="Arial" w:eastAsia="Arial" w:hAnsi="Arial" w:cs="Arial"/>
          <w:sz w:val="22"/>
          <w:szCs w:val="22"/>
        </w:rPr>
        <w:t xml:space="preserve"> </w:t>
      </w:r>
      <w:r w:rsidRPr="00BD17CA">
        <w:rPr>
          <w:rFonts w:ascii="Arial" w:eastAsia="Arial" w:hAnsi="Arial" w:cs="Arial"/>
          <w:sz w:val="22"/>
          <w:szCs w:val="22"/>
        </w:rPr>
        <w:t>pric</w:t>
      </w:r>
      <w:r w:rsidRPr="00FD4375">
        <w:rPr>
          <w:rFonts w:ascii="Arial" w:eastAsia="Arial" w:hAnsi="Arial" w:cs="Arial"/>
          <w:sz w:val="22"/>
          <w:szCs w:val="22"/>
        </w:rPr>
        <w:t>i</w:t>
      </w:r>
      <w:r w:rsidRPr="00BD17CA">
        <w:rPr>
          <w:rFonts w:ascii="Arial" w:eastAsia="Arial" w:hAnsi="Arial" w:cs="Arial"/>
          <w:sz w:val="22"/>
          <w:szCs w:val="22"/>
        </w:rPr>
        <w:t>ng</w:t>
      </w:r>
      <w:r w:rsidRPr="00FD4375">
        <w:rPr>
          <w:rFonts w:ascii="Arial" w:eastAsia="Arial" w:hAnsi="Arial" w:cs="Arial"/>
          <w:sz w:val="22"/>
          <w:szCs w:val="22"/>
        </w:rPr>
        <w:t xml:space="preserve"> an</w:t>
      </w:r>
      <w:r w:rsidRPr="00BD17CA">
        <w:rPr>
          <w:rFonts w:ascii="Arial" w:eastAsia="Arial" w:hAnsi="Arial" w:cs="Arial"/>
          <w:sz w:val="22"/>
          <w:szCs w:val="22"/>
        </w:rPr>
        <w:t>d</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ns</w:t>
      </w:r>
      <w:r w:rsidRPr="00BD17CA">
        <w:rPr>
          <w:rFonts w:ascii="Arial" w:eastAsia="Arial" w:hAnsi="Arial" w:cs="Arial"/>
          <w:sz w:val="22"/>
          <w:szCs w:val="22"/>
        </w:rPr>
        <w:t>e</w:t>
      </w:r>
      <w:r w:rsidRPr="00FD4375">
        <w:rPr>
          <w:rFonts w:ascii="Arial" w:eastAsia="Arial" w:hAnsi="Arial" w:cs="Arial"/>
          <w:sz w:val="22"/>
          <w:szCs w:val="22"/>
        </w:rPr>
        <w:t>qu</w:t>
      </w:r>
      <w:r w:rsidRPr="00BD17CA">
        <w:rPr>
          <w:rFonts w:ascii="Arial" w:eastAsia="Arial" w:hAnsi="Arial" w:cs="Arial"/>
          <w:sz w:val="22"/>
          <w:szCs w:val="22"/>
        </w:rPr>
        <w:t>e</w:t>
      </w:r>
      <w:r w:rsidRPr="00FD4375">
        <w:rPr>
          <w:rFonts w:ascii="Arial" w:eastAsia="Arial" w:hAnsi="Arial" w:cs="Arial"/>
          <w:sz w:val="22"/>
          <w:szCs w:val="22"/>
        </w:rPr>
        <w:t>ntl</w:t>
      </w:r>
      <w:r w:rsidRPr="00BD17CA">
        <w:rPr>
          <w:rFonts w:ascii="Arial" w:eastAsia="Arial" w:hAnsi="Arial" w:cs="Arial"/>
          <w:sz w:val="22"/>
          <w:szCs w:val="22"/>
        </w:rPr>
        <w:t>y</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l</w:t>
      </w:r>
      <w:r w:rsidRPr="00BD17CA">
        <w:rPr>
          <w:rFonts w:ascii="Arial" w:eastAsia="Arial" w:hAnsi="Arial" w:cs="Arial"/>
          <w:sz w:val="22"/>
          <w:szCs w:val="22"/>
        </w:rPr>
        <w:t>o</w:t>
      </w:r>
      <w:r w:rsidRPr="00FD4375">
        <w:rPr>
          <w:rFonts w:ascii="Arial" w:eastAsia="Arial" w:hAnsi="Arial" w:cs="Arial"/>
          <w:sz w:val="22"/>
          <w:szCs w:val="22"/>
        </w:rPr>
        <w:t>s</w:t>
      </w:r>
      <w:r w:rsidRPr="00BD17CA">
        <w:rPr>
          <w:rFonts w:ascii="Arial" w:eastAsia="Arial" w:hAnsi="Arial" w:cs="Arial"/>
          <w:sz w:val="22"/>
          <w:szCs w:val="22"/>
        </w:rPr>
        <w:t>s</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im</w:t>
      </w:r>
      <w:r w:rsidRPr="00BD17CA">
        <w:rPr>
          <w:rFonts w:ascii="Arial" w:eastAsia="Arial" w:hAnsi="Arial" w:cs="Arial"/>
          <w:sz w:val="22"/>
          <w:szCs w:val="22"/>
        </w:rPr>
        <w:t>p</w:t>
      </w:r>
      <w:r w:rsidRPr="00FD4375">
        <w:rPr>
          <w:rFonts w:ascii="Arial" w:eastAsia="Arial" w:hAnsi="Arial" w:cs="Arial"/>
          <w:sz w:val="22"/>
          <w:szCs w:val="22"/>
        </w:rPr>
        <w:t>licitl</w:t>
      </w:r>
      <w:r w:rsidRPr="00BD17CA">
        <w:rPr>
          <w:rFonts w:ascii="Arial" w:eastAsia="Arial" w:hAnsi="Arial" w:cs="Arial"/>
          <w:sz w:val="22"/>
          <w:szCs w:val="22"/>
        </w:rPr>
        <w:t>y</w:t>
      </w:r>
      <w:r w:rsidRPr="00FD4375">
        <w:rPr>
          <w:rFonts w:ascii="Arial" w:eastAsia="Arial" w:hAnsi="Arial" w:cs="Arial"/>
          <w:sz w:val="22"/>
          <w:szCs w:val="22"/>
        </w:rPr>
        <w:t xml:space="preserve"> </w:t>
      </w:r>
      <w:r w:rsidRPr="00BD17CA">
        <w:rPr>
          <w:rFonts w:ascii="Arial" w:eastAsia="Arial" w:hAnsi="Arial" w:cs="Arial"/>
          <w:sz w:val="22"/>
          <w:szCs w:val="22"/>
        </w:rPr>
        <w:t>pro</w:t>
      </w:r>
      <w:r w:rsidRPr="00FD4375">
        <w:rPr>
          <w:rFonts w:ascii="Arial" w:eastAsia="Arial" w:hAnsi="Arial" w:cs="Arial"/>
          <w:sz w:val="22"/>
          <w:szCs w:val="22"/>
        </w:rPr>
        <w:t>vid</w:t>
      </w:r>
      <w:r w:rsidRPr="00BD17CA">
        <w:rPr>
          <w:rFonts w:ascii="Arial" w:eastAsia="Arial" w:hAnsi="Arial" w:cs="Arial"/>
          <w:sz w:val="22"/>
          <w:szCs w:val="22"/>
        </w:rPr>
        <w:t>ed</w:t>
      </w:r>
      <w:r w:rsidRPr="00FD4375">
        <w:rPr>
          <w:rFonts w:ascii="Arial" w:eastAsia="Arial" w:hAnsi="Arial" w:cs="Arial"/>
          <w:sz w:val="22"/>
          <w:szCs w:val="22"/>
        </w:rPr>
        <w:t xml:space="preserve"> f</w:t>
      </w:r>
      <w:r w:rsidRPr="00BD17CA">
        <w:rPr>
          <w:rFonts w:ascii="Arial" w:eastAsia="Arial" w:hAnsi="Arial" w:cs="Arial"/>
          <w:sz w:val="22"/>
          <w:szCs w:val="22"/>
        </w:rPr>
        <w:t>or</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c</w:t>
      </w:r>
      <w:r w:rsidRPr="00BD17CA">
        <w:rPr>
          <w:rFonts w:ascii="Arial" w:eastAsia="Arial" w:hAnsi="Arial" w:cs="Arial"/>
          <w:sz w:val="22"/>
          <w:szCs w:val="22"/>
        </w:rPr>
        <w:t>a</w:t>
      </w:r>
      <w:r w:rsidRPr="00FD4375">
        <w:rPr>
          <w:rFonts w:ascii="Arial" w:eastAsia="Arial" w:hAnsi="Arial" w:cs="Arial"/>
          <w:sz w:val="22"/>
          <w:szCs w:val="22"/>
        </w:rPr>
        <w:t>rryi</w:t>
      </w:r>
      <w:r w:rsidRPr="00BD17CA">
        <w:rPr>
          <w:rFonts w:ascii="Arial" w:eastAsia="Arial" w:hAnsi="Arial" w:cs="Arial"/>
          <w:sz w:val="22"/>
          <w:szCs w:val="22"/>
        </w:rPr>
        <w:t>ng</w:t>
      </w:r>
      <w:r w:rsidRPr="00FD4375">
        <w:rPr>
          <w:rFonts w:ascii="Arial" w:eastAsia="Arial" w:hAnsi="Arial" w:cs="Arial"/>
          <w:sz w:val="22"/>
          <w:szCs w:val="22"/>
        </w:rPr>
        <w:t xml:space="preserve"> val</w:t>
      </w:r>
      <w:r w:rsidRPr="00BD17CA">
        <w:rPr>
          <w:rFonts w:ascii="Arial" w:eastAsia="Arial" w:hAnsi="Arial" w:cs="Arial"/>
          <w:sz w:val="22"/>
          <w:szCs w:val="22"/>
        </w:rPr>
        <w:t>ue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w:t>
      </w:r>
      <w:r w:rsidRPr="00BD17CA">
        <w:rPr>
          <w:rFonts w:ascii="Arial" w:eastAsia="Arial" w:hAnsi="Arial" w:cs="Arial"/>
          <w:sz w:val="22"/>
          <w:szCs w:val="22"/>
        </w:rPr>
        <w:t xml:space="preserve">the </w:t>
      </w:r>
      <w:r w:rsidRPr="00FD4375">
        <w:rPr>
          <w:rFonts w:ascii="Arial" w:eastAsia="Arial" w:hAnsi="Arial" w:cs="Arial"/>
          <w:sz w:val="22"/>
          <w:szCs w:val="22"/>
        </w:rPr>
        <w:t>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fi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ci</w:t>
      </w:r>
      <w:r w:rsidRPr="00BD17CA">
        <w:rPr>
          <w:rFonts w:ascii="Arial" w:eastAsia="Arial" w:hAnsi="Arial" w:cs="Arial"/>
          <w:sz w:val="22"/>
          <w:szCs w:val="22"/>
        </w:rPr>
        <w:t>al</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ss</w:t>
      </w:r>
      <w:r w:rsidRPr="00BD17CA">
        <w:rPr>
          <w:rFonts w:ascii="Arial" w:eastAsia="Arial" w:hAnsi="Arial" w:cs="Arial"/>
          <w:sz w:val="22"/>
          <w:szCs w:val="22"/>
        </w:rPr>
        <w:t>ets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li</w:t>
      </w:r>
      <w:r w:rsidRPr="00BD17CA">
        <w:rPr>
          <w:rFonts w:ascii="Arial" w:eastAsia="Arial" w:hAnsi="Arial" w:cs="Arial"/>
          <w:sz w:val="22"/>
          <w:szCs w:val="22"/>
        </w:rPr>
        <w:t>a</w:t>
      </w:r>
      <w:r w:rsidRPr="00FD4375">
        <w:rPr>
          <w:rFonts w:ascii="Arial" w:eastAsia="Arial" w:hAnsi="Arial" w:cs="Arial"/>
          <w:sz w:val="22"/>
          <w:szCs w:val="22"/>
        </w:rPr>
        <w:t>biliti</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s</w:t>
      </w:r>
      <w:r w:rsidRPr="00BD17CA">
        <w:rPr>
          <w:rFonts w:ascii="Arial" w:eastAsia="Arial" w:hAnsi="Arial" w:cs="Arial"/>
          <w:sz w:val="22"/>
          <w:szCs w:val="22"/>
        </w:rPr>
        <w:t>e</w:t>
      </w:r>
      <w:r w:rsidRPr="00FD4375">
        <w:rPr>
          <w:rFonts w:ascii="Arial" w:eastAsia="Arial" w:hAnsi="Arial" w:cs="Arial"/>
          <w:sz w:val="22"/>
          <w:szCs w:val="22"/>
        </w:rPr>
        <w:t>l</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io</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w:t>
      </w:r>
      <w:r w:rsidRPr="00BD17CA">
        <w:rPr>
          <w:rFonts w:ascii="Arial" w:eastAsia="Arial" w:hAnsi="Arial" w:cs="Arial"/>
          <w:sz w:val="22"/>
          <w:szCs w:val="22"/>
        </w:rPr>
        <w:t>h</w:t>
      </w:r>
      <w:r w:rsidRPr="00FD4375">
        <w:rPr>
          <w:rFonts w:ascii="Arial" w:eastAsia="Arial" w:hAnsi="Arial" w:cs="Arial"/>
          <w:sz w:val="22"/>
          <w:szCs w:val="22"/>
        </w:rPr>
        <w:t>i</w:t>
      </w:r>
      <w:r w:rsidRPr="00BD17CA">
        <w:rPr>
          <w:rFonts w:ascii="Arial" w:eastAsia="Arial" w:hAnsi="Arial" w:cs="Arial"/>
          <w:sz w:val="22"/>
          <w:szCs w:val="22"/>
        </w:rPr>
        <w:t>g</w:t>
      </w:r>
      <w:r w:rsidRPr="00FD4375">
        <w:rPr>
          <w:rFonts w:ascii="Arial" w:eastAsia="Arial" w:hAnsi="Arial" w:cs="Arial"/>
          <w:sz w:val="22"/>
          <w:szCs w:val="22"/>
        </w:rPr>
        <w:t>h-</w:t>
      </w:r>
      <w:r w:rsidRPr="00BD17CA">
        <w:rPr>
          <w:rFonts w:ascii="Arial" w:eastAsia="Arial" w:hAnsi="Arial" w:cs="Arial"/>
          <w:sz w:val="22"/>
          <w:szCs w:val="22"/>
        </w:rPr>
        <w:t>q</w:t>
      </w:r>
      <w:r w:rsidRPr="00FD4375">
        <w:rPr>
          <w:rFonts w:ascii="Arial" w:eastAsia="Arial" w:hAnsi="Arial" w:cs="Arial"/>
          <w:sz w:val="22"/>
          <w:szCs w:val="22"/>
        </w:rPr>
        <w:t>u</w:t>
      </w:r>
      <w:r w:rsidRPr="00BD17CA">
        <w:rPr>
          <w:rFonts w:ascii="Arial" w:eastAsia="Arial" w:hAnsi="Arial" w:cs="Arial"/>
          <w:sz w:val="22"/>
          <w:szCs w:val="22"/>
        </w:rPr>
        <w:t>a</w:t>
      </w:r>
      <w:r w:rsidRPr="00FD4375">
        <w:rPr>
          <w:rFonts w:ascii="Arial" w:eastAsia="Arial" w:hAnsi="Arial" w:cs="Arial"/>
          <w:sz w:val="22"/>
          <w:szCs w:val="22"/>
        </w:rPr>
        <w:t>lit</w:t>
      </w:r>
      <w:r w:rsidRPr="00BD17CA">
        <w:rPr>
          <w:rFonts w:ascii="Arial" w:eastAsia="Arial" w:hAnsi="Arial" w:cs="Arial"/>
          <w:sz w:val="22"/>
          <w:szCs w:val="22"/>
        </w:rPr>
        <w:t>y</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u</w:t>
      </w:r>
      <w:r w:rsidRPr="00BD17CA">
        <w:rPr>
          <w:rFonts w:ascii="Arial" w:eastAsia="Arial" w:hAnsi="Arial" w:cs="Arial"/>
          <w:sz w:val="22"/>
          <w:szCs w:val="22"/>
        </w:rPr>
        <w:t>nt</w:t>
      </w:r>
      <w:r w:rsidRPr="00FD4375">
        <w:rPr>
          <w:rFonts w:ascii="Arial" w:eastAsia="Arial" w:hAnsi="Arial" w:cs="Arial"/>
          <w:sz w:val="22"/>
          <w:szCs w:val="22"/>
        </w:rPr>
        <w:t>erp</w:t>
      </w:r>
      <w:r w:rsidRPr="00BD17CA">
        <w:rPr>
          <w:rFonts w:ascii="Arial" w:eastAsia="Arial" w:hAnsi="Arial" w:cs="Arial"/>
          <w:sz w:val="22"/>
          <w:szCs w:val="22"/>
        </w:rPr>
        <w:t>art</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br</w:t>
      </w:r>
      <w:r w:rsidRPr="00FD4375">
        <w:rPr>
          <w:rFonts w:ascii="Arial" w:eastAsia="Arial" w:hAnsi="Arial" w:cs="Arial"/>
          <w:sz w:val="22"/>
          <w:szCs w:val="22"/>
        </w:rPr>
        <w:t>ok</w:t>
      </w:r>
      <w:r w:rsidRPr="00BD17CA">
        <w:rPr>
          <w:rFonts w:ascii="Arial" w:eastAsia="Arial" w:hAnsi="Arial" w:cs="Arial"/>
          <w:sz w:val="22"/>
          <w:szCs w:val="22"/>
        </w:rPr>
        <w:t>e</w:t>
      </w:r>
      <w:r w:rsidRPr="00FD4375">
        <w:rPr>
          <w:rFonts w:ascii="Arial" w:eastAsia="Arial" w:hAnsi="Arial" w:cs="Arial"/>
          <w:sz w:val="22"/>
          <w:szCs w:val="22"/>
        </w:rPr>
        <w:t>r</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fi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ci</w:t>
      </w:r>
      <w:r w:rsidRPr="00BD17CA">
        <w:rPr>
          <w:rFonts w:ascii="Arial" w:eastAsia="Arial" w:hAnsi="Arial" w:cs="Arial"/>
          <w:sz w:val="22"/>
          <w:szCs w:val="22"/>
        </w:rPr>
        <w:t>al</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it</w:t>
      </w:r>
      <w:r w:rsidRPr="00BD17CA">
        <w:rPr>
          <w:rFonts w:ascii="Arial" w:eastAsia="Arial" w:hAnsi="Arial" w:cs="Arial"/>
          <w:sz w:val="22"/>
          <w:szCs w:val="22"/>
        </w:rPr>
        <w:t>ut</w:t>
      </w:r>
      <w:r w:rsidRPr="00FD4375">
        <w:rPr>
          <w:rFonts w:ascii="Arial" w:eastAsia="Arial" w:hAnsi="Arial" w:cs="Arial"/>
          <w:sz w:val="22"/>
          <w:szCs w:val="22"/>
        </w:rPr>
        <w:t>i</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 xml:space="preserve">s </w:t>
      </w:r>
      <w:proofErr w:type="spellStart"/>
      <w:r w:rsidRPr="00FD4375">
        <w:rPr>
          <w:rFonts w:ascii="Arial" w:eastAsia="Arial" w:hAnsi="Arial" w:cs="Arial"/>
          <w:sz w:val="22"/>
          <w:szCs w:val="22"/>
        </w:rPr>
        <w:t>mi</w:t>
      </w:r>
      <w:r w:rsidRPr="00BD17CA">
        <w:rPr>
          <w:rFonts w:ascii="Arial" w:eastAsia="Arial" w:hAnsi="Arial" w:cs="Arial"/>
          <w:sz w:val="22"/>
          <w:szCs w:val="22"/>
        </w:rPr>
        <w:t>n</w:t>
      </w:r>
      <w:r w:rsidRPr="00FD4375">
        <w:rPr>
          <w:rFonts w:ascii="Arial" w:eastAsia="Arial" w:hAnsi="Arial" w:cs="Arial"/>
          <w:sz w:val="22"/>
          <w:szCs w:val="22"/>
        </w:rPr>
        <w:t>imis</w:t>
      </w:r>
      <w:r w:rsidRPr="00BD17CA">
        <w:rPr>
          <w:rFonts w:ascii="Arial" w:eastAsia="Arial" w:hAnsi="Arial" w:cs="Arial"/>
          <w:sz w:val="22"/>
          <w:szCs w:val="22"/>
        </w:rPr>
        <w:t>es</w:t>
      </w:r>
      <w:proofErr w:type="spellEnd"/>
      <w:r w:rsidRPr="00FD4375">
        <w:rPr>
          <w:rFonts w:ascii="Arial" w:eastAsia="Arial" w:hAnsi="Arial" w:cs="Arial"/>
          <w:sz w:val="22"/>
          <w:szCs w:val="22"/>
        </w:rPr>
        <w:t xml:space="preserve"> cr</w:t>
      </w:r>
      <w:r w:rsidRPr="00BD17CA">
        <w:rPr>
          <w:rFonts w:ascii="Arial" w:eastAsia="Arial" w:hAnsi="Arial" w:cs="Arial"/>
          <w:sz w:val="22"/>
          <w:szCs w:val="22"/>
        </w:rPr>
        <w:t>e</w:t>
      </w:r>
      <w:r w:rsidRPr="00FD4375">
        <w:rPr>
          <w:rFonts w:ascii="Arial" w:eastAsia="Arial" w:hAnsi="Arial" w:cs="Arial"/>
          <w:sz w:val="22"/>
          <w:szCs w:val="22"/>
        </w:rPr>
        <w:t>di</w:t>
      </w:r>
      <w:r w:rsidRPr="00BD17CA">
        <w:rPr>
          <w:rFonts w:ascii="Arial" w:eastAsia="Arial" w:hAnsi="Arial" w:cs="Arial"/>
          <w:sz w:val="22"/>
          <w:szCs w:val="22"/>
        </w:rPr>
        <w:t>t</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th</w:t>
      </w:r>
      <w:r w:rsidRPr="00FD4375">
        <w:rPr>
          <w:rFonts w:ascii="Arial" w:eastAsia="Arial" w:hAnsi="Arial" w:cs="Arial"/>
          <w:sz w:val="22"/>
          <w:szCs w:val="22"/>
        </w:rPr>
        <w:t>a</w:t>
      </w:r>
      <w:r w:rsidRPr="00BD17CA">
        <w:rPr>
          <w:rFonts w:ascii="Arial" w:eastAsia="Arial" w:hAnsi="Arial" w:cs="Arial"/>
          <w:sz w:val="22"/>
          <w:szCs w:val="22"/>
        </w:rPr>
        <w:t>t</w:t>
      </w:r>
      <w:r w:rsidRPr="00FD4375">
        <w:rPr>
          <w:rFonts w:ascii="Arial" w:eastAsia="Arial" w:hAnsi="Arial" w:cs="Arial"/>
          <w:sz w:val="22"/>
          <w:szCs w:val="22"/>
        </w:rPr>
        <w:t xml:space="preserve"> ma</w:t>
      </w:r>
      <w:r w:rsidRPr="00BD17CA">
        <w:rPr>
          <w:rFonts w:ascii="Arial" w:eastAsia="Arial" w:hAnsi="Arial" w:cs="Arial"/>
          <w:sz w:val="22"/>
          <w:szCs w:val="22"/>
        </w:rPr>
        <w:t>y</w:t>
      </w:r>
      <w:r w:rsidRPr="00FD4375">
        <w:rPr>
          <w:rFonts w:ascii="Arial" w:eastAsia="Arial" w:hAnsi="Arial" w:cs="Arial"/>
          <w:sz w:val="22"/>
          <w:szCs w:val="22"/>
        </w:rPr>
        <w:t xml:space="preserve"> </w:t>
      </w:r>
      <w:r w:rsidRPr="00BD17CA">
        <w:rPr>
          <w:rFonts w:ascii="Arial" w:eastAsia="Arial" w:hAnsi="Arial" w:cs="Arial"/>
          <w:sz w:val="22"/>
          <w:szCs w:val="22"/>
        </w:rPr>
        <w:t>oc</w:t>
      </w:r>
      <w:r w:rsidRPr="00FD4375">
        <w:rPr>
          <w:rFonts w:ascii="Arial" w:eastAsia="Arial" w:hAnsi="Arial" w:cs="Arial"/>
          <w:sz w:val="22"/>
          <w:szCs w:val="22"/>
        </w:rPr>
        <w:t>c</w:t>
      </w:r>
      <w:r w:rsidRPr="00BD17CA">
        <w:rPr>
          <w:rFonts w:ascii="Arial" w:eastAsia="Arial" w:hAnsi="Arial" w:cs="Arial"/>
          <w:sz w:val="22"/>
          <w:szCs w:val="22"/>
        </w:rPr>
        <w:t>ur</w:t>
      </w:r>
      <w:r w:rsidRPr="00FD4375">
        <w:rPr>
          <w:rFonts w:ascii="Arial" w:eastAsia="Arial" w:hAnsi="Arial" w:cs="Arial"/>
          <w:sz w:val="22"/>
          <w:szCs w:val="22"/>
        </w:rPr>
        <w:t xml:space="preserve"> </w:t>
      </w:r>
      <w:r w:rsidRPr="00BD17CA">
        <w:rPr>
          <w:rFonts w:ascii="Arial" w:eastAsia="Arial" w:hAnsi="Arial" w:cs="Arial"/>
          <w:sz w:val="22"/>
          <w:szCs w:val="22"/>
        </w:rPr>
        <w:t>thr</w:t>
      </w:r>
      <w:r w:rsidRPr="00FD4375">
        <w:rPr>
          <w:rFonts w:ascii="Arial" w:eastAsia="Arial" w:hAnsi="Arial" w:cs="Arial"/>
          <w:sz w:val="22"/>
          <w:szCs w:val="22"/>
        </w:rPr>
        <w:t>o</w:t>
      </w:r>
      <w:r w:rsidRPr="00BD17CA">
        <w:rPr>
          <w:rFonts w:ascii="Arial" w:eastAsia="Arial" w:hAnsi="Arial" w:cs="Arial"/>
          <w:sz w:val="22"/>
          <w:szCs w:val="22"/>
        </w:rPr>
        <w:t>u</w:t>
      </w:r>
      <w:r w:rsidRPr="00FD4375">
        <w:rPr>
          <w:rFonts w:ascii="Arial" w:eastAsia="Arial" w:hAnsi="Arial" w:cs="Arial"/>
          <w:sz w:val="22"/>
          <w:szCs w:val="22"/>
        </w:rPr>
        <w:t>g</w:t>
      </w:r>
      <w:r w:rsidRPr="00BD17CA">
        <w:rPr>
          <w:rFonts w:ascii="Arial" w:eastAsia="Arial" w:hAnsi="Arial" w:cs="Arial"/>
          <w:sz w:val="22"/>
          <w:szCs w:val="22"/>
        </w:rPr>
        <w:t>h</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a</w:t>
      </w:r>
      <w:r w:rsidRPr="00FD4375">
        <w:rPr>
          <w:rFonts w:ascii="Arial" w:eastAsia="Arial" w:hAnsi="Arial" w:cs="Arial"/>
          <w:sz w:val="22"/>
          <w:szCs w:val="22"/>
        </w:rPr>
        <w:t>il</w:t>
      </w:r>
      <w:r w:rsidRPr="00BD17CA">
        <w:rPr>
          <w:rFonts w:ascii="Arial" w:eastAsia="Arial" w:hAnsi="Arial" w:cs="Arial"/>
          <w:sz w:val="22"/>
          <w:szCs w:val="22"/>
        </w:rPr>
        <w:t>ure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hir</w:t>
      </w:r>
      <w:r w:rsidRPr="00BD17CA">
        <w:rPr>
          <w:rFonts w:ascii="Arial" w:eastAsia="Arial" w:hAnsi="Arial" w:cs="Arial"/>
          <w:sz w:val="22"/>
          <w:szCs w:val="22"/>
        </w:rPr>
        <w:t>d</w:t>
      </w:r>
      <w:r w:rsidRPr="00FD4375">
        <w:rPr>
          <w:rFonts w:ascii="Arial" w:eastAsia="Arial" w:hAnsi="Arial" w:cs="Arial"/>
          <w:sz w:val="22"/>
          <w:szCs w:val="22"/>
        </w:rPr>
        <w:t xml:space="preserve"> p</w:t>
      </w:r>
      <w:r w:rsidRPr="00BD17CA">
        <w:rPr>
          <w:rFonts w:ascii="Arial" w:eastAsia="Arial" w:hAnsi="Arial" w:cs="Arial"/>
          <w:sz w:val="22"/>
          <w:szCs w:val="22"/>
        </w:rPr>
        <w:t>art</w:t>
      </w:r>
      <w:r w:rsidRPr="00FD4375">
        <w:rPr>
          <w:rFonts w:ascii="Arial" w:eastAsia="Arial" w:hAnsi="Arial" w:cs="Arial"/>
          <w:sz w:val="22"/>
          <w:szCs w:val="22"/>
        </w:rPr>
        <w:t>i</w:t>
      </w:r>
      <w:r w:rsidRPr="00BD17CA">
        <w:rPr>
          <w:rFonts w:ascii="Arial" w:eastAsia="Arial" w:hAnsi="Arial" w:cs="Arial"/>
          <w:sz w:val="22"/>
          <w:szCs w:val="22"/>
        </w:rPr>
        <w:t>es</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s</w:t>
      </w:r>
      <w:r w:rsidRPr="00BD17CA">
        <w:rPr>
          <w:rFonts w:ascii="Arial" w:eastAsia="Arial" w:hAnsi="Arial" w:cs="Arial"/>
          <w:sz w:val="22"/>
          <w:szCs w:val="22"/>
        </w:rPr>
        <w:t>et</w:t>
      </w:r>
      <w:r w:rsidRPr="00FD4375">
        <w:rPr>
          <w:rFonts w:ascii="Arial" w:eastAsia="Arial" w:hAnsi="Arial" w:cs="Arial"/>
          <w:sz w:val="22"/>
          <w:szCs w:val="22"/>
        </w:rPr>
        <w:t>tl</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tr</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a</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 xml:space="preserve"> tim</w:t>
      </w:r>
      <w:r w:rsidRPr="00BD17CA">
        <w:rPr>
          <w:rFonts w:ascii="Arial" w:eastAsia="Arial" w:hAnsi="Arial" w:cs="Arial"/>
          <w:sz w:val="22"/>
          <w:szCs w:val="22"/>
        </w:rPr>
        <w:t>e</w:t>
      </w:r>
      <w:r w:rsidRPr="00FD4375">
        <w:rPr>
          <w:rFonts w:ascii="Arial" w:eastAsia="Arial" w:hAnsi="Arial" w:cs="Arial"/>
          <w:sz w:val="22"/>
          <w:szCs w:val="22"/>
        </w:rPr>
        <w:t>l</w:t>
      </w:r>
      <w:r w:rsidRPr="00BD17CA">
        <w:rPr>
          <w:rFonts w:ascii="Arial" w:eastAsia="Arial" w:hAnsi="Arial" w:cs="Arial"/>
          <w:sz w:val="22"/>
          <w:szCs w:val="22"/>
        </w:rPr>
        <w:t>y</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nn</w:t>
      </w:r>
      <w:r w:rsidRPr="00BD17CA">
        <w:rPr>
          <w:rFonts w:ascii="Arial" w:eastAsia="Arial" w:hAnsi="Arial" w:cs="Arial"/>
          <w:sz w:val="22"/>
          <w:szCs w:val="22"/>
        </w:rPr>
        <w:t xml:space="preserve">er. </w:t>
      </w:r>
      <w:r w:rsidRPr="00FD4375">
        <w:rPr>
          <w:rFonts w:ascii="Arial" w:eastAsia="Arial" w:hAnsi="Arial" w:cs="Arial"/>
          <w:sz w:val="22"/>
          <w:szCs w:val="22"/>
        </w:rPr>
        <w:t>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h</w:t>
      </w:r>
      <w:r w:rsidRPr="00FD4375">
        <w:rPr>
          <w:rFonts w:ascii="Arial" w:eastAsia="Arial" w:hAnsi="Arial" w:cs="Arial"/>
          <w:sz w:val="22"/>
          <w:szCs w:val="22"/>
        </w:rPr>
        <w:t>a</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ls</w:t>
      </w:r>
      <w:r w:rsidRPr="00BD17CA">
        <w:rPr>
          <w:rFonts w:ascii="Arial" w:eastAsia="Arial" w:hAnsi="Arial" w:cs="Arial"/>
          <w:sz w:val="22"/>
          <w:szCs w:val="22"/>
        </w:rPr>
        <w:t>o</w:t>
      </w:r>
      <w:r w:rsidRPr="00FD4375">
        <w:rPr>
          <w:rFonts w:ascii="Arial" w:eastAsia="Arial" w:hAnsi="Arial" w:cs="Arial"/>
          <w:sz w:val="22"/>
          <w:szCs w:val="22"/>
        </w:rPr>
        <w:t xml:space="preserve"> s</w:t>
      </w:r>
      <w:r w:rsidRPr="00BD17CA">
        <w:rPr>
          <w:rFonts w:ascii="Arial" w:eastAsia="Arial" w:hAnsi="Arial" w:cs="Arial"/>
          <w:sz w:val="22"/>
          <w:szCs w:val="22"/>
        </w:rPr>
        <w:t>et</w:t>
      </w:r>
      <w:r w:rsidRPr="00FD4375">
        <w:rPr>
          <w:rFonts w:ascii="Arial" w:eastAsia="Arial" w:hAnsi="Arial" w:cs="Arial"/>
          <w:sz w:val="22"/>
          <w:szCs w:val="22"/>
        </w:rPr>
        <w:t xml:space="preserve"> limi</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as</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ximu</w:t>
      </w:r>
      <w:r w:rsidRPr="00BD17CA">
        <w:rPr>
          <w:rFonts w:ascii="Arial" w:eastAsia="Arial" w:hAnsi="Arial" w:cs="Arial"/>
          <w:sz w:val="22"/>
          <w:szCs w:val="22"/>
        </w:rPr>
        <w:t>m</w:t>
      </w:r>
      <w:r w:rsidRPr="00FD4375">
        <w:rPr>
          <w:rFonts w:ascii="Arial" w:eastAsia="Arial" w:hAnsi="Arial" w:cs="Arial"/>
          <w:sz w:val="22"/>
          <w:szCs w:val="22"/>
        </w:rPr>
        <w:t xml:space="preserve"> su</w:t>
      </w:r>
      <w:r w:rsidRPr="00BD17CA">
        <w:rPr>
          <w:rFonts w:ascii="Arial" w:eastAsia="Arial" w:hAnsi="Arial" w:cs="Arial"/>
          <w:sz w:val="22"/>
          <w:szCs w:val="22"/>
        </w:rPr>
        <w:t>m</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l</w:t>
      </w:r>
      <w:r w:rsidRPr="00BD17CA">
        <w:rPr>
          <w:rFonts w:ascii="Arial" w:eastAsia="Arial" w:hAnsi="Arial" w:cs="Arial"/>
          <w:sz w:val="22"/>
          <w:szCs w:val="22"/>
        </w:rPr>
        <w:t>a</w:t>
      </w:r>
      <w:r w:rsidRPr="00FD4375">
        <w:rPr>
          <w:rFonts w:ascii="Arial" w:eastAsia="Arial" w:hAnsi="Arial" w:cs="Arial"/>
          <w:sz w:val="22"/>
          <w:szCs w:val="22"/>
        </w:rPr>
        <w:t>ce</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on</w:t>
      </w:r>
      <w:r w:rsidRPr="00FD4375">
        <w:rPr>
          <w:rFonts w:ascii="Arial" w:eastAsia="Arial" w:hAnsi="Arial" w:cs="Arial"/>
          <w:sz w:val="22"/>
          <w:szCs w:val="22"/>
        </w:rPr>
        <w:t xml:space="preserve"> </w:t>
      </w:r>
      <w:r w:rsidRPr="00BD17CA">
        <w:rPr>
          <w:rFonts w:ascii="Arial" w:eastAsia="Arial" w:hAnsi="Arial" w:cs="Arial"/>
          <w:sz w:val="22"/>
          <w:szCs w:val="22"/>
        </w:rPr>
        <w:t>d</w:t>
      </w:r>
      <w:r w:rsidRPr="00FD4375">
        <w:rPr>
          <w:rFonts w:ascii="Arial" w:eastAsia="Arial" w:hAnsi="Arial" w:cs="Arial"/>
          <w:sz w:val="22"/>
          <w:szCs w:val="22"/>
        </w:rPr>
        <w:t>e</w:t>
      </w:r>
      <w:r w:rsidRPr="00BD17CA">
        <w:rPr>
          <w:rFonts w:ascii="Arial" w:eastAsia="Arial" w:hAnsi="Arial" w:cs="Arial"/>
          <w:sz w:val="22"/>
          <w:szCs w:val="22"/>
        </w:rPr>
        <w:t>p</w:t>
      </w:r>
      <w:r w:rsidRPr="00FD4375">
        <w:rPr>
          <w:rFonts w:ascii="Arial" w:eastAsia="Arial" w:hAnsi="Arial" w:cs="Arial"/>
          <w:sz w:val="22"/>
          <w:szCs w:val="22"/>
        </w:rPr>
        <w:t>osi</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it</w:t>
      </w:r>
      <w:r w:rsidRPr="00BD17CA">
        <w:rPr>
          <w:rFonts w:ascii="Arial" w:eastAsia="Arial" w:hAnsi="Arial" w:cs="Arial"/>
          <w:sz w:val="22"/>
          <w:szCs w:val="22"/>
        </w:rPr>
        <w:t>h</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divi</w:t>
      </w:r>
      <w:r w:rsidRPr="00BD17CA">
        <w:rPr>
          <w:rFonts w:ascii="Arial" w:eastAsia="Arial" w:hAnsi="Arial" w:cs="Arial"/>
          <w:sz w:val="22"/>
          <w:szCs w:val="22"/>
        </w:rPr>
        <w:t>d</w:t>
      </w:r>
      <w:r w:rsidRPr="00FD4375">
        <w:rPr>
          <w:rFonts w:ascii="Arial" w:eastAsia="Arial" w:hAnsi="Arial" w:cs="Arial"/>
          <w:sz w:val="22"/>
          <w:szCs w:val="22"/>
        </w:rPr>
        <w:t>ua</w:t>
      </w:r>
      <w:r w:rsidRPr="00BD17CA">
        <w:rPr>
          <w:rFonts w:ascii="Arial" w:eastAsia="Arial" w:hAnsi="Arial" w:cs="Arial"/>
          <w:sz w:val="22"/>
          <w:szCs w:val="22"/>
        </w:rPr>
        <w:t xml:space="preserve">l </w:t>
      </w:r>
      <w:r w:rsidRPr="00FD4375">
        <w:rPr>
          <w:rFonts w:ascii="Arial" w:eastAsia="Arial" w:hAnsi="Arial" w:cs="Arial"/>
          <w:sz w:val="22"/>
          <w:szCs w:val="22"/>
        </w:rPr>
        <w:t>fi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cia</w:t>
      </w:r>
      <w:r w:rsidRPr="00BD17CA">
        <w:rPr>
          <w:rFonts w:ascii="Arial" w:eastAsia="Arial" w:hAnsi="Arial" w:cs="Arial"/>
          <w:sz w:val="22"/>
          <w:szCs w:val="22"/>
        </w:rPr>
        <w:t>l</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it</w:t>
      </w:r>
      <w:r w:rsidRPr="00BD17CA">
        <w:rPr>
          <w:rFonts w:ascii="Arial" w:eastAsia="Arial" w:hAnsi="Arial" w:cs="Arial"/>
          <w:sz w:val="22"/>
          <w:szCs w:val="22"/>
        </w:rPr>
        <w:t>ut</w:t>
      </w:r>
      <w:r w:rsidRPr="00FD4375">
        <w:rPr>
          <w:rFonts w:ascii="Arial" w:eastAsia="Arial" w:hAnsi="Arial" w:cs="Arial"/>
          <w:sz w:val="22"/>
          <w:szCs w:val="22"/>
        </w:rPr>
        <w:t>i</w:t>
      </w:r>
      <w:r w:rsidRPr="00BD17CA">
        <w:rPr>
          <w:rFonts w:ascii="Arial" w:eastAsia="Arial" w:hAnsi="Arial" w:cs="Arial"/>
          <w:sz w:val="22"/>
          <w:szCs w:val="22"/>
        </w:rPr>
        <w:t>o</w:t>
      </w:r>
      <w:r w:rsidRPr="00FD4375">
        <w:rPr>
          <w:rFonts w:ascii="Arial" w:eastAsia="Arial" w:hAnsi="Arial" w:cs="Arial"/>
          <w:sz w:val="22"/>
          <w:szCs w:val="22"/>
        </w:rPr>
        <w:t>ns</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In a</w:t>
      </w:r>
      <w:r w:rsidRPr="00FD4375">
        <w:rPr>
          <w:rFonts w:ascii="Arial" w:eastAsia="Arial" w:hAnsi="Arial" w:cs="Arial"/>
          <w:sz w:val="22"/>
          <w:szCs w:val="22"/>
        </w:rPr>
        <w:t>ddi</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ensi</w:t>
      </w:r>
      <w:r w:rsidRPr="00BD17CA">
        <w:rPr>
          <w:rFonts w:ascii="Arial" w:eastAsia="Arial" w:hAnsi="Arial" w:cs="Arial"/>
          <w:sz w:val="22"/>
          <w:szCs w:val="22"/>
        </w:rPr>
        <w:t>on</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erc</w:t>
      </w:r>
      <w:r w:rsidRPr="00BD17CA">
        <w:rPr>
          <w:rFonts w:ascii="Arial" w:eastAsia="Arial" w:hAnsi="Arial" w:cs="Arial"/>
          <w:sz w:val="22"/>
          <w:szCs w:val="22"/>
        </w:rPr>
        <w:t>e</w:t>
      </w:r>
      <w:r w:rsidRPr="00FD4375">
        <w:rPr>
          <w:rFonts w:ascii="Arial" w:eastAsia="Arial" w:hAnsi="Arial" w:cs="Arial"/>
          <w:sz w:val="22"/>
          <w:szCs w:val="22"/>
        </w:rPr>
        <w:t>nt</w:t>
      </w:r>
      <w:r w:rsidRPr="00BD17CA">
        <w:rPr>
          <w:rFonts w:ascii="Arial" w:eastAsia="Arial" w:hAnsi="Arial" w:cs="Arial"/>
          <w:sz w:val="22"/>
          <w:szCs w:val="22"/>
        </w:rPr>
        <w:t>a</w:t>
      </w:r>
      <w:r w:rsidRPr="00FD4375">
        <w:rPr>
          <w:rFonts w:ascii="Arial" w:eastAsia="Arial" w:hAnsi="Arial" w:cs="Arial"/>
          <w:sz w:val="22"/>
          <w:szCs w:val="22"/>
        </w:rPr>
        <w:t>g</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m</w:t>
      </w:r>
      <w:r w:rsidRPr="00BD17CA">
        <w:rPr>
          <w:rFonts w:ascii="Arial" w:eastAsia="Arial" w:hAnsi="Arial" w:cs="Arial"/>
          <w:sz w:val="22"/>
          <w:szCs w:val="22"/>
        </w:rPr>
        <w:t>o</w:t>
      </w:r>
      <w:r w:rsidRPr="00FD4375">
        <w:rPr>
          <w:rFonts w:ascii="Arial" w:eastAsia="Arial" w:hAnsi="Arial" w:cs="Arial"/>
          <w:sz w:val="22"/>
          <w:szCs w:val="22"/>
        </w:rPr>
        <w:t>ne</w:t>
      </w:r>
      <w:r w:rsidRPr="00BD17CA">
        <w:rPr>
          <w:rFonts w:ascii="Arial" w:eastAsia="Arial" w:hAnsi="Arial" w:cs="Arial"/>
          <w:sz w:val="22"/>
          <w:szCs w:val="22"/>
        </w:rPr>
        <w:t xml:space="preserve">y </w:t>
      </w:r>
      <w:r w:rsidRPr="00FD4375">
        <w:rPr>
          <w:rFonts w:ascii="Arial" w:eastAsia="Arial" w:hAnsi="Arial" w:cs="Arial"/>
          <w:sz w:val="22"/>
          <w:szCs w:val="22"/>
        </w:rPr>
        <w:t>m</w:t>
      </w:r>
      <w:r w:rsidRPr="00BD17CA">
        <w:rPr>
          <w:rFonts w:ascii="Arial" w:eastAsia="Arial" w:hAnsi="Arial" w:cs="Arial"/>
          <w:sz w:val="22"/>
          <w:szCs w:val="22"/>
        </w:rPr>
        <w:t>a</w:t>
      </w:r>
      <w:r w:rsidRPr="00FD4375">
        <w:rPr>
          <w:rFonts w:ascii="Arial" w:eastAsia="Arial" w:hAnsi="Arial" w:cs="Arial"/>
          <w:sz w:val="22"/>
          <w:szCs w:val="22"/>
        </w:rPr>
        <w:t>rk</w:t>
      </w:r>
      <w:r w:rsidRPr="00BD17CA">
        <w:rPr>
          <w:rFonts w:ascii="Arial" w:eastAsia="Arial" w:hAnsi="Arial" w:cs="Arial"/>
          <w:sz w:val="22"/>
          <w:szCs w:val="22"/>
        </w:rPr>
        <w:t>ets to</w:t>
      </w:r>
      <w:r w:rsidRPr="00FD4375">
        <w:rPr>
          <w:rFonts w:ascii="Arial" w:eastAsia="Arial" w:hAnsi="Arial" w:cs="Arial"/>
          <w:sz w:val="22"/>
          <w:szCs w:val="22"/>
        </w:rPr>
        <w:t xml:space="preserve"> </w:t>
      </w:r>
      <w:r w:rsidRPr="00BD17CA">
        <w:rPr>
          <w:rFonts w:ascii="Arial" w:eastAsia="Arial" w:hAnsi="Arial" w:cs="Arial"/>
          <w:sz w:val="22"/>
          <w:szCs w:val="22"/>
        </w:rPr>
        <w:t>pr</w:t>
      </w:r>
      <w:r w:rsidRPr="00FD4375">
        <w:rPr>
          <w:rFonts w:ascii="Arial" w:eastAsia="Arial" w:hAnsi="Arial" w:cs="Arial"/>
          <w:sz w:val="22"/>
          <w:szCs w:val="22"/>
        </w:rPr>
        <w:t>ovi</w:t>
      </w:r>
      <w:r w:rsidRPr="00BD17CA">
        <w:rPr>
          <w:rFonts w:ascii="Arial" w:eastAsia="Arial" w:hAnsi="Arial" w:cs="Arial"/>
          <w:sz w:val="22"/>
          <w:szCs w:val="22"/>
        </w:rPr>
        <w:t>de</w:t>
      </w:r>
      <w:r w:rsidRPr="00FD4375">
        <w:rPr>
          <w:rFonts w:ascii="Arial" w:eastAsia="Arial" w:hAnsi="Arial" w:cs="Arial"/>
          <w:sz w:val="22"/>
          <w:szCs w:val="22"/>
        </w:rPr>
        <w:t xml:space="preserve"> li</w:t>
      </w:r>
      <w:r w:rsidRPr="00BD17CA">
        <w:rPr>
          <w:rFonts w:ascii="Arial" w:eastAsia="Arial" w:hAnsi="Arial" w:cs="Arial"/>
          <w:sz w:val="22"/>
          <w:szCs w:val="22"/>
        </w:rPr>
        <w:t>q</w:t>
      </w:r>
      <w:r w:rsidRPr="00FD4375">
        <w:rPr>
          <w:rFonts w:ascii="Arial" w:eastAsia="Arial" w:hAnsi="Arial" w:cs="Arial"/>
          <w:sz w:val="22"/>
          <w:szCs w:val="22"/>
        </w:rPr>
        <w:t>ui</w:t>
      </w:r>
      <w:r w:rsidRPr="00BD17CA">
        <w:rPr>
          <w:rFonts w:ascii="Arial" w:eastAsia="Arial" w:hAnsi="Arial" w:cs="Arial"/>
          <w:sz w:val="22"/>
          <w:szCs w:val="22"/>
        </w:rPr>
        <w:t>d</w:t>
      </w:r>
      <w:r w:rsidRPr="00FD4375">
        <w:rPr>
          <w:rFonts w:ascii="Arial" w:eastAsia="Arial" w:hAnsi="Arial" w:cs="Arial"/>
          <w:sz w:val="22"/>
          <w:szCs w:val="22"/>
        </w:rPr>
        <w:t>it</w:t>
      </w:r>
      <w:r w:rsidRPr="00BD17CA">
        <w:rPr>
          <w:rFonts w:ascii="Arial" w:eastAsia="Arial" w:hAnsi="Arial" w:cs="Arial"/>
          <w:sz w:val="22"/>
          <w:szCs w:val="22"/>
        </w:rPr>
        <w:t>y</w:t>
      </w:r>
      <w:r w:rsidRPr="00FD4375">
        <w:rPr>
          <w:rFonts w:ascii="Arial" w:eastAsia="Arial" w:hAnsi="Arial" w:cs="Arial"/>
          <w:sz w:val="22"/>
          <w:szCs w:val="22"/>
        </w:rPr>
        <w:t xml:space="preserve"> </w:t>
      </w:r>
      <w:r w:rsidRPr="00BD17CA">
        <w:rPr>
          <w:rFonts w:ascii="Arial" w:eastAsia="Arial" w:hAnsi="Arial" w:cs="Arial"/>
          <w:sz w:val="22"/>
          <w:szCs w:val="22"/>
        </w:rPr>
        <w:t>on</w:t>
      </w:r>
      <w:r w:rsidRPr="00FD4375">
        <w:rPr>
          <w:rFonts w:ascii="Arial" w:eastAsia="Arial" w:hAnsi="Arial" w:cs="Arial"/>
          <w:sz w:val="22"/>
          <w:szCs w:val="22"/>
        </w:rPr>
        <w:t xml:space="preserve"> c</w:t>
      </w:r>
      <w:r w:rsidRPr="00BD17CA">
        <w:rPr>
          <w:rFonts w:ascii="Arial" w:eastAsia="Arial" w:hAnsi="Arial" w:cs="Arial"/>
          <w:sz w:val="22"/>
          <w:szCs w:val="22"/>
        </w:rPr>
        <w:t>a</w:t>
      </w:r>
      <w:r w:rsidRPr="00FD4375">
        <w:rPr>
          <w:rFonts w:ascii="Arial" w:eastAsia="Arial" w:hAnsi="Arial" w:cs="Arial"/>
          <w:sz w:val="22"/>
          <w:szCs w:val="22"/>
        </w:rPr>
        <w:t>s</w:t>
      </w:r>
      <w:r w:rsidRPr="00BD17CA">
        <w:rPr>
          <w:rFonts w:ascii="Arial" w:eastAsia="Arial" w:hAnsi="Arial" w:cs="Arial"/>
          <w:sz w:val="22"/>
          <w:szCs w:val="22"/>
        </w:rPr>
        <w:t>h b</w:t>
      </w:r>
      <w:r w:rsidRPr="00FD4375">
        <w:rPr>
          <w:rFonts w:ascii="Arial" w:eastAsia="Arial" w:hAnsi="Arial" w:cs="Arial"/>
          <w:sz w:val="22"/>
          <w:szCs w:val="22"/>
        </w:rPr>
        <w:t>al</w:t>
      </w:r>
      <w:r w:rsidRPr="00BD17CA">
        <w:rPr>
          <w:rFonts w:ascii="Arial" w:eastAsia="Arial" w:hAnsi="Arial" w:cs="Arial"/>
          <w:sz w:val="22"/>
          <w:szCs w:val="22"/>
        </w:rPr>
        <w:t>a</w:t>
      </w:r>
      <w:r w:rsidRPr="00FD4375">
        <w:rPr>
          <w:rFonts w:ascii="Arial" w:eastAsia="Arial" w:hAnsi="Arial" w:cs="Arial"/>
          <w:sz w:val="22"/>
          <w:szCs w:val="22"/>
        </w:rPr>
        <w:t>nc</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M</w:t>
      </w:r>
      <w:r w:rsidRPr="00FD4375">
        <w:rPr>
          <w:rFonts w:ascii="Arial" w:eastAsia="Arial" w:hAnsi="Arial" w:cs="Arial"/>
          <w:sz w:val="22"/>
          <w:szCs w:val="22"/>
        </w:rPr>
        <w:t>one</w:t>
      </w:r>
      <w:r w:rsidRPr="00BD17CA">
        <w:rPr>
          <w:rFonts w:ascii="Arial" w:eastAsia="Arial" w:hAnsi="Arial" w:cs="Arial"/>
          <w:sz w:val="22"/>
          <w:szCs w:val="22"/>
        </w:rPr>
        <w:t xml:space="preserve">y </w:t>
      </w:r>
      <w:r w:rsidRPr="00FD4375">
        <w:rPr>
          <w:rFonts w:ascii="Arial" w:eastAsia="Arial" w:hAnsi="Arial" w:cs="Arial"/>
          <w:sz w:val="22"/>
          <w:szCs w:val="22"/>
        </w:rPr>
        <w:t>m</w:t>
      </w:r>
      <w:r w:rsidRPr="00BD17CA">
        <w:rPr>
          <w:rFonts w:ascii="Arial" w:eastAsia="Arial" w:hAnsi="Arial" w:cs="Arial"/>
          <w:sz w:val="22"/>
          <w:szCs w:val="22"/>
        </w:rPr>
        <w:t>ar</w:t>
      </w:r>
      <w:r w:rsidRPr="00FD4375">
        <w:rPr>
          <w:rFonts w:ascii="Arial" w:eastAsia="Arial" w:hAnsi="Arial" w:cs="Arial"/>
          <w:sz w:val="22"/>
          <w:szCs w:val="22"/>
        </w:rPr>
        <w:t>k</w:t>
      </w:r>
      <w:r w:rsidRPr="00BD17CA">
        <w:rPr>
          <w:rFonts w:ascii="Arial" w:eastAsia="Arial" w:hAnsi="Arial" w:cs="Arial"/>
          <w:sz w:val="22"/>
          <w:szCs w:val="22"/>
        </w:rPr>
        <w:t>et</w:t>
      </w:r>
      <w:r w:rsidRPr="00FD4375">
        <w:rPr>
          <w:rFonts w:ascii="Arial" w:eastAsia="Arial" w:hAnsi="Arial" w:cs="Arial"/>
          <w:sz w:val="22"/>
          <w:szCs w:val="22"/>
        </w:rPr>
        <w:t xml:space="preserve"> </w:t>
      </w:r>
      <w:r w:rsidRPr="00BD17CA">
        <w:rPr>
          <w:rFonts w:ascii="Arial" w:eastAsia="Arial" w:hAnsi="Arial" w:cs="Arial"/>
          <w:sz w:val="22"/>
          <w:szCs w:val="22"/>
        </w:rPr>
        <w:t>fu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ch</w:t>
      </w:r>
      <w:r w:rsidRPr="00BD17CA">
        <w:rPr>
          <w:rFonts w:ascii="Arial" w:eastAsia="Arial" w:hAnsi="Arial" w:cs="Arial"/>
          <w:sz w:val="22"/>
          <w:szCs w:val="22"/>
        </w:rPr>
        <w:t>o</w:t>
      </w:r>
      <w:r w:rsidRPr="00FD4375">
        <w:rPr>
          <w:rFonts w:ascii="Arial" w:eastAsia="Arial" w:hAnsi="Arial" w:cs="Arial"/>
          <w:sz w:val="22"/>
          <w:szCs w:val="22"/>
        </w:rPr>
        <w:t>s</w:t>
      </w:r>
      <w:r w:rsidRPr="00BD17CA">
        <w:rPr>
          <w:rFonts w:ascii="Arial" w:eastAsia="Arial" w:hAnsi="Arial" w:cs="Arial"/>
          <w:sz w:val="22"/>
          <w:szCs w:val="22"/>
        </w:rPr>
        <w:t>en</w:t>
      </w:r>
      <w:r w:rsidRPr="00FD4375">
        <w:rPr>
          <w:rFonts w:ascii="Arial" w:eastAsia="Arial" w:hAnsi="Arial" w:cs="Arial"/>
          <w:sz w:val="22"/>
          <w:szCs w:val="22"/>
        </w:rPr>
        <w:t xml:space="preserve"> </w:t>
      </w:r>
      <w:r w:rsidRPr="00BD17CA">
        <w:rPr>
          <w:rFonts w:ascii="Arial" w:eastAsia="Arial" w:hAnsi="Arial" w:cs="Arial"/>
          <w:sz w:val="22"/>
          <w:szCs w:val="22"/>
        </w:rPr>
        <w:t>are</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 xml:space="preserve"> lin</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w:t>
      </w:r>
      <w:r w:rsidRPr="00BD17CA">
        <w:rPr>
          <w:rFonts w:ascii="Arial" w:eastAsia="Arial" w:hAnsi="Arial" w:cs="Arial"/>
          <w:sz w:val="22"/>
          <w:szCs w:val="22"/>
        </w:rPr>
        <w:t>th</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w:t>
      </w:r>
      <w:r w:rsidRPr="00BD17CA">
        <w:rPr>
          <w:rFonts w:ascii="Arial" w:eastAsia="Arial" w:hAnsi="Arial" w:cs="Arial"/>
          <w:sz w:val="22"/>
          <w:szCs w:val="22"/>
        </w:rPr>
        <w:t>Co</w:t>
      </w:r>
      <w:r w:rsidRPr="00FD4375">
        <w:rPr>
          <w:rFonts w:ascii="Arial" w:eastAsia="Arial" w:hAnsi="Arial" w:cs="Arial"/>
          <w:sz w:val="22"/>
          <w:szCs w:val="22"/>
        </w:rPr>
        <w:t>u</w:t>
      </w:r>
      <w:r w:rsidRPr="00BD17CA">
        <w:rPr>
          <w:rFonts w:ascii="Arial" w:eastAsia="Arial" w:hAnsi="Arial" w:cs="Arial"/>
          <w:sz w:val="22"/>
          <w:szCs w:val="22"/>
        </w:rPr>
        <w:t>n</w:t>
      </w:r>
      <w:r w:rsidRPr="00FD4375">
        <w:rPr>
          <w:rFonts w:ascii="Arial" w:eastAsia="Arial" w:hAnsi="Arial" w:cs="Arial"/>
          <w:sz w:val="22"/>
          <w:szCs w:val="22"/>
        </w:rPr>
        <w:t>cil</w:t>
      </w:r>
      <w:r w:rsidRPr="00BD17CA">
        <w:rPr>
          <w:rFonts w:ascii="Arial" w:eastAsia="Arial" w:hAnsi="Arial" w:cs="Arial"/>
          <w:sz w:val="22"/>
          <w:szCs w:val="22"/>
        </w:rPr>
        <w:t>'s</w:t>
      </w:r>
      <w:r w:rsidRPr="00FD4375">
        <w:rPr>
          <w:rFonts w:ascii="Arial" w:eastAsia="Arial" w:hAnsi="Arial" w:cs="Arial"/>
          <w:sz w:val="22"/>
          <w:szCs w:val="22"/>
        </w:rPr>
        <w:t xml:space="preserve"> Tr</w:t>
      </w:r>
      <w:r w:rsidRPr="00BD17CA">
        <w:rPr>
          <w:rFonts w:ascii="Arial" w:eastAsia="Arial" w:hAnsi="Arial" w:cs="Arial"/>
          <w:sz w:val="22"/>
          <w:szCs w:val="22"/>
        </w:rPr>
        <w:t>e</w:t>
      </w:r>
      <w:r w:rsidRPr="00FD4375">
        <w:rPr>
          <w:rFonts w:ascii="Arial" w:eastAsia="Arial" w:hAnsi="Arial" w:cs="Arial"/>
          <w:sz w:val="22"/>
          <w:szCs w:val="22"/>
        </w:rPr>
        <w:t>as</w:t>
      </w:r>
      <w:r w:rsidRPr="00BD17CA">
        <w:rPr>
          <w:rFonts w:ascii="Arial" w:eastAsia="Arial" w:hAnsi="Arial" w:cs="Arial"/>
          <w:sz w:val="22"/>
          <w:szCs w:val="22"/>
        </w:rPr>
        <w:t>u</w:t>
      </w:r>
      <w:r w:rsidRPr="00FD4375">
        <w:rPr>
          <w:rFonts w:ascii="Arial" w:eastAsia="Arial" w:hAnsi="Arial" w:cs="Arial"/>
          <w:sz w:val="22"/>
          <w:szCs w:val="22"/>
        </w:rPr>
        <w:t>r</w:t>
      </w:r>
      <w:r w:rsidRPr="00BD17CA">
        <w:rPr>
          <w:rFonts w:ascii="Arial" w:eastAsia="Arial" w:hAnsi="Arial" w:cs="Arial"/>
          <w:sz w:val="22"/>
          <w:szCs w:val="22"/>
        </w:rPr>
        <w:t>y</w:t>
      </w:r>
      <w:r w:rsidRPr="00FD4375">
        <w:rPr>
          <w:rFonts w:ascii="Arial" w:eastAsia="Arial" w:hAnsi="Arial" w:cs="Arial"/>
          <w:sz w:val="22"/>
          <w:szCs w:val="22"/>
        </w:rPr>
        <w:t xml:space="preserve"> </w:t>
      </w:r>
      <w:r w:rsidRPr="00BD17CA">
        <w:rPr>
          <w:rFonts w:ascii="Arial" w:eastAsia="Arial" w:hAnsi="Arial" w:cs="Arial"/>
          <w:sz w:val="22"/>
          <w:szCs w:val="22"/>
        </w:rPr>
        <w:t>M</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g</w:t>
      </w:r>
      <w:r w:rsidRPr="00FD4375">
        <w:rPr>
          <w:rFonts w:ascii="Arial" w:eastAsia="Arial" w:hAnsi="Arial" w:cs="Arial"/>
          <w:sz w:val="22"/>
          <w:szCs w:val="22"/>
        </w:rPr>
        <w:t>em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 xml:space="preserve">t </w:t>
      </w:r>
      <w:r w:rsidRPr="00FD4375">
        <w:rPr>
          <w:rFonts w:ascii="Arial" w:eastAsia="Arial" w:hAnsi="Arial" w:cs="Arial"/>
          <w:sz w:val="22"/>
          <w:szCs w:val="22"/>
        </w:rPr>
        <w:t>S</w:t>
      </w:r>
      <w:r w:rsidRPr="00BD17CA">
        <w:rPr>
          <w:rFonts w:ascii="Arial" w:eastAsia="Arial" w:hAnsi="Arial" w:cs="Arial"/>
          <w:sz w:val="22"/>
          <w:szCs w:val="22"/>
        </w:rPr>
        <w:t>trat</w:t>
      </w:r>
      <w:r w:rsidRPr="00FD4375">
        <w:rPr>
          <w:rFonts w:ascii="Arial" w:eastAsia="Arial" w:hAnsi="Arial" w:cs="Arial"/>
          <w:sz w:val="22"/>
          <w:szCs w:val="22"/>
        </w:rPr>
        <w:t>eg</w:t>
      </w:r>
      <w:r w:rsidRPr="00BD17CA">
        <w:rPr>
          <w:rFonts w:ascii="Arial" w:eastAsia="Arial" w:hAnsi="Arial" w:cs="Arial"/>
          <w:sz w:val="22"/>
          <w:szCs w:val="22"/>
        </w:rPr>
        <w:t>y</w:t>
      </w:r>
      <w:r w:rsidRPr="00FD4375">
        <w:rPr>
          <w:rFonts w:ascii="Arial" w:eastAsia="Arial" w:hAnsi="Arial" w:cs="Arial"/>
          <w:sz w:val="22"/>
          <w:szCs w:val="22"/>
        </w:rPr>
        <w:t xml:space="preserve"> a</w:t>
      </w:r>
      <w:r w:rsidRPr="00BD17CA">
        <w:rPr>
          <w:rFonts w:ascii="Arial" w:eastAsia="Arial" w:hAnsi="Arial" w:cs="Arial"/>
          <w:sz w:val="22"/>
          <w:szCs w:val="22"/>
        </w:rPr>
        <w:t>nd</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l</w:t>
      </w:r>
      <w:r w:rsidRPr="00BD17CA">
        <w:rPr>
          <w:rFonts w:ascii="Arial" w:eastAsia="Arial" w:hAnsi="Arial" w:cs="Arial"/>
          <w:sz w:val="22"/>
          <w:szCs w:val="22"/>
        </w:rPr>
        <w:t>l h</w:t>
      </w:r>
      <w:r w:rsidRPr="00FD4375">
        <w:rPr>
          <w:rFonts w:ascii="Arial" w:eastAsia="Arial" w:hAnsi="Arial" w:cs="Arial"/>
          <w:sz w:val="22"/>
          <w:szCs w:val="22"/>
        </w:rPr>
        <w:t>av</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 xml:space="preserve"> AA</w:t>
      </w:r>
      <w:r w:rsidRPr="00BD17CA">
        <w:rPr>
          <w:rFonts w:ascii="Arial" w:eastAsia="Arial" w:hAnsi="Arial" w:cs="Arial"/>
          <w:sz w:val="22"/>
          <w:szCs w:val="22"/>
        </w:rPr>
        <w:t>A</w:t>
      </w:r>
      <w:r w:rsidRPr="00FD4375">
        <w:rPr>
          <w:rFonts w:ascii="Arial" w:eastAsia="Arial" w:hAnsi="Arial" w:cs="Arial"/>
          <w:sz w:val="22"/>
          <w:szCs w:val="22"/>
        </w:rPr>
        <w:t xml:space="preserve"> r</w:t>
      </w:r>
      <w:r w:rsidRPr="00BD17CA">
        <w:rPr>
          <w:rFonts w:ascii="Arial" w:eastAsia="Arial" w:hAnsi="Arial" w:cs="Arial"/>
          <w:sz w:val="22"/>
          <w:szCs w:val="22"/>
        </w:rPr>
        <w:t>a</w:t>
      </w:r>
      <w:r w:rsidRPr="00FD4375">
        <w:rPr>
          <w:rFonts w:ascii="Arial" w:eastAsia="Arial" w:hAnsi="Arial" w:cs="Arial"/>
          <w:sz w:val="22"/>
          <w:szCs w:val="22"/>
        </w:rPr>
        <w:t>tin</w:t>
      </w:r>
      <w:r w:rsidRPr="00BD17CA">
        <w:rPr>
          <w:rFonts w:ascii="Arial" w:eastAsia="Arial" w:hAnsi="Arial" w:cs="Arial"/>
          <w:sz w:val="22"/>
          <w:szCs w:val="22"/>
        </w:rPr>
        <w:t>g</w:t>
      </w:r>
      <w:r w:rsidRPr="00FD4375">
        <w:rPr>
          <w:rFonts w:ascii="Arial" w:eastAsia="Arial" w:hAnsi="Arial" w:cs="Arial"/>
          <w:sz w:val="22"/>
          <w:szCs w:val="22"/>
        </w:rPr>
        <w:t xml:space="preserve"> fro</w:t>
      </w:r>
      <w:r w:rsidRPr="00BD17CA">
        <w:rPr>
          <w:rFonts w:ascii="Arial" w:eastAsia="Arial" w:hAnsi="Arial" w:cs="Arial"/>
          <w:sz w:val="22"/>
          <w:szCs w:val="22"/>
        </w:rPr>
        <w:t>m</w:t>
      </w:r>
      <w:r w:rsidRPr="00FD4375">
        <w:rPr>
          <w:rFonts w:ascii="Arial" w:eastAsia="Arial" w:hAnsi="Arial" w:cs="Arial"/>
          <w:sz w:val="22"/>
          <w:szCs w:val="22"/>
        </w:rPr>
        <w:t xml:space="preserve"> l</w:t>
      </w:r>
      <w:r w:rsidRPr="00BD17CA">
        <w:rPr>
          <w:rFonts w:ascii="Arial" w:eastAsia="Arial" w:hAnsi="Arial" w:cs="Arial"/>
          <w:sz w:val="22"/>
          <w:szCs w:val="22"/>
        </w:rPr>
        <w:t>e</w:t>
      </w:r>
      <w:r w:rsidRPr="00FD4375">
        <w:rPr>
          <w:rFonts w:ascii="Arial" w:eastAsia="Arial" w:hAnsi="Arial" w:cs="Arial"/>
          <w:sz w:val="22"/>
          <w:szCs w:val="22"/>
        </w:rPr>
        <w:t>a</w:t>
      </w:r>
      <w:r w:rsidRPr="00BD17CA">
        <w:rPr>
          <w:rFonts w:ascii="Arial" w:eastAsia="Arial" w:hAnsi="Arial" w:cs="Arial"/>
          <w:sz w:val="22"/>
          <w:szCs w:val="22"/>
        </w:rPr>
        <w:t>d</w:t>
      </w:r>
      <w:r w:rsidRPr="00FD4375">
        <w:rPr>
          <w:rFonts w:ascii="Arial" w:eastAsia="Arial" w:hAnsi="Arial" w:cs="Arial"/>
          <w:sz w:val="22"/>
          <w:szCs w:val="22"/>
        </w:rPr>
        <w:t>in</w:t>
      </w:r>
      <w:r w:rsidRPr="00BD17CA">
        <w:rPr>
          <w:rFonts w:ascii="Arial" w:eastAsia="Arial" w:hAnsi="Arial" w:cs="Arial"/>
          <w:sz w:val="22"/>
          <w:szCs w:val="22"/>
        </w:rPr>
        <w:t>g</w:t>
      </w:r>
      <w:r w:rsidRPr="00FD4375">
        <w:rPr>
          <w:rFonts w:ascii="Arial" w:eastAsia="Arial" w:hAnsi="Arial" w:cs="Arial"/>
          <w:sz w:val="22"/>
          <w:szCs w:val="22"/>
        </w:rPr>
        <w:t xml:space="preserve"> r</w:t>
      </w:r>
      <w:r w:rsidRPr="00BD17CA">
        <w:rPr>
          <w:rFonts w:ascii="Arial" w:eastAsia="Arial" w:hAnsi="Arial" w:cs="Arial"/>
          <w:sz w:val="22"/>
          <w:szCs w:val="22"/>
        </w:rPr>
        <w:t>at</w:t>
      </w:r>
      <w:r w:rsidRPr="00FD4375">
        <w:rPr>
          <w:rFonts w:ascii="Arial" w:eastAsia="Arial" w:hAnsi="Arial" w:cs="Arial"/>
          <w:sz w:val="22"/>
          <w:szCs w:val="22"/>
        </w:rPr>
        <w:t>in</w:t>
      </w:r>
      <w:r w:rsidRPr="00BD17CA">
        <w:rPr>
          <w:rFonts w:ascii="Arial" w:eastAsia="Arial" w:hAnsi="Arial" w:cs="Arial"/>
          <w:sz w:val="22"/>
          <w:szCs w:val="22"/>
        </w:rPr>
        <w:t>gs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ge</w:t>
      </w:r>
      <w:r w:rsidRPr="00BD17CA">
        <w:rPr>
          <w:rFonts w:ascii="Arial" w:eastAsia="Arial" w:hAnsi="Arial" w:cs="Arial"/>
          <w:sz w:val="22"/>
          <w:szCs w:val="22"/>
        </w:rPr>
        <w:t>n</w:t>
      </w:r>
      <w:r w:rsidRPr="00FD4375">
        <w:rPr>
          <w:rFonts w:ascii="Arial" w:eastAsia="Arial" w:hAnsi="Arial" w:cs="Arial"/>
          <w:sz w:val="22"/>
          <w:szCs w:val="22"/>
        </w:rPr>
        <w:t>cy</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as</w:t>
      </w:r>
      <w:r w:rsidRPr="00FD4375">
        <w:rPr>
          <w:rFonts w:ascii="Arial" w:eastAsia="Arial" w:hAnsi="Arial" w:cs="Arial"/>
          <w:sz w:val="22"/>
          <w:szCs w:val="22"/>
        </w:rPr>
        <w:t xml:space="preserve"> s</w:t>
      </w:r>
      <w:r w:rsidRPr="00BD17CA">
        <w:rPr>
          <w:rFonts w:ascii="Arial" w:eastAsia="Arial" w:hAnsi="Arial" w:cs="Arial"/>
          <w:sz w:val="22"/>
          <w:szCs w:val="22"/>
        </w:rPr>
        <w:t>h</w:t>
      </w:r>
      <w:r w:rsidRPr="00FD4375">
        <w:rPr>
          <w:rFonts w:ascii="Arial" w:eastAsia="Arial" w:hAnsi="Arial" w:cs="Arial"/>
          <w:sz w:val="22"/>
          <w:szCs w:val="22"/>
        </w:rPr>
        <w:t>o</w:t>
      </w:r>
      <w:r w:rsidRPr="00BD17CA">
        <w:rPr>
          <w:rFonts w:ascii="Arial" w:eastAsia="Arial" w:hAnsi="Arial" w:cs="Arial"/>
          <w:sz w:val="22"/>
          <w:szCs w:val="22"/>
        </w:rPr>
        <w:t>wn</w:t>
      </w:r>
      <w:r w:rsidRPr="00FD4375">
        <w:rPr>
          <w:rFonts w:ascii="Arial" w:eastAsia="Arial" w:hAnsi="Arial" w:cs="Arial"/>
          <w:sz w:val="22"/>
          <w:szCs w:val="22"/>
        </w:rPr>
        <w:t xml:space="preserve"> </w:t>
      </w:r>
      <w:r w:rsidRPr="00BD17CA">
        <w:rPr>
          <w:rFonts w:ascii="Arial" w:eastAsia="Arial" w:hAnsi="Arial" w:cs="Arial"/>
          <w:sz w:val="22"/>
          <w:szCs w:val="22"/>
        </w:rPr>
        <w:t>b</w:t>
      </w:r>
      <w:r w:rsidRPr="00FD4375">
        <w:rPr>
          <w:rFonts w:ascii="Arial" w:eastAsia="Arial" w:hAnsi="Arial" w:cs="Arial"/>
          <w:sz w:val="22"/>
          <w:szCs w:val="22"/>
        </w:rPr>
        <w:t>elow</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e</w:t>
      </w:r>
      <w:r w:rsidRPr="00BD17CA">
        <w:rPr>
          <w:rFonts w:ascii="Arial" w:eastAsia="Arial" w:hAnsi="Arial" w:cs="Arial"/>
          <w:sz w:val="22"/>
          <w:szCs w:val="22"/>
        </w:rPr>
        <w:t>n</w:t>
      </w:r>
      <w:r w:rsidRPr="00FD4375">
        <w:rPr>
          <w:rFonts w:ascii="Arial" w:eastAsia="Arial" w:hAnsi="Arial" w:cs="Arial"/>
          <w:sz w:val="22"/>
          <w:szCs w:val="22"/>
        </w:rPr>
        <w:t>si</w:t>
      </w:r>
      <w:r w:rsidRPr="00BD17CA">
        <w:rPr>
          <w:rFonts w:ascii="Arial" w:eastAsia="Arial" w:hAnsi="Arial" w:cs="Arial"/>
          <w:sz w:val="22"/>
          <w:szCs w:val="22"/>
        </w:rPr>
        <w:t>on</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b</w:t>
      </w:r>
      <w:r w:rsidRPr="00FD4375">
        <w:rPr>
          <w:rFonts w:ascii="Arial" w:eastAsia="Arial" w:hAnsi="Arial" w:cs="Arial"/>
          <w:sz w:val="22"/>
          <w:szCs w:val="22"/>
        </w:rPr>
        <w:t>a</w:t>
      </w:r>
      <w:r w:rsidRPr="00BD17CA">
        <w:rPr>
          <w:rFonts w:ascii="Arial" w:eastAsia="Arial" w:hAnsi="Arial" w:cs="Arial"/>
          <w:sz w:val="22"/>
          <w:szCs w:val="22"/>
        </w:rPr>
        <w:t>nk</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cc</w:t>
      </w:r>
      <w:r w:rsidRPr="00BD17CA">
        <w:rPr>
          <w:rFonts w:ascii="Arial" w:eastAsia="Arial" w:hAnsi="Arial" w:cs="Arial"/>
          <w:sz w:val="22"/>
          <w:szCs w:val="22"/>
        </w:rPr>
        <w:t>o</w:t>
      </w:r>
      <w:r w:rsidRPr="00FD4375">
        <w:rPr>
          <w:rFonts w:ascii="Arial" w:eastAsia="Arial" w:hAnsi="Arial" w:cs="Arial"/>
          <w:sz w:val="22"/>
          <w:szCs w:val="22"/>
        </w:rPr>
        <w:t>u</w:t>
      </w:r>
      <w:r w:rsidRPr="00BD17CA">
        <w:rPr>
          <w:rFonts w:ascii="Arial" w:eastAsia="Arial" w:hAnsi="Arial" w:cs="Arial"/>
          <w:sz w:val="22"/>
          <w:szCs w:val="22"/>
        </w:rPr>
        <w:t>nt</w:t>
      </w:r>
      <w:r w:rsidRPr="00FD4375">
        <w:rPr>
          <w:rFonts w:ascii="Arial" w:eastAsia="Arial" w:hAnsi="Arial" w:cs="Arial"/>
          <w:sz w:val="22"/>
          <w:szCs w:val="22"/>
        </w:rPr>
        <w:t xml:space="preserve"> i</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ls</w:t>
      </w:r>
      <w:r w:rsidRPr="00BD17CA">
        <w:rPr>
          <w:rFonts w:ascii="Arial" w:eastAsia="Arial" w:hAnsi="Arial" w:cs="Arial"/>
          <w:sz w:val="22"/>
          <w:szCs w:val="22"/>
        </w:rPr>
        <w:t>o</w:t>
      </w:r>
      <w:r w:rsidRPr="00FD4375">
        <w:rPr>
          <w:rFonts w:ascii="Arial" w:eastAsia="Arial" w:hAnsi="Arial" w:cs="Arial"/>
          <w:sz w:val="22"/>
          <w:szCs w:val="22"/>
        </w:rPr>
        <w:t xml:space="preserve"> h</w:t>
      </w:r>
      <w:r w:rsidRPr="00BD17CA">
        <w:rPr>
          <w:rFonts w:ascii="Arial" w:eastAsia="Arial" w:hAnsi="Arial" w:cs="Arial"/>
          <w:sz w:val="22"/>
          <w:szCs w:val="22"/>
        </w:rPr>
        <w:t>e</w:t>
      </w:r>
      <w:r w:rsidRPr="00FD4375">
        <w:rPr>
          <w:rFonts w:ascii="Arial" w:eastAsia="Arial" w:hAnsi="Arial" w:cs="Arial"/>
          <w:sz w:val="22"/>
          <w:szCs w:val="22"/>
        </w:rPr>
        <w:t>l</w:t>
      </w:r>
      <w:r w:rsidRPr="00BD17CA">
        <w:rPr>
          <w:rFonts w:ascii="Arial" w:eastAsia="Arial" w:hAnsi="Arial" w:cs="Arial"/>
          <w:sz w:val="22"/>
          <w:szCs w:val="22"/>
        </w:rPr>
        <w:t>d</w:t>
      </w:r>
      <w:r w:rsidRPr="00FD4375">
        <w:rPr>
          <w:rFonts w:ascii="Arial" w:eastAsia="Arial" w:hAnsi="Arial" w:cs="Arial"/>
          <w:sz w:val="22"/>
          <w:szCs w:val="22"/>
        </w:rPr>
        <w:t xml:space="preserve"> i</w:t>
      </w:r>
      <w:r w:rsidRPr="00BD17CA">
        <w:rPr>
          <w:rFonts w:ascii="Arial" w:eastAsia="Arial" w:hAnsi="Arial" w:cs="Arial"/>
          <w:sz w:val="22"/>
          <w:szCs w:val="22"/>
        </w:rPr>
        <w:t xml:space="preserve">n </w:t>
      </w:r>
      <w:r w:rsidRPr="00FD4375">
        <w:rPr>
          <w:rFonts w:ascii="Arial" w:eastAsia="Arial" w:hAnsi="Arial" w:cs="Arial"/>
          <w:sz w:val="22"/>
          <w:szCs w:val="22"/>
        </w:rPr>
        <w:t>lin</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w:t>
      </w:r>
      <w:r w:rsidRPr="00BD17CA">
        <w:rPr>
          <w:rFonts w:ascii="Arial" w:eastAsia="Arial" w:hAnsi="Arial" w:cs="Arial"/>
          <w:sz w:val="22"/>
          <w:szCs w:val="22"/>
        </w:rPr>
        <w:t>th</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u</w:t>
      </w:r>
      <w:r w:rsidRPr="00BD17CA">
        <w:rPr>
          <w:rFonts w:ascii="Arial" w:eastAsia="Arial" w:hAnsi="Arial" w:cs="Arial"/>
          <w:sz w:val="22"/>
          <w:szCs w:val="22"/>
        </w:rPr>
        <w:t>n</w:t>
      </w:r>
      <w:r w:rsidRPr="00FD4375">
        <w:rPr>
          <w:rFonts w:ascii="Arial" w:eastAsia="Arial" w:hAnsi="Arial" w:cs="Arial"/>
          <w:sz w:val="22"/>
          <w:szCs w:val="22"/>
        </w:rPr>
        <w:t>cil</w:t>
      </w:r>
      <w:r w:rsidRPr="00BD17CA">
        <w:rPr>
          <w:rFonts w:ascii="Arial" w:eastAsia="Arial" w:hAnsi="Arial" w:cs="Arial"/>
          <w:sz w:val="22"/>
          <w:szCs w:val="22"/>
        </w:rPr>
        <w:t>'s</w:t>
      </w:r>
      <w:r w:rsidRPr="00FD4375">
        <w:rPr>
          <w:rFonts w:ascii="Arial" w:eastAsia="Arial" w:hAnsi="Arial" w:cs="Arial"/>
          <w:sz w:val="22"/>
          <w:szCs w:val="22"/>
        </w:rPr>
        <w:t xml:space="preserve"> s</w:t>
      </w:r>
      <w:r w:rsidRPr="00BD17CA">
        <w:rPr>
          <w:rFonts w:ascii="Arial" w:eastAsia="Arial" w:hAnsi="Arial" w:cs="Arial"/>
          <w:sz w:val="22"/>
          <w:szCs w:val="22"/>
        </w:rPr>
        <w:t>e</w:t>
      </w:r>
      <w:r w:rsidRPr="00FD4375">
        <w:rPr>
          <w:rFonts w:ascii="Arial" w:eastAsia="Arial" w:hAnsi="Arial" w:cs="Arial"/>
          <w:sz w:val="22"/>
          <w:szCs w:val="22"/>
        </w:rPr>
        <w:t>l</w:t>
      </w:r>
      <w:r w:rsidRPr="00BD17CA">
        <w:rPr>
          <w:rFonts w:ascii="Arial" w:eastAsia="Arial" w:hAnsi="Arial" w:cs="Arial"/>
          <w:sz w:val="22"/>
          <w:szCs w:val="22"/>
        </w:rPr>
        <w:t>e</w:t>
      </w:r>
      <w:r w:rsidRPr="00FD4375">
        <w:rPr>
          <w:rFonts w:ascii="Arial" w:eastAsia="Arial" w:hAnsi="Arial" w:cs="Arial"/>
          <w:sz w:val="22"/>
          <w:szCs w:val="22"/>
        </w:rPr>
        <w:t>c</w:t>
      </w:r>
      <w:r w:rsidRPr="00BD17CA">
        <w:rPr>
          <w:rFonts w:ascii="Arial" w:eastAsia="Arial" w:hAnsi="Arial" w:cs="Arial"/>
          <w:sz w:val="22"/>
          <w:szCs w:val="22"/>
        </w:rPr>
        <w:t>t</w:t>
      </w:r>
      <w:r w:rsidRPr="00FD4375">
        <w:rPr>
          <w:rFonts w:ascii="Arial" w:eastAsia="Arial" w:hAnsi="Arial" w:cs="Arial"/>
          <w:sz w:val="22"/>
          <w:szCs w:val="22"/>
        </w:rPr>
        <w:t>io</w:t>
      </w:r>
      <w:r w:rsidRPr="00BD17CA">
        <w:rPr>
          <w:rFonts w:ascii="Arial" w:eastAsia="Arial" w:hAnsi="Arial" w:cs="Arial"/>
          <w:sz w:val="22"/>
          <w:szCs w:val="22"/>
        </w:rPr>
        <w:t>n</w:t>
      </w:r>
      <w:r w:rsidRPr="00FD4375">
        <w:rPr>
          <w:rFonts w:ascii="Arial" w:eastAsia="Arial" w:hAnsi="Arial" w:cs="Arial"/>
          <w:sz w:val="22"/>
          <w:szCs w:val="22"/>
        </w:rPr>
        <w:t xml:space="preserve"> f</w:t>
      </w:r>
      <w:r w:rsidRPr="00BD17CA">
        <w:rPr>
          <w:rFonts w:ascii="Arial" w:eastAsia="Arial" w:hAnsi="Arial" w:cs="Arial"/>
          <w:sz w:val="22"/>
          <w:szCs w:val="22"/>
        </w:rPr>
        <w:t>or</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i</w:t>
      </w:r>
      <w:r w:rsidRPr="00BD17CA">
        <w:rPr>
          <w:rFonts w:ascii="Arial" w:eastAsia="Arial" w:hAnsi="Arial" w:cs="Arial"/>
          <w:sz w:val="22"/>
          <w:szCs w:val="22"/>
        </w:rPr>
        <w:t>n</w:t>
      </w:r>
      <w:r w:rsidRPr="00FD4375">
        <w:rPr>
          <w:rFonts w:ascii="Arial" w:eastAsia="Arial" w:hAnsi="Arial" w:cs="Arial"/>
          <w:sz w:val="22"/>
          <w:szCs w:val="22"/>
        </w:rPr>
        <w:t xml:space="preserve"> b</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ac</w:t>
      </w:r>
      <w:r w:rsidRPr="00FD4375">
        <w:rPr>
          <w:rFonts w:ascii="Arial" w:eastAsia="Arial" w:hAnsi="Arial" w:cs="Arial"/>
          <w:sz w:val="22"/>
          <w:szCs w:val="22"/>
        </w:rPr>
        <w:t>c</w:t>
      </w:r>
      <w:r w:rsidRPr="00BD17CA">
        <w:rPr>
          <w:rFonts w:ascii="Arial" w:eastAsia="Arial" w:hAnsi="Arial" w:cs="Arial"/>
          <w:sz w:val="22"/>
          <w:szCs w:val="22"/>
        </w:rPr>
        <w:t>o</w:t>
      </w:r>
      <w:r w:rsidRPr="00FD4375">
        <w:rPr>
          <w:rFonts w:ascii="Arial" w:eastAsia="Arial" w:hAnsi="Arial" w:cs="Arial"/>
          <w:sz w:val="22"/>
          <w:szCs w:val="22"/>
        </w:rPr>
        <w:t>u</w:t>
      </w:r>
      <w:r w:rsidRPr="00BD17CA">
        <w:rPr>
          <w:rFonts w:ascii="Arial" w:eastAsia="Arial" w:hAnsi="Arial" w:cs="Arial"/>
          <w:sz w:val="22"/>
          <w:szCs w:val="22"/>
        </w:rPr>
        <w:t>nt</w:t>
      </w:r>
      <w:r w:rsidRPr="00FD4375">
        <w:rPr>
          <w:rFonts w:ascii="Arial" w:eastAsia="Arial" w:hAnsi="Arial" w:cs="Arial"/>
          <w:sz w:val="22"/>
          <w:szCs w:val="22"/>
        </w:rPr>
        <w:t xml:space="preserve"> pr</w:t>
      </w:r>
      <w:r w:rsidRPr="00BD17CA">
        <w:rPr>
          <w:rFonts w:ascii="Arial" w:eastAsia="Arial" w:hAnsi="Arial" w:cs="Arial"/>
          <w:sz w:val="22"/>
          <w:szCs w:val="22"/>
        </w:rPr>
        <w:t>o</w:t>
      </w:r>
      <w:r w:rsidRPr="00FD4375">
        <w:rPr>
          <w:rFonts w:ascii="Arial" w:eastAsia="Arial" w:hAnsi="Arial" w:cs="Arial"/>
          <w:sz w:val="22"/>
          <w:szCs w:val="22"/>
        </w:rPr>
        <w:t>vi</w:t>
      </w:r>
      <w:r w:rsidRPr="00BD17CA">
        <w:rPr>
          <w:rFonts w:ascii="Arial" w:eastAsia="Arial" w:hAnsi="Arial" w:cs="Arial"/>
          <w:sz w:val="22"/>
          <w:szCs w:val="22"/>
        </w:rPr>
        <w:t>d</w:t>
      </w:r>
      <w:r w:rsidRPr="00FD4375">
        <w:rPr>
          <w:rFonts w:ascii="Arial" w:eastAsia="Arial" w:hAnsi="Arial" w:cs="Arial"/>
          <w:sz w:val="22"/>
          <w:szCs w:val="22"/>
        </w:rPr>
        <w:t>er</w:t>
      </w:r>
      <w:r w:rsidRPr="00BD17CA">
        <w:rPr>
          <w:rFonts w:ascii="Arial" w:eastAsia="Arial" w:hAnsi="Arial" w:cs="Arial"/>
          <w:sz w:val="22"/>
          <w:szCs w:val="22"/>
        </w:rPr>
        <w:t>.</w:t>
      </w:r>
    </w:p>
    <w:p w14:paraId="3F1EFEF9" w14:textId="77777777" w:rsidR="000C5B88" w:rsidRPr="00BD17CA" w:rsidRDefault="000C5B88" w:rsidP="00FD4375">
      <w:pPr>
        <w:spacing w:after="200" w:line="276" w:lineRule="auto"/>
        <w:ind w:right="74"/>
        <w:jc w:val="both"/>
        <w:rPr>
          <w:rFonts w:ascii="Arial" w:eastAsia="Arial" w:hAnsi="Arial" w:cs="Arial"/>
          <w:sz w:val="22"/>
          <w:szCs w:val="22"/>
        </w:rPr>
      </w:pPr>
    </w:p>
    <w:p w14:paraId="5E689071" w14:textId="77777777" w:rsidR="009C7422" w:rsidRPr="00FD4375" w:rsidRDefault="001706EB" w:rsidP="00FD4375">
      <w:pPr>
        <w:spacing w:after="200" w:line="276" w:lineRule="auto"/>
        <w:ind w:right="74"/>
        <w:jc w:val="both"/>
        <w:rPr>
          <w:rFonts w:ascii="Arial" w:eastAsia="Arial" w:hAnsi="Arial" w:cs="Arial"/>
          <w:b/>
          <w:bCs/>
          <w:sz w:val="22"/>
          <w:szCs w:val="22"/>
        </w:rPr>
      </w:pPr>
      <w:r w:rsidRPr="00FD4375">
        <w:rPr>
          <w:rFonts w:ascii="Arial" w:eastAsia="Arial" w:hAnsi="Arial" w:cs="Arial"/>
          <w:b/>
          <w:bCs/>
          <w:sz w:val="22"/>
          <w:szCs w:val="22"/>
        </w:rPr>
        <w:lastRenderedPageBreak/>
        <w:t>Liquidity risk</w:t>
      </w:r>
    </w:p>
    <w:p w14:paraId="235331EA" w14:textId="773AB5A4" w:rsidR="009C7422" w:rsidRPr="00BD17CA" w:rsidRDefault="001706EB" w:rsidP="00FD4375">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L</w:t>
      </w:r>
      <w:r w:rsidRPr="00FD4375">
        <w:rPr>
          <w:rFonts w:ascii="Arial" w:eastAsia="Arial" w:hAnsi="Arial" w:cs="Arial"/>
          <w:sz w:val="22"/>
          <w:szCs w:val="22"/>
        </w:rPr>
        <w:t>iq</w:t>
      </w:r>
      <w:r w:rsidRPr="00BD17CA">
        <w:rPr>
          <w:rFonts w:ascii="Arial" w:eastAsia="Arial" w:hAnsi="Arial" w:cs="Arial"/>
          <w:sz w:val="22"/>
          <w:szCs w:val="22"/>
        </w:rPr>
        <w:t>u</w:t>
      </w:r>
      <w:r w:rsidRPr="00FD4375">
        <w:rPr>
          <w:rFonts w:ascii="Arial" w:eastAsia="Arial" w:hAnsi="Arial" w:cs="Arial"/>
          <w:sz w:val="22"/>
          <w:szCs w:val="22"/>
        </w:rPr>
        <w:t>idit</w:t>
      </w:r>
      <w:r w:rsidRPr="00BD17CA">
        <w:rPr>
          <w:rFonts w:ascii="Arial" w:eastAsia="Arial" w:hAnsi="Arial" w:cs="Arial"/>
          <w:sz w:val="22"/>
          <w:szCs w:val="22"/>
        </w:rPr>
        <w:t>y</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pr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ris</w:t>
      </w:r>
      <w:r w:rsidRPr="00BD17CA">
        <w:rPr>
          <w:rFonts w:ascii="Arial" w:eastAsia="Arial" w:hAnsi="Arial" w:cs="Arial"/>
          <w:sz w:val="22"/>
          <w:szCs w:val="22"/>
        </w:rPr>
        <w:t>k</w:t>
      </w:r>
      <w:r w:rsidRPr="00FD4375">
        <w:rPr>
          <w:rFonts w:ascii="Arial" w:eastAsia="Arial" w:hAnsi="Arial" w:cs="Arial"/>
          <w:sz w:val="22"/>
          <w:szCs w:val="22"/>
        </w:rPr>
        <w:t xml:space="preserve"> </w:t>
      </w:r>
      <w:r w:rsidRPr="00BD17CA">
        <w:rPr>
          <w:rFonts w:ascii="Arial" w:eastAsia="Arial" w:hAnsi="Arial" w:cs="Arial"/>
          <w:sz w:val="22"/>
          <w:szCs w:val="22"/>
        </w:rPr>
        <w:t>th</w:t>
      </w:r>
      <w:r w:rsidRPr="00FD4375">
        <w:rPr>
          <w:rFonts w:ascii="Arial" w:eastAsia="Arial" w:hAnsi="Arial" w:cs="Arial"/>
          <w:sz w:val="22"/>
          <w:szCs w:val="22"/>
        </w:rPr>
        <w:t>a</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il</w:t>
      </w:r>
      <w:r w:rsidRPr="00BD17CA">
        <w:rPr>
          <w:rFonts w:ascii="Arial" w:eastAsia="Arial" w:hAnsi="Arial" w:cs="Arial"/>
          <w:sz w:val="22"/>
          <w:szCs w:val="22"/>
        </w:rPr>
        <w:t>l</w:t>
      </w:r>
      <w:r w:rsidRPr="00FD4375">
        <w:rPr>
          <w:rFonts w:ascii="Arial" w:eastAsia="Arial" w:hAnsi="Arial" w:cs="Arial"/>
          <w:sz w:val="22"/>
          <w:szCs w:val="22"/>
        </w:rPr>
        <w:t xml:space="preserve"> </w:t>
      </w:r>
      <w:r w:rsidRPr="00BD17CA">
        <w:rPr>
          <w:rFonts w:ascii="Arial" w:eastAsia="Arial" w:hAnsi="Arial" w:cs="Arial"/>
          <w:sz w:val="22"/>
          <w:szCs w:val="22"/>
        </w:rPr>
        <w:t>n</w:t>
      </w:r>
      <w:r w:rsidRPr="00FD4375">
        <w:rPr>
          <w:rFonts w:ascii="Arial" w:eastAsia="Arial" w:hAnsi="Arial" w:cs="Arial"/>
          <w:sz w:val="22"/>
          <w:szCs w:val="22"/>
        </w:rPr>
        <w:t>o</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be</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bl</w:t>
      </w:r>
      <w:r w:rsidRPr="00BD17CA">
        <w:rPr>
          <w:rFonts w:ascii="Arial" w:eastAsia="Arial" w:hAnsi="Arial" w:cs="Arial"/>
          <w:sz w:val="22"/>
          <w:szCs w:val="22"/>
        </w:rPr>
        <w:t>e</w:t>
      </w:r>
      <w:r w:rsidRPr="00FD4375">
        <w:rPr>
          <w:rFonts w:ascii="Arial" w:eastAsia="Arial" w:hAnsi="Arial" w:cs="Arial"/>
          <w:sz w:val="22"/>
          <w:szCs w:val="22"/>
        </w:rPr>
        <w:t xml:space="preserve"> t</w:t>
      </w:r>
      <w:r w:rsidRPr="00BD17CA">
        <w:rPr>
          <w:rFonts w:ascii="Arial" w:eastAsia="Arial" w:hAnsi="Arial" w:cs="Arial"/>
          <w:sz w:val="22"/>
          <w:szCs w:val="22"/>
        </w:rPr>
        <w:t>o</w:t>
      </w:r>
      <w:r w:rsidRPr="00FD4375">
        <w:rPr>
          <w:rFonts w:ascii="Arial" w:eastAsia="Arial" w:hAnsi="Arial" w:cs="Arial"/>
          <w:sz w:val="22"/>
          <w:szCs w:val="22"/>
        </w:rPr>
        <w:t xml:space="preserve"> m</w:t>
      </w:r>
      <w:r w:rsidRPr="00BD17CA">
        <w:rPr>
          <w:rFonts w:ascii="Arial" w:eastAsia="Arial" w:hAnsi="Arial" w:cs="Arial"/>
          <w:sz w:val="22"/>
          <w:szCs w:val="22"/>
        </w:rPr>
        <w:t>e</w:t>
      </w:r>
      <w:r w:rsidRPr="00FD4375">
        <w:rPr>
          <w:rFonts w:ascii="Arial" w:eastAsia="Arial" w:hAnsi="Arial" w:cs="Arial"/>
          <w:sz w:val="22"/>
          <w:szCs w:val="22"/>
        </w:rPr>
        <w:t>e</w:t>
      </w:r>
      <w:r w:rsidRPr="00BD17CA">
        <w:rPr>
          <w:rFonts w:ascii="Arial" w:eastAsia="Arial" w:hAnsi="Arial" w:cs="Arial"/>
          <w:sz w:val="22"/>
          <w:szCs w:val="22"/>
        </w:rPr>
        <w:t>t</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fi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cia</w:t>
      </w:r>
      <w:r w:rsidRPr="00BD17CA">
        <w:rPr>
          <w:rFonts w:ascii="Arial" w:eastAsia="Arial" w:hAnsi="Arial" w:cs="Arial"/>
          <w:sz w:val="22"/>
          <w:szCs w:val="22"/>
        </w:rPr>
        <w:t>l</w:t>
      </w:r>
      <w:r w:rsidRPr="00FD4375">
        <w:rPr>
          <w:rFonts w:ascii="Arial" w:eastAsia="Arial" w:hAnsi="Arial" w:cs="Arial"/>
          <w:sz w:val="22"/>
          <w:szCs w:val="22"/>
        </w:rPr>
        <w:t xml:space="preserve"> </w:t>
      </w:r>
      <w:r w:rsidRPr="00BD17CA">
        <w:rPr>
          <w:rFonts w:ascii="Arial" w:eastAsia="Arial" w:hAnsi="Arial" w:cs="Arial"/>
          <w:sz w:val="22"/>
          <w:szCs w:val="22"/>
        </w:rPr>
        <w:t>o</w:t>
      </w:r>
      <w:r w:rsidRPr="00FD4375">
        <w:rPr>
          <w:rFonts w:ascii="Arial" w:eastAsia="Arial" w:hAnsi="Arial" w:cs="Arial"/>
          <w:sz w:val="22"/>
          <w:szCs w:val="22"/>
        </w:rPr>
        <w:t>bli</w:t>
      </w:r>
      <w:r w:rsidRPr="00BD17CA">
        <w:rPr>
          <w:rFonts w:ascii="Arial" w:eastAsia="Arial" w:hAnsi="Arial" w:cs="Arial"/>
          <w:sz w:val="22"/>
          <w:szCs w:val="22"/>
        </w:rPr>
        <w:t>g</w:t>
      </w:r>
      <w:r w:rsidRPr="00FD4375">
        <w:rPr>
          <w:rFonts w:ascii="Arial" w:eastAsia="Arial" w:hAnsi="Arial" w:cs="Arial"/>
          <w:sz w:val="22"/>
          <w:szCs w:val="22"/>
        </w:rPr>
        <w:t>ati</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s as</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he</w:t>
      </w:r>
      <w:r w:rsidRPr="00BD17CA">
        <w:rPr>
          <w:rFonts w:ascii="Arial" w:eastAsia="Arial" w:hAnsi="Arial" w:cs="Arial"/>
          <w:sz w:val="22"/>
          <w:szCs w:val="22"/>
        </w:rPr>
        <w:t>y</w:t>
      </w:r>
      <w:r w:rsidRPr="00FD4375">
        <w:rPr>
          <w:rFonts w:ascii="Arial" w:eastAsia="Arial" w:hAnsi="Arial" w:cs="Arial"/>
          <w:sz w:val="22"/>
          <w:szCs w:val="22"/>
        </w:rPr>
        <w:t xml:space="preserve"> f</w:t>
      </w:r>
      <w:r w:rsidRPr="00BD17CA">
        <w:rPr>
          <w:rFonts w:ascii="Arial" w:eastAsia="Arial" w:hAnsi="Arial" w:cs="Arial"/>
          <w:sz w:val="22"/>
          <w:szCs w:val="22"/>
        </w:rPr>
        <w:t>a</w:t>
      </w:r>
      <w:r w:rsidRPr="00FD4375">
        <w:rPr>
          <w:rFonts w:ascii="Arial" w:eastAsia="Arial" w:hAnsi="Arial" w:cs="Arial"/>
          <w:sz w:val="22"/>
          <w:szCs w:val="22"/>
        </w:rPr>
        <w:t>l</w:t>
      </w:r>
      <w:r w:rsidRPr="00BD17CA">
        <w:rPr>
          <w:rFonts w:ascii="Arial" w:eastAsia="Arial" w:hAnsi="Arial" w:cs="Arial"/>
          <w:sz w:val="22"/>
          <w:szCs w:val="22"/>
        </w:rPr>
        <w:t>l</w:t>
      </w:r>
      <w:r w:rsidRPr="00FD4375">
        <w:rPr>
          <w:rFonts w:ascii="Arial" w:eastAsia="Arial" w:hAnsi="Arial" w:cs="Arial"/>
          <w:sz w:val="22"/>
          <w:szCs w:val="22"/>
        </w:rPr>
        <w:t xml:space="preserve"> du</w:t>
      </w:r>
      <w:r w:rsidRPr="00BD17CA">
        <w:rPr>
          <w:rFonts w:ascii="Arial" w:eastAsia="Arial" w:hAnsi="Arial" w:cs="Arial"/>
          <w:sz w:val="22"/>
          <w:szCs w:val="22"/>
        </w:rPr>
        <w:t xml:space="preserve">e. </w:t>
      </w:r>
      <w:r w:rsidRPr="00FD4375">
        <w:rPr>
          <w:rFonts w:ascii="Arial" w:eastAsia="Arial" w:hAnsi="Arial" w:cs="Arial"/>
          <w:sz w:val="22"/>
          <w:szCs w:val="22"/>
        </w:rPr>
        <w:t>T</w:t>
      </w:r>
      <w:r w:rsidRPr="00BD17CA">
        <w:rPr>
          <w:rFonts w:ascii="Arial" w:eastAsia="Arial" w:hAnsi="Arial" w:cs="Arial"/>
          <w:sz w:val="22"/>
          <w:szCs w:val="22"/>
        </w:rPr>
        <w:t>he</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e</w:t>
      </w:r>
      <w:r w:rsidRPr="00BD17CA">
        <w:rPr>
          <w:rFonts w:ascii="Arial" w:eastAsia="Arial" w:hAnsi="Arial" w:cs="Arial"/>
          <w:sz w:val="22"/>
          <w:szCs w:val="22"/>
        </w:rPr>
        <w:t>n</w:t>
      </w:r>
      <w:r w:rsidRPr="00FD4375">
        <w:rPr>
          <w:rFonts w:ascii="Arial" w:eastAsia="Arial" w:hAnsi="Arial" w:cs="Arial"/>
          <w:sz w:val="22"/>
          <w:szCs w:val="22"/>
        </w:rPr>
        <w:t>si</w:t>
      </w:r>
      <w:r w:rsidRPr="00BD17CA">
        <w:rPr>
          <w:rFonts w:ascii="Arial" w:eastAsia="Arial" w:hAnsi="Arial" w:cs="Arial"/>
          <w:sz w:val="22"/>
          <w:szCs w:val="22"/>
        </w:rPr>
        <w:t>on</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ere</w:t>
      </w:r>
      <w:r w:rsidRPr="00FD4375">
        <w:rPr>
          <w:rFonts w:ascii="Arial" w:eastAsia="Arial" w:hAnsi="Arial" w:cs="Arial"/>
          <w:sz w:val="22"/>
          <w:szCs w:val="22"/>
        </w:rPr>
        <w:t>f</w:t>
      </w:r>
      <w:r w:rsidRPr="00BD17CA">
        <w:rPr>
          <w:rFonts w:ascii="Arial" w:eastAsia="Arial" w:hAnsi="Arial" w:cs="Arial"/>
          <w:sz w:val="22"/>
          <w:szCs w:val="22"/>
        </w:rPr>
        <w:t>ore</w:t>
      </w:r>
      <w:r w:rsidRPr="00FD4375">
        <w:rPr>
          <w:rFonts w:ascii="Arial" w:eastAsia="Arial" w:hAnsi="Arial" w:cs="Arial"/>
          <w:sz w:val="22"/>
          <w:szCs w:val="22"/>
        </w:rPr>
        <w:t xml:space="preserve"> </w:t>
      </w:r>
      <w:r w:rsidRPr="00BD17CA">
        <w:rPr>
          <w:rFonts w:ascii="Arial" w:eastAsia="Arial" w:hAnsi="Arial" w:cs="Arial"/>
          <w:sz w:val="22"/>
          <w:szCs w:val="22"/>
        </w:rPr>
        <w:t>ta</w:t>
      </w:r>
      <w:r w:rsidRPr="00FD4375">
        <w:rPr>
          <w:rFonts w:ascii="Arial" w:eastAsia="Arial" w:hAnsi="Arial" w:cs="Arial"/>
          <w:sz w:val="22"/>
          <w:szCs w:val="22"/>
        </w:rPr>
        <w:t>k</w:t>
      </w:r>
      <w:r w:rsidRPr="00BD17CA">
        <w:rPr>
          <w:rFonts w:ascii="Arial" w:eastAsia="Arial" w:hAnsi="Arial" w:cs="Arial"/>
          <w:sz w:val="22"/>
          <w:szCs w:val="22"/>
        </w:rPr>
        <w:t>es</w:t>
      </w:r>
      <w:r w:rsidRPr="00FD4375">
        <w:rPr>
          <w:rFonts w:ascii="Arial" w:eastAsia="Arial" w:hAnsi="Arial" w:cs="Arial"/>
          <w:sz w:val="22"/>
          <w:szCs w:val="22"/>
        </w:rPr>
        <w:t xml:space="preserve"> s</w:t>
      </w:r>
      <w:r w:rsidRPr="00BD17CA">
        <w:rPr>
          <w:rFonts w:ascii="Arial" w:eastAsia="Arial" w:hAnsi="Arial" w:cs="Arial"/>
          <w:sz w:val="22"/>
          <w:szCs w:val="22"/>
        </w:rPr>
        <w:t>te</w:t>
      </w:r>
      <w:r w:rsidRPr="00FD4375">
        <w:rPr>
          <w:rFonts w:ascii="Arial" w:eastAsia="Arial" w:hAnsi="Arial" w:cs="Arial"/>
          <w:sz w:val="22"/>
          <w:szCs w:val="22"/>
        </w:rPr>
        <w:t>p</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w:t>
      </w:r>
      <w:r w:rsidRPr="00BD17CA">
        <w:rPr>
          <w:rFonts w:ascii="Arial" w:eastAsia="Arial" w:hAnsi="Arial" w:cs="Arial"/>
          <w:sz w:val="22"/>
          <w:szCs w:val="22"/>
        </w:rPr>
        <w:t>e</w:t>
      </w:r>
      <w:r w:rsidRPr="00FD4375">
        <w:rPr>
          <w:rFonts w:ascii="Arial" w:eastAsia="Arial" w:hAnsi="Arial" w:cs="Arial"/>
          <w:sz w:val="22"/>
          <w:szCs w:val="22"/>
        </w:rPr>
        <w:t>ns</w:t>
      </w:r>
      <w:r w:rsidRPr="00BD17CA">
        <w:rPr>
          <w:rFonts w:ascii="Arial" w:eastAsia="Arial" w:hAnsi="Arial" w:cs="Arial"/>
          <w:sz w:val="22"/>
          <w:szCs w:val="22"/>
        </w:rPr>
        <w:t>ure</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at</w:t>
      </w:r>
      <w:r w:rsidRPr="00FD4375">
        <w:rPr>
          <w:rFonts w:ascii="Arial" w:eastAsia="Arial" w:hAnsi="Arial" w:cs="Arial"/>
          <w:sz w:val="22"/>
          <w:szCs w:val="22"/>
        </w:rPr>
        <w:t xml:space="preserve"> i</w:t>
      </w:r>
      <w:r w:rsidRPr="00BD17CA">
        <w:rPr>
          <w:rFonts w:ascii="Arial" w:eastAsia="Arial" w:hAnsi="Arial" w:cs="Arial"/>
          <w:sz w:val="22"/>
          <w:szCs w:val="22"/>
        </w:rPr>
        <w:t>t</w:t>
      </w:r>
      <w:r w:rsidRPr="00FD4375">
        <w:rPr>
          <w:rFonts w:ascii="Arial" w:eastAsia="Arial" w:hAnsi="Arial" w:cs="Arial"/>
          <w:sz w:val="22"/>
          <w:szCs w:val="22"/>
        </w:rPr>
        <w:t xml:space="preserve"> alway</w:t>
      </w:r>
      <w:r w:rsidRPr="00BD17CA">
        <w:rPr>
          <w:rFonts w:ascii="Arial" w:eastAsia="Arial" w:hAnsi="Arial" w:cs="Arial"/>
          <w:sz w:val="22"/>
          <w:szCs w:val="22"/>
        </w:rPr>
        <w:t>s</w:t>
      </w:r>
      <w:r w:rsidRPr="00FD4375">
        <w:rPr>
          <w:rFonts w:ascii="Arial" w:eastAsia="Arial" w:hAnsi="Arial" w:cs="Arial"/>
          <w:sz w:val="22"/>
          <w:szCs w:val="22"/>
        </w:rPr>
        <w:t xml:space="preserve"> h</w:t>
      </w:r>
      <w:r w:rsidRPr="00BD17CA">
        <w:rPr>
          <w:rFonts w:ascii="Arial" w:eastAsia="Arial" w:hAnsi="Arial" w:cs="Arial"/>
          <w:sz w:val="22"/>
          <w:szCs w:val="22"/>
        </w:rPr>
        <w:t>as</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d</w:t>
      </w:r>
      <w:r w:rsidRPr="00BD17CA">
        <w:rPr>
          <w:rFonts w:ascii="Arial" w:eastAsia="Arial" w:hAnsi="Arial" w:cs="Arial"/>
          <w:sz w:val="22"/>
          <w:szCs w:val="22"/>
        </w:rPr>
        <w:t>e</w:t>
      </w:r>
      <w:r w:rsidRPr="00FD4375">
        <w:rPr>
          <w:rFonts w:ascii="Arial" w:eastAsia="Arial" w:hAnsi="Arial" w:cs="Arial"/>
          <w:sz w:val="22"/>
          <w:szCs w:val="22"/>
        </w:rPr>
        <w:t>qu</w:t>
      </w:r>
      <w:r w:rsidRPr="00BD17CA">
        <w:rPr>
          <w:rFonts w:ascii="Arial" w:eastAsia="Arial" w:hAnsi="Arial" w:cs="Arial"/>
          <w:sz w:val="22"/>
          <w:szCs w:val="22"/>
        </w:rPr>
        <w:t>ate</w:t>
      </w:r>
      <w:r w:rsidRPr="00FD4375">
        <w:rPr>
          <w:rFonts w:ascii="Arial" w:eastAsia="Arial" w:hAnsi="Arial" w:cs="Arial"/>
          <w:sz w:val="22"/>
          <w:szCs w:val="22"/>
        </w:rPr>
        <w:t xml:space="preserve"> c</w:t>
      </w:r>
      <w:r w:rsidRPr="00BD17CA">
        <w:rPr>
          <w:rFonts w:ascii="Arial" w:eastAsia="Arial" w:hAnsi="Arial" w:cs="Arial"/>
          <w:sz w:val="22"/>
          <w:szCs w:val="22"/>
        </w:rPr>
        <w:t>a</w:t>
      </w:r>
      <w:r w:rsidRPr="00FD4375">
        <w:rPr>
          <w:rFonts w:ascii="Arial" w:eastAsia="Arial" w:hAnsi="Arial" w:cs="Arial"/>
          <w:sz w:val="22"/>
          <w:szCs w:val="22"/>
        </w:rPr>
        <w:t>s</w:t>
      </w:r>
      <w:r w:rsidRPr="00BD17CA">
        <w:rPr>
          <w:rFonts w:ascii="Arial" w:eastAsia="Arial" w:hAnsi="Arial" w:cs="Arial"/>
          <w:sz w:val="22"/>
          <w:szCs w:val="22"/>
        </w:rPr>
        <w:t>h</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o</w:t>
      </w:r>
      <w:r w:rsidRPr="00FD4375">
        <w:rPr>
          <w:rFonts w:ascii="Arial" w:eastAsia="Arial" w:hAnsi="Arial" w:cs="Arial"/>
          <w:sz w:val="22"/>
          <w:szCs w:val="22"/>
        </w:rPr>
        <w:t>urc</w:t>
      </w:r>
      <w:r w:rsidRPr="00BD17CA">
        <w:rPr>
          <w:rFonts w:ascii="Arial" w:eastAsia="Arial" w:hAnsi="Arial" w:cs="Arial"/>
          <w:sz w:val="22"/>
          <w:szCs w:val="22"/>
        </w:rPr>
        <w:t xml:space="preserve">es </w:t>
      </w:r>
      <w:r w:rsidRPr="00FD4375">
        <w:rPr>
          <w:rFonts w:ascii="Arial" w:eastAsia="Arial" w:hAnsi="Arial" w:cs="Arial"/>
          <w:sz w:val="22"/>
          <w:szCs w:val="22"/>
        </w:rPr>
        <w:t>t</w:t>
      </w:r>
      <w:r w:rsidRPr="00BD17CA">
        <w:rPr>
          <w:rFonts w:ascii="Arial" w:eastAsia="Arial" w:hAnsi="Arial" w:cs="Arial"/>
          <w:sz w:val="22"/>
          <w:szCs w:val="22"/>
        </w:rPr>
        <w:t>o</w:t>
      </w:r>
      <w:r w:rsidRPr="00FD4375">
        <w:rPr>
          <w:rFonts w:ascii="Arial" w:eastAsia="Arial" w:hAnsi="Arial" w:cs="Arial"/>
          <w:sz w:val="22"/>
          <w:szCs w:val="22"/>
        </w:rPr>
        <w:t xml:space="preserve"> m</w:t>
      </w:r>
      <w:r w:rsidRPr="00BD17CA">
        <w:rPr>
          <w:rFonts w:ascii="Arial" w:eastAsia="Arial" w:hAnsi="Arial" w:cs="Arial"/>
          <w:sz w:val="22"/>
          <w:szCs w:val="22"/>
        </w:rPr>
        <w:t>e</w:t>
      </w:r>
      <w:r w:rsidRPr="00FD4375">
        <w:rPr>
          <w:rFonts w:ascii="Arial" w:eastAsia="Arial" w:hAnsi="Arial" w:cs="Arial"/>
          <w:sz w:val="22"/>
          <w:szCs w:val="22"/>
        </w:rPr>
        <w:t>e</w:t>
      </w:r>
      <w:r w:rsidRPr="00BD17CA">
        <w:rPr>
          <w:rFonts w:ascii="Arial" w:eastAsia="Arial" w:hAnsi="Arial" w:cs="Arial"/>
          <w:sz w:val="22"/>
          <w:szCs w:val="22"/>
        </w:rPr>
        <w:t>t</w:t>
      </w:r>
      <w:r w:rsidRPr="00FD4375">
        <w:rPr>
          <w:rFonts w:ascii="Arial" w:eastAsia="Arial" w:hAnsi="Arial" w:cs="Arial"/>
          <w:sz w:val="22"/>
          <w:szCs w:val="22"/>
        </w:rPr>
        <w:t xml:space="preserve"> it</w:t>
      </w:r>
      <w:r w:rsidRPr="00BD17CA">
        <w:rPr>
          <w:rFonts w:ascii="Arial" w:eastAsia="Arial" w:hAnsi="Arial" w:cs="Arial"/>
          <w:sz w:val="22"/>
          <w:szCs w:val="22"/>
        </w:rPr>
        <w:t xml:space="preserve">s </w:t>
      </w:r>
      <w:r w:rsidRPr="00FD4375">
        <w:rPr>
          <w:rFonts w:ascii="Arial" w:eastAsia="Arial" w:hAnsi="Arial" w:cs="Arial"/>
          <w:sz w:val="22"/>
          <w:szCs w:val="22"/>
        </w:rPr>
        <w:t>commitm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s</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d's</w:t>
      </w:r>
      <w:r w:rsidRPr="00FD4375">
        <w:rPr>
          <w:rFonts w:ascii="Arial" w:eastAsia="Arial" w:hAnsi="Arial" w:cs="Arial"/>
          <w:sz w:val="22"/>
          <w:szCs w:val="22"/>
        </w:rPr>
        <w:t xml:space="preserve"> c</w:t>
      </w:r>
      <w:r w:rsidRPr="00BD17CA">
        <w:rPr>
          <w:rFonts w:ascii="Arial" w:eastAsia="Arial" w:hAnsi="Arial" w:cs="Arial"/>
          <w:sz w:val="22"/>
          <w:szCs w:val="22"/>
        </w:rPr>
        <w:t>a</w:t>
      </w:r>
      <w:r w:rsidRPr="00FD4375">
        <w:rPr>
          <w:rFonts w:ascii="Arial" w:eastAsia="Arial" w:hAnsi="Arial" w:cs="Arial"/>
          <w:sz w:val="22"/>
          <w:szCs w:val="22"/>
        </w:rPr>
        <w:t>s</w:t>
      </w:r>
      <w:r w:rsidRPr="00BD17CA">
        <w:rPr>
          <w:rFonts w:ascii="Arial" w:eastAsia="Arial" w:hAnsi="Arial" w:cs="Arial"/>
          <w:sz w:val="22"/>
          <w:szCs w:val="22"/>
        </w:rPr>
        <w:t>h</w:t>
      </w:r>
      <w:r w:rsidRPr="00FD4375">
        <w:rPr>
          <w:rFonts w:ascii="Arial" w:eastAsia="Arial" w:hAnsi="Arial" w:cs="Arial"/>
          <w:sz w:val="22"/>
          <w:szCs w:val="22"/>
        </w:rPr>
        <w:t xml:space="preserve"> </w:t>
      </w:r>
      <w:r w:rsidRPr="00BD17CA">
        <w:rPr>
          <w:rFonts w:ascii="Arial" w:eastAsia="Arial" w:hAnsi="Arial" w:cs="Arial"/>
          <w:sz w:val="22"/>
          <w:szCs w:val="22"/>
        </w:rPr>
        <w:t>h</w:t>
      </w:r>
      <w:r w:rsidRPr="00FD4375">
        <w:rPr>
          <w:rFonts w:ascii="Arial" w:eastAsia="Arial" w:hAnsi="Arial" w:cs="Arial"/>
          <w:sz w:val="22"/>
          <w:szCs w:val="22"/>
        </w:rPr>
        <w:t>ol</w:t>
      </w:r>
      <w:r w:rsidRPr="00BD17CA">
        <w:rPr>
          <w:rFonts w:ascii="Arial" w:eastAsia="Arial" w:hAnsi="Arial" w:cs="Arial"/>
          <w:sz w:val="22"/>
          <w:szCs w:val="22"/>
        </w:rPr>
        <w:t>d</w:t>
      </w:r>
      <w:r w:rsidRPr="00FD4375">
        <w:rPr>
          <w:rFonts w:ascii="Arial" w:eastAsia="Arial" w:hAnsi="Arial" w:cs="Arial"/>
          <w:sz w:val="22"/>
          <w:szCs w:val="22"/>
        </w:rPr>
        <w:t>i</w:t>
      </w:r>
      <w:r w:rsidRPr="00BD17CA">
        <w:rPr>
          <w:rFonts w:ascii="Arial" w:eastAsia="Arial" w:hAnsi="Arial" w:cs="Arial"/>
          <w:sz w:val="22"/>
          <w:szCs w:val="22"/>
        </w:rPr>
        <w:t>ng</w:t>
      </w:r>
      <w:r w:rsidRPr="00FD4375">
        <w:rPr>
          <w:rFonts w:ascii="Arial" w:eastAsia="Arial" w:hAnsi="Arial" w:cs="Arial"/>
          <w:sz w:val="22"/>
          <w:szCs w:val="22"/>
        </w:rPr>
        <w:t xml:space="preserve"> u</w:t>
      </w:r>
      <w:r w:rsidRPr="00BD17CA">
        <w:rPr>
          <w:rFonts w:ascii="Arial" w:eastAsia="Arial" w:hAnsi="Arial" w:cs="Arial"/>
          <w:sz w:val="22"/>
          <w:szCs w:val="22"/>
        </w:rPr>
        <w:t>n</w:t>
      </w:r>
      <w:r w:rsidRPr="00FD4375">
        <w:rPr>
          <w:rFonts w:ascii="Arial" w:eastAsia="Arial" w:hAnsi="Arial" w:cs="Arial"/>
          <w:sz w:val="22"/>
          <w:szCs w:val="22"/>
        </w:rPr>
        <w:t>d</w:t>
      </w:r>
      <w:r w:rsidRPr="00BD17CA">
        <w:rPr>
          <w:rFonts w:ascii="Arial" w:eastAsia="Arial" w:hAnsi="Arial" w:cs="Arial"/>
          <w:sz w:val="22"/>
          <w:szCs w:val="22"/>
        </w:rPr>
        <w:t>er</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tre</w:t>
      </w:r>
      <w:r w:rsidRPr="00FD4375">
        <w:rPr>
          <w:rFonts w:ascii="Arial" w:eastAsia="Arial" w:hAnsi="Arial" w:cs="Arial"/>
          <w:sz w:val="22"/>
          <w:szCs w:val="22"/>
        </w:rPr>
        <w:t>asur</w:t>
      </w:r>
      <w:r w:rsidRPr="00BD17CA">
        <w:rPr>
          <w:rFonts w:ascii="Arial" w:eastAsia="Arial" w:hAnsi="Arial" w:cs="Arial"/>
          <w:sz w:val="22"/>
          <w:szCs w:val="22"/>
        </w:rPr>
        <w:t>y</w:t>
      </w:r>
      <w:r w:rsidRPr="00FD4375">
        <w:rPr>
          <w:rFonts w:ascii="Arial" w:eastAsia="Arial" w:hAnsi="Arial" w:cs="Arial"/>
          <w:sz w:val="22"/>
          <w:szCs w:val="22"/>
        </w:rPr>
        <w:t xml:space="preserve"> m</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a</w:t>
      </w:r>
      <w:r w:rsidRPr="00FD4375">
        <w:rPr>
          <w:rFonts w:ascii="Arial" w:eastAsia="Arial" w:hAnsi="Arial" w:cs="Arial"/>
          <w:sz w:val="22"/>
          <w:szCs w:val="22"/>
        </w:rPr>
        <w:t>g</w:t>
      </w:r>
      <w:r w:rsidRPr="00BD17CA">
        <w:rPr>
          <w:rFonts w:ascii="Arial" w:eastAsia="Arial" w:hAnsi="Arial" w:cs="Arial"/>
          <w:sz w:val="22"/>
          <w:szCs w:val="22"/>
        </w:rPr>
        <w:t>e</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w:t>
      </w:r>
      <w:r w:rsidRPr="00BD17CA">
        <w:rPr>
          <w:rFonts w:ascii="Arial" w:eastAsia="Arial" w:hAnsi="Arial" w:cs="Arial"/>
          <w:sz w:val="22"/>
          <w:szCs w:val="22"/>
        </w:rPr>
        <w:t>ar</w:t>
      </w:r>
      <w:r w:rsidRPr="00FD4375">
        <w:rPr>
          <w:rFonts w:ascii="Arial" w:eastAsia="Arial" w:hAnsi="Arial" w:cs="Arial"/>
          <w:sz w:val="22"/>
          <w:szCs w:val="22"/>
        </w:rPr>
        <w:t>r</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g</w:t>
      </w:r>
      <w:r w:rsidRPr="00FD4375">
        <w:rPr>
          <w:rFonts w:ascii="Arial" w:eastAsia="Arial" w:hAnsi="Arial" w:cs="Arial"/>
          <w:sz w:val="22"/>
          <w:szCs w:val="22"/>
        </w:rPr>
        <w:t>em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as</w:t>
      </w:r>
      <w:r w:rsidRPr="00FD4375">
        <w:rPr>
          <w:rFonts w:ascii="Arial" w:eastAsia="Arial" w:hAnsi="Arial" w:cs="Arial"/>
          <w:sz w:val="22"/>
          <w:szCs w:val="22"/>
        </w:rPr>
        <w:t xml:space="preserve"> </w:t>
      </w:r>
      <w:r w:rsidRPr="00BD17CA">
        <w:rPr>
          <w:rFonts w:ascii="Arial" w:eastAsia="Arial" w:hAnsi="Arial" w:cs="Arial"/>
          <w:sz w:val="22"/>
          <w:szCs w:val="22"/>
        </w:rPr>
        <w:t>at</w:t>
      </w:r>
      <w:r w:rsidRPr="00FD4375">
        <w:rPr>
          <w:rFonts w:ascii="Arial" w:eastAsia="Arial" w:hAnsi="Arial" w:cs="Arial"/>
          <w:sz w:val="22"/>
          <w:szCs w:val="22"/>
        </w:rPr>
        <w:t xml:space="preserve"> </w:t>
      </w:r>
      <w:r w:rsidRPr="00BD17CA">
        <w:rPr>
          <w:rFonts w:ascii="Arial" w:eastAsia="Arial" w:hAnsi="Arial" w:cs="Arial"/>
          <w:sz w:val="22"/>
          <w:szCs w:val="22"/>
        </w:rPr>
        <w:t>31</w:t>
      </w:r>
      <w:r w:rsidRPr="00FD4375">
        <w:rPr>
          <w:rFonts w:ascii="Arial" w:eastAsia="Arial" w:hAnsi="Arial" w:cs="Arial"/>
          <w:sz w:val="22"/>
          <w:szCs w:val="22"/>
        </w:rPr>
        <w:t xml:space="preserve"> </w:t>
      </w:r>
      <w:r w:rsidRPr="00BD17CA">
        <w:rPr>
          <w:rFonts w:ascii="Arial" w:eastAsia="Arial" w:hAnsi="Arial" w:cs="Arial"/>
          <w:sz w:val="22"/>
          <w:szCs w:val="22"/>
        </w:rPr>
        <w:t>M</w:t>
      </w:r>
      <w:r w:rsidRPr="00FD4375">
        <w:rPr>
          <w:rFonts w:ascii="Arial" w:eastAsia="Arial" w:hAnsi="Arial" w:cs="Arial"/>
          <w:sz w:val="22"/>
          <w:szCs w:val="22"/>
        </w:rPr>
        <w:t>arc</w:t>
      </w:r>
      <w:r w:rsidRPr="00BD17CA">
        <w:rPr>
          <w:rFonts w:ascii="Arial" w:eastAsia="Arial" w:hAnsi="Arial" w:cs="Arial"/>
          <w:sz w:val="22"/>
          <w:szCs w:val="22"/>
        </w:rPr>
        <w:t>h</w:t>
      </w:r>
      <w:r w:rsidRPr="00FD4375">
        <w:rPr>
          <w:rFonts w:ascii="Arial" w:eastAsia="Arial" w:hAnsi="Arial" w:cs="Arial"/>
          <w:sz w:val="22"/>
          <w:szCs w:val="22"/>
        </w:rPr>
        <w:t xml:space="preserve"> </w:t>
      </w:r>
      <w:r w:rsidR="006F6496" w:rsidRPr="00BD17CA">
        <w:rPr>
          <w:rFonts w:ascii="Arial" w:eastAsia="Arial" w:hAnsi="Arial" w:cs="Arial"/>
          <w:sz w:val="22"/>
          <w:szCs w:val="22"/>
        </w:rPr>
        <w:t>2</w:t>
      </w:r>
      <w:r w:rsidR="006F6496" w:rsidRPr="00FD4375">
        <w:rPr>
          <w:rFonts w:ascii="Arial" w:eastAsia="Arial" w:hAnsi="Arial" w:cs="Arial"/>
          <w:sz w:val="22"/>
          <w:szCs w:val="22"/>
        </w:rPr>
        <w:t>0</w:t>
      </w:r>
      <w:r w:rsidR="006F6496">
        <w:rPr>
          <w:rFonts w:ascii="Arial" w:eastAsia="Arial" w:hAnsi="Arial" w:cs="Arial"/>
          <w:sz w:val="22"/>
          <w:szCs w:val="22"/>
        </w:rPr>
        <w:t>20</w:t>
      </w:r>
      <w:r w:rsidR="006F6496" w:rsidRPr="00FD4375">
        <w:rPr>
          <w:rFonts w:ascii="Arial" w:eastAsia="Arial" w:hAnsi="Arial" w:cs="Arial"/>
          <w:sz w:val="22"/>
          <w:szCs w:val="22"/>
        </w:rPr>
        <w:t xml:space="preserve"> </w:t>
      </w:r>
      <w:r w:rsidRPr="00BD17CA">
        <w:rPr>
          <w:rFonts w:ascii="Arial" w:eastAsia="Arial" w:hAnsi="Arial" w:cs="Arial"/>
          <w:sz w:val="22"/>
          <w:szCs w:val="22"/>
        </w:rPr>
        <w:t>was</w:t>
      </w:r>
      <w:r w:rsidR="00FD4375">
        <w:rPr>
          <w:rFonts w:ascii="Arial" w:eastAsia="Arial" w:hAnsi="Arial" w:cs="Arial"/>
          <w:sz w:val="22"/>
          <w:szCs w:val="22"/>
        </w:rPr>
        <w:t xml:space="preserve"> </w:t>
      </w:r>
      <w:commentRangeStart w:id="11"/>
      <w:r w:rsidRPr="00BD17CA">
        <w:rPr>
          <w:rFonts w:ascii="Arial" w:eastAsia="Arial" w:hAnsi="Arial" w:cs="Arial"/>
          <w:sz w:val="22"/>
          <w:szCs w:val="22"/>
        </w:rPr>
        <w:t>£</w:t>
      </w:r>
      <w:r w:rsidR="00EC45C6">
        <w:rPr>
          <w:rFonts w:ascii="Arial" w:eastAsia="Arial" w:hAnsi="Arial" w:cs="Arial"/>
          <w:sz w:val="22"/>
          <w:szCs w:val="22"/>
        </w:rPr>
        <w:t>5</w:t>
      </w:r>
      <w:r w:rsidR="006F6496">
        <w:rPr>
          <w:rFonts w:ascii="Arial" w:eastAsia="Arial" w:hAnsi="Arial" w:cs="Arial"/>
          <w:sz w:val="22"/>
          <w:szCs w:val="22"/>
        </w:rPr>
        <w:t>.</w:t>
      </w:r>
      <w:r w:rsidR="00EC45C6">
        <w:rPr>
          <w:rFonts w:ascii="Arial" w:eastAsia="Arial" w:hAnsi="Arial" w:cs="Arial"/>
          <w:sz w:val="22"/>
          <w:szCs w:val="22"/>
        </w:rPr>
        <w:t>9</w:t>
      </w:r>
      <w:r w:rsidRPr="00BD17CA">
        <w:rPr>
          <w:rFonts w:ascii="Arial" w:eastAsia="Arial" w:hAnsi="Arial" w:cs="Arial"/>
          <w:sz w:val="22"/>
          <w:szCs w:val="22"/>
        </w:rPr>
        <w:t>m</w:t>
      </w:r>
      <w:r w:rsidRPr="00FD4375">
        <w:rPr>
          <w:rFonts w:ascii="Arial" w:eastAsia="Arial" w:hAnsi="Arial" w:cs="Arial"/>
          <w:sz w:val="22"/>
          <w:szCs w:val="22"/>
        </w:rPr>
        <w:t xml:space="preserve"> </w:t>
      </w:r>
      <w:commentRangeEnd w:id="11"/>
      <w:r w:rsidR="006F6496">
        <w:rPr>
          <w:rStyle w:val="CommentReference"/>
        </w:rPr>
        <w:commentReference w:id="11"/>
      </w:r>
      <w:r w:rsidRPr="00BD17CA">
        <w:rPr>
          <w:rFonts w:ascii="Arial" w:eastAsia="Arial" w:hAnsi="Arial" w:cs="Arial"/>
          <w:sz w:val="22"/>
          <w:szCs w:val="22"/>
        </w:rPr>
        <w:t>(31</w:t>
      </w:r>
      <w:r w:rsidRPr="00FD4375">
        <w:rPr>
          <w:rFonts w:ascii="Arial" w:eastAsia="Arial" w:hAnsi="Arial" w:cs="Arial"/>
          <w:sz w:val="22"/>
          <w:szCs w:val="22"/>
        </w:rPr>
        <w:t xml:space="preserve"> </w:t>
      </w:r>
      <w:r w:rsidRPr="00BD17CA">
        <w:rPr>
          <w:rFonts w:ascii="Arial" w:eastAsia="Arial" w:hAnsi="Arial" w:cs="Arial"/>
          <w:sz w:val="22"/>
          <w:szCs w:val="22"/>
        </w:rPr>
        <w:t>M</w:t>
      </w:r>
      <w:r w:rsidRPr="00FD4375">
        <w:rPr>
          <w:rFonts w:ascii="Arial" w:eastAsia="Arial" w:hAnsi="Arial" w:cs="Arial"/>
          <w:sz w:val="22"/>
          <w:szCs w:val="22"/>
        </w:rPr>
        <w:t>arc</w:t>
      </w:r>
      <w:r w:rsidRPr="00BD17CA">
        <w:rPr>
          <w:rFonts w:ascii="Arial" w:eastAsia="Arial" w:hAnsi="Arial" w:cs="Arial"/>
          <w:sz w:val="22"/>
          <w:szCs w:val="22"/>
        </w:rPr>
        <w:t>h</w:t>
      </w:r>
      <w:r w:rsidRPr="00FD4375">
        <w:rPr>
          <w:rFonts w:ascii="Arial" w:eastAsia="Arial" w:hAnsi="Arial" w:cs="Arial"/>
          <w:sz w:val="22"/>
          <w:szCs w:val="22"/>
        </w:rPr>
        <w:t xml:space="preserve"> </w:t>
      </w:r>
      <w:r w:rsidR="006F6496" w:rsidRPr="00FD4375">
        <w:rPr>
          <w:rFonts w:ascii="Arial" w:eastAsia="Arial" w:hAnsi="Arial" w:cs="Arial"/>
          <w:sz w:val="22"/>
          <w:szCs w:val="22"/>
        </w:rPr>
        <w:t>2</w:t>
      </w:r>
      <w:r w:rsidR="006F6496" w:rsidRPr="00BD17CA">
        <w:rPr>
          <w:rFonts w:ascii="Arial" w:eastAsia="Arial" w:hAnsi="Arial" w:cs="Arial"/>
          <w:sz w:val="22"/>
          <w:szCs w:val="22"/>
        </w:rPr>
        <w:t>0</w:t>
      </w:r>
      <w:r w:rsidR="006F6496" w:rsidRPr="00FD4375">
        <w:rPr>
          <w:rFonts w:ascii="Arial" w:eastAsia="Arial" w:hAnsi="Arial" w:cs="Arial"/>
          <w:sz w:val="22"/>
          <w:szCs w:val="22"/>
        </w:rPr>
        <w:t>1</w:t>
      </w:r>
      <w:r w:rsidR="006F6496">
        <w:rPr>
          <w:rFonts w:ascii="Arial" w:eastAsia="Arial" w:hAnsi="Arial" w:cs="Arial"/>
          <w:sz w:val="22"/>
          <w:szCs w:val="22"/>
        </w:rPr>
        <w:t>9</w:t>
      </w:r>
      <w:r w:rsidR="006F6496" w:rsidRPr="00FD4375">
        <w:rPr>
          <w:rFonts w:ascii="Arial" w:eastAsia="Arial" w:hAnsi="Arial" w:cs="Arial"/>
          <w:sz w:val="22"/>
          <w:szCs w:val="22"/>
        </w:rPr>
        <w:t xml:space="preserve"> </w:t>
      </w:r>
      <w:r w:rsidRPr="00FD4375">
        <w:rPr>
          <w:rFonts w:ascii="Arial" w:eastAsia="Arial" w:hAnsi="Arial" w:cs="Arial"/>
          <w:sz w:val="22"/>
          <w:szCs w:val="22"/>
        </w:rPr>
        <w:t>£</w:t>
      </w:r>
      <w:r w:rsidR="006F6496">
        <w:rPr>
          <w:rFonts w:ascii="Arial" w:eastAsia="Arial" w:hAnsi="Arial" w:cs="Arial"/>
          <w:sz w:val="22"/>
          <w:szCs w:val="22"/>
        </w:rPr>
        <w:t>20.2</w:t>
      </w:r>
      <w:r w:rsidRPr="00FD4375">
        <w:rPr>
          <w:rFonts w:ascii="Arial" w:eastAsia="Arial" w:hAnsi="Arial" w:cs="Arial"/>
          <w:sz w:val="22"/>
          <w:szCs w:val="22"/>
        </w:rPr>
        <w:t>m</w:t>
      </w:r>
      <w:r w:rsidRPr="00BD17CA">
        <w:rPr>
          <w:rFonts w:ascii="Arial" w:eastAsia="Arial" w:hAnsi="Arial" w:cs="Arial"/>
          <w:sz w:val="22"/>
          <w:szCs w:val="22"/>
        </w:rPr>
        <w:t>)</w:t>
      </w:r>
      <w:r w:rsidR="00FD4375">
        <w:rPr>
          <w:rFonts w:ascii="Arial" w:eastAsia="Arial" w:hAnsi="Arial" w:cs="Arial"/>
          <w:sz w:val="22"/>
          <w:szCs w:val="22"/>
        </w:rPr>
        <w:t>.</w:t>
      </w:r>
    </w:p>
    <w:p w14:paraId="7D301E95" w14:textId="77777777" w:rsidR="009C7422" w:rsidRDefault="001706EB" w:rsidP="00FD4375">
      <w:pPr>
        <w:spacing w:after="200" w:line="276" w:lineRule="auto"/>
        <w:ind w:right="74"/>
        <w:jc w:val="both"/>
        <w:rPr>
          <w:rFonts w:ascii="Arial" w:eastAsia="Arial" w:hAnsi="Arial" w:cs="Arial"/>
          <w:sz w:val="22"/>
          <w:szCs w:val="22"/>
        </w:rPr>
      </w:pPr>
      <w:r w:rsidRPr="00FD4375">
        <w:rPr>
          <w:rFonts w:ascii="Arial" w:eastAsia="Arial" w:hAnsi="Arial" w:cs="Arial"/>
          <w:sz w:val="22"/>
          <w:szCs w:val="22"/>
        </w:rPr>
        <w:t>T</w:t>
      </w:r>
      <w:r w:rsidRPr="00BD17CA">
        <w:rPr>
          <w:rFonts w:ascii="Arial" w:eastAsia="Arial" w:hAnsi="Arial" w:cs="Arial"/>
          <w:sz w:val="22"/>
          <w:szCs w:val="22"/>
        </w:rPr>
        <w:t>he</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d</w:t>
      </w:r>
      <w:r w:rsidRPr="00BD17CA">
        <w:rPr>
          <w:rFonts w:ascii="Arial" w:eastAsia="Arial" w:hAnsi="Arial" w:cs="Arial"/>
          <w:sz w:val="22"/>
          <w:szCs w:val="22"/>
        </w:rPr>
        <w:t>e</w:t>
      </w:r>
      <w:r w:rsidRPr="00FD4375">
        <w:rPr>
          <w:rFonts w:ascii="Arial" w:eastAsia="Arial" w:hAnsi="Arial" w:cs="Arial"/>
          <w:sz w:val="22"/>
          <w:szCs w:val="22"/>
        </w:rPr>
        <w:t>fi</w:t>
      </w:r>
      <w:r w:rsidRPr="00BD17CA">
        <w:rPr>
          <w:rFonts w:ascii="Arial" w:eastAsia="Arial" w:hAnsi="Arial" w:cs="Arial"/>
          <w:sz w:val="22"/>
          <w:szCs w:val="22"/>
        </w:rPr>
        <w:t>n</w:t>
      </w:r>
      <w:r w:rsidRPr="00FD4375">
        <w:rPr>
          <w:rFonts w:ascii="Arial" w:eastAsia="Arial" w:hAnsi="Arial" w:cs="Arial"/>
          <w:sz w:val="22"/>
          <w:szCs w:val="22"/>
        </w:rPr>
        <w:t>e</w:t>
      </w:r>
      <w:r w:rsidRPr="00BD17CA">
        <w:rPr>
          <w:rFonts w:ascii="Arial" w:eastAsia="Arial" w:hAnsi="Arial" w:cs="Arial"/>
          <w:sz w:val="22"/>
          <w:szCs w:val="22"/>
        </w:rPr>
        <w:t>s</w:t>
      </w:r>
      <w:r w:rsidRPr="00FD4375">
        <w:rPr>
          <w:rFonts w:ascii="Arial" w:eastAsia="Arial" w:hAnsi="Arial" w:cs="Arial"/>
          <w:sz w:val="22"/>
          <w:szCs w:val="22"/>
        </w:rPr>
        <w:t xml:space="preserve"> liqui</w:t>
      </w:r>
      <w:r w:rsidRPr="00BD17CA">
        <w:rPr>
          <w:rFonts w:ascii="Arial" w:eastAsia="Arial" w:hAnsi="Arial" w:cs="Arial"/>
          <w:sz w:val="22"/>
          <w:szCs w:val="22"/>
        </w:rPr>
        <w:t>d</w:t>
      </w:r>
      <w:r w:rsidRPr="00FD4375">
        <w:rPr>
          <w:rFonts w:ascii="Arial" w:eastAsia="Arial" w:hAnsi="Arial" w:cs="Arial"/>
          <w:sz w:val="22"/>
          <w:szCs w:val="22"/>
        </w:rPr>
        <w:t xml:space="preserve"> ass</w:t>
      </w:r>
      <w:r w:rsidRPr="00BD17CA">
        <w:rPr>
          <w:rFonts w:ascii="Arial" w:eastAsia="Arial" w:hAnsi="Arial" w:cs="Arial"/>
          <w:sz w:val="22"/>
          <w:szCs w:val="22"/>
        </w:rPr>
        <w:t>ets</w:t>
      </w:r>
      <w:r w:rsidRPr="00FD4375">
        <w:rPr>
          <w:rFonts w:ascii="Arial" w:eastAsia="Arial" w:hAnsi="Arial" w:cs="Arial"/>
          <w:sz w:val="22"/>
          <w:szCs w:val="22"/>
        </w:rPr>
        <w:t xml:space="preserve"> </w:t>
      </w:r>
      <w:r w:rsidRPr="00BD17CA">
        <w:rPr>
          <w:rFonts w:ascii="Arial" w:eastAsia="Arial" w:hAnsi="Arial" w:cs="Arial"/>
          <w:sz w:val="22"/>
          <w:szCs w:val="22"/>
        </w:rPr>
        <w:t>as</w:t>
      </w:r>
      <w:r w:rsidRPr="00FD4375">
        <w:rPr>
          <w:rFonts w:ascii="Arial" w:eastAsia="Arial" w:hAnsi="Arial" w:cs="Arial"/>
          <w:sz w:val="22"/>
          <w:szCs w:val="22"/>
        </w:rPr>
        <w:t xml:space="preserve"> </w:t>
      </w:r>
      <w:r w:rsidRPr="00BD17CA">
        <w:rPr>
          <w:rFonts w:ascii="Arial" w:eastAsia="Arial" w:hAnsi="Arial" w:cs="Arial"/>
          <w:sz w:val="22"/>
          <w:szCs w:val="22"/>
        </w:rPr>
        <w:t>as</w:t>
      </w:r>
      <w:r w:rsidRPr="00FD4375">
        <w:rPr>
          <w:rFonts w:ascii="Arial" w:eastAsia="Arial" w:hAnsi="Arial" w:cs="Arial"/>
          <w:sz w:val="22"/>
          <w:szCs w:val="22"/>
        </w:rPr>
        <w:t>s</w:t>
      </w:r>
      <w:r w:rsidRPr="00BD17CA">
        <w:rPr>
          <w:rFonts w:ascii="Arial" w:eastAsia="Arial" w:hAnsi="Arial" w:cs="Arial"/>
          <w:sz w:val="22"/>
          <w:szCs w:val="22"/>
        </w:rPr>
        <w:t>ets</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ha</w:t>
      </w:r>
      <w:r w:rsidRPr="00BD17CA">
        <w:rPr>
          <w:rFonts w:ascii="Arial" w:eastAsia="Arial" w:hAnsi="Arial" w:cs="Arial"/>
          <w:sz w:val="22"/>
          <w:szCs w:val="22"/>
        </w:rPr>
        <w:t>t</w:t>
      </w:r>
      <w:r w:rsidRPr="00FD4375">
        <w:rPr>
          <w:rFonts w:ascii="Arial" w:eastAsia="Arial" w:hAnsi="Arial" w:cs="Arial"/>
          <w:sz w:val="22"/>
          <w:szCs w:val="22"/>
        </w:rPr>
        <w:t xml:space="preserve"> c</w:t>
      </w:r>
      <w:r w:rsidRPr="00BD17CA">
        <w:rPr>
          <w:rFonts w:ascii="Arial" w:eastAsia="Arial" w:hAnsi="Arial" w:cs="Arial"/>
          <w:sz w:val="22"/>
          <w:szCs w:val="22"/>
        </w:rPr>
        <w:t>an</w:t>
      </w:r>
      <w:r w:rsidRPr="00FD4375">
        <w:rPr>
          <w:rFonts w:ascii="Arial" w:eastAsia="Arial" w:hAnsi="Arial" w:cs="Arial"/>
          <w:sz w:val="22"/>
          <w:szCs w:val="22"/>
        </w:rPr>
        <w:t xml:space="preserve"> </w:t>
      </w:r>
      <w:r w:rsidRPr="00BD17CA">
        <w:rPr>
          <w:rFonts w:ascii="Arial" w:eastAsia="Arial" w:hAnsi="Arial" w:cs="Arial"/>
          <w:sz w:val="22"/>
          <w:szCs w:val="22"/>
        </w:rPr>
        <w:t>be</w:t>
      </w:r>
      <w:r w:rsidRPr="00FD4375">
        <w:rPr>
          <w:rFonts w:ascii="Arial" w:eastAsia="Arial" w:hAnsi="Arial" w:cs="Arial"/>
          <w:sz w:val="22"/>
          <w:szCs w:val="22"/>
        </w:rPr>
        <w:t xml:space="preserve"> c</w:t>
      </w:r>
      <w:r w:rsidRPr="00BD17CA">
        <w:rPr>
          <w:rFonts w:ascii="Arial" w:eastAsia="Arial" w:hAnsi="Arial" w:cs="Arial"/>
          <w:sz w:val="22"/>
          <w:szCs w:val="22"/>
        </w:rPr>
        <w:t>o</w:t>
      </w:r>
      <w:r w:rsidRPr="00FD4375">
        <w:rPr>
          <w:rFonts w:ascii="Arial" w:eastAsia="Arial" w:hAnsi="Arial" w:cs="Arial"/>
          <w:sz w:val="22"/>
          <w:szCs w:val="22"/>
        </w:rPr>
        <w:t>nv</w:t>
      </w:r>
      <w:r w:rsidRPr="00BD17CA">
        <w:rPr>
          <w:rFonts w:ascii="Arial" w:eastAsia="Arial" w:hAnsi="Arial" w:cs="Arial"/>
          <w:sz w:val="22"/>
          <w:szCs w:val="22"/>
        </w:rPr>
        <w:t>erted</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c</w:t>
      </w:r>
      <w:r w:rsidRPr="00BD17CA">
        <w:rPr>
          <w:rFonts w:ascii="Arial" w:eastAsia="Arial" w:hAnsi="Arial" w:cs="Arial"/>
          <w:sz w:val="22"/>
          <w:szCs w:val="22"/>
        </w:rPr>
        <w:t>a</w:t>
      </w:r>
      <w:r w:rsidRPr="00FD4375">
        <w:rPr>
          <w:rFonts w:ascii="Arial" w:eastAsia="Arial" w:hAnsi="Arial" w:cs="Arial"/>
          <w:sz w:val="22"/>
          <w:szCs w:val="22"/>
        </w:rPr>
        <w:t>s</w:t>
      </w:r>
      <w:r w:rsidRPr="00BD17CA">
        <w:rPr>
          <w:rFonts w:ascii="Arial" w:eastAsia="Arial" w:hAnsi="Arial" w:cs="Arial"/>
          <w:sz w:val="22"/>
          <w:szCs w:val="22"/>
        </w:rPr>
        <w:t>h</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it</w:t>
      </w:r>
      <w:r w:rsidRPr="00BD17CA">
        <w:rPr>
          <w:rFonts w:ascii="Arial" w:eastAsia="Arial" w:hAnsi="Arial" w:cs="Arial"/>
          <w:sz w:val="22"/>
          <w:szCs w:val="22"/>
        </w:rPr>
        <w:t>h</w:t>
      </w:r>
      <w:r w:rsidRPr="00FD4375">
        <w:rPr>
          <w:rFonts w:ascii="Arial" w:eastAsia="Arial" w:hAnsi="Arial" w:cs="Arial"/>
          <w:sz w:val="22"/>
          <w:szCs w:val="22"/>
        </w:rPr>
        <w:t>i</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hre</w:t>
      </w:r>
      <w:r w:rsidRPr="00BD17CA">
        <w:rPr>
          <w:rFonts w:ascii="Arial" w:eastAsia="Arial" w:hAnsi="Arial" w:cs="Arial"/>
          <w:sz w:val="22"/>
          <w:szCs w:val="22"/>
        </w:rPr>
        <w:t>e</w:t>
      </w:r>
      <w:r w:rsidRPr="00FD4375">
        <w:rPr>
          <w:rFonts w:ascii="Arial" w:eastAsia="Arial" w:hAnsi="Arial" w:cs="Arial"/>
          <w:sz w:val="22"/>
          <w:szCs w:val="22"/>
        </w:rPr>
        <w:t xml:space="preserve"> m</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ths. I</w:t>
      </w:r>
      <w:r w:rsidRPr="00FD4375">
        <w:rPr>
          <w:rFonts w:ascii="Arial" w:eastAsia="Arial" w:hAnsi="Arial" w:cs="Arial"/>
          <w:sz w:val="22"/>
          <w:szCs w:val="22"/>
        </w:rPr>
        <w:t>lli</w:t>
      </w:r>
      <w:r w:rsidRPr="00BD17CA">
        <w:rPr>
          <w:rFonts w:ascii="Arial" w:eastAsia="Arial" w:hAnsi="Arial" w:cs="Arial"/>
          <w:sz w:val="22"/>
          <w:szCs w:val="22"/>
        </w:rPr>
        <w:t>q</w:t>
      </w:r>
      <w:r w:rsidRPr="00FD4375">
        <w:rPr>
          <w:rFonts w:ascii="Arial" w:eastAsia="Arial" w:hAnsi="Arial" w:cs="Arial"/>
          <w:sz w:val="22"/>
          <w:szCs w:val="22"/>
        </w:rPr>
        <w:t>ui</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ss</w:t>
      </w:r>
      <w:r w:rsidRPr="00BD17CA">
        <w:rPr>
          <w:rFonts w:ascii="Arial" w:eastAsia="Arial" w:hAnsi="Arial" w:cs="Arial"/>
          <w:sz w:val="22"/>
          <w:szCs w:val="22"/>
        </w:rPr>
        <w:t>ets</w:t>
      </w:r>
      <w:r w:rsidRPr="00FD4375">
        <w:rPr>
          <w:rFonts w:ascii="Arial" w:eastAsia="Arial" w:hAnsi="Arial" w:cs="Arial"/>
          <w:sz w:val="22"/>
          <w:szCs w:val="22"/>
        </w:rPr>
        <w:t xml:space="preserve"> </w:t>
      </w:r>
      <w:r w:rsidRPr="00BD17CA">
        <w:rPr>
          <w:rFonts w:ascii="Arial" w:eastAsia="Arial" w:hAnsi="Arial" w:cs="Arial"/>
          <w:sz w:val="22"/>
          <w:szCs w:val="22"/>
        </w:rPr>
        <w:t>are</w:t>
      </w:r>
      <w:r w:rsidRPr="00FD4375">
        <w:rPr>
          <w:rFonts w:ascii="Arial" w:eastAsia="Arial" w:hAnsi="Arial" w:cs="Arial"/>
          <w:sz w:val="22"/>
          <w:szCs w:val="22"/>
        </w:rPr>
        <w:t xml:space="preserve"> t</w:t>
      </w:r>
      <w:r w:rsidRPr="00BD17CA">
        <w:rPr>
          <w:rFonts w:ascii="Arial" w:eastAsia="Arial" w:hAnsi="Arial" w:cs="Arial"/>
          <w:sz w:val="22"/>
          <w:szCs w:val="22"/>
        </w:rPr>
        <w:t>h</w:t>
      </w:r>
      <w:r w:rsidRPr="00FD4375">
        <w:rPr>
          <w:rFonts w:ascii="Arial" w:eastAsia="Arial" w:hAnsi="Arial" w:cs="Arial"/>
          <w:sz w:val="22"/>
          <w:szCs w:val="22"/>
        </w:rPr>
        <w:t>os</w:t>
      </w:r>
      <w:r w:rsidRPr="00BD17CA">
        <w:rPr>
          <w:rFonts w:ascii="Arial" w:eastAsia="Arial" w:hAnsi="Arial" w:cs="Arial"/>
          <w:sz w:val="22"/>
          <w:szCs w:val="22"/>
        </w:rPr>
        <w:t>e</w:t>
      </w:r>
      <w:r w:rsidRPr="00FD4375">
        <w:rPr>
          <w:rFonts w:ascii="Arial" w:eastAsia="Arial" w:hAnsi="Arial" w:cs="Arial"/>
          <w:sz w:val="22"/>
          <w:szCs w:val="22"/>
        </w:rPr>
        <w:t xml:space="preserve"> ass</w:t>
      </w:r>
      <w:r w:rsidRPr="00BD17CA">
        <w:rPr>
          <w:rFonts w:ascii="Arial" w:eastAsia="Arial" w:hAnsi="Arial" w:cs="Arial"/>
          <w:sz w:val="22"/>
          <w:szCs w:val="22"/>
        </w:rPr>
        <w:t>ets</w:t>
      </w:r>
      <w:r w:rsidRPr="00FD4375">
        <w:rPr>
          <w:rFonts w:ascii="Arial" w:eastAsia="Arial" w:hAnsi="Arial" w:cs="Arial"/>
          <w:sz w:val="22"/>
          <w:szCs w:val="22"/>
        </w:rPr>
        <w:t xml:space="preserve"> </w:t>
      </w:r>
      <w:r w:rsidRPr="00BD17CA">
        <w:rPr>
          <w:rFonts w:ascii="Arial" w:eastAsia="Arial" w:hAnsi="Arial" w:cs="Arial"/>
          <w:sz w:val="22"/>
          <w:szCs w:val="22"/>
        </w:rPr>
        <w:t>wh</w:t>
      </w:r>
      <w:r w:rsidRPr="00FD4375">
        <w:rPr>
          <w:rFonts w:ascii="Arial" w:eastAsia="Arial" w:hAnsi="Arial" w:cs="Arial"/>
          <w:sz w:val="22"/>
          <w:szCs w:val="22"/>
        </w:rPr>
        <w:t>ic</w:t>
      </w:r>
      <w:r w:rsidRPr="00BD17CA">
        <w:rPr>
          <w:rFonts w:ascii="Arial" w:eastAsia="Arial" w:hAnsi="Arial" w:cs="Arial"/>
          <w:sz w:val="22"/>
          <w:szCs w:val="22"/>
        </w:rPr>
        <w:t>h</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il</w:t>
      </w:r>
      <w:r w:rsidRPr="00BD17CA">
        <w:rPr>
          <w:rFonts w:ascii="Arial" w:eastAsia="Arial" w:hAnsi="Arial" w:cs="Arial"/>
          <w:sz w:val="22"/>
          <w:szCs w:val="22"/>
        </w:rPr>
        <w:t>l</w:t>
      </w:r>
      <w:r w:rsidRPr="00FD4375">
        <w:rPr>
          <w:rFonts w:ascii="Arial" w:eastAsia="Arial" w:hAnsi="Arial" w:cs="Arial"/>
          <w:sz w:val="22"/>
          <w:szCs w:val="22"/>
        </w:rPr>
        <w:t xml:space="preserve"> t</w:t>
      </w:r>
      <w:r w:rsidRPr="00BD17CA">
        <w:rPr>
          <w:rFonts w:ascii="Arial" w:eastAsia="Arial" w:hAnsi="Arial" w:cs="Arial"/>
          <w:sz w:val="22"/>
          <w:szCs w:val="22"/>
        </w:rPr>
        <w:t>a</w:t>
      </w:r>
      <w:r w:rsidRPr="00FD4375">
        <w:rPr>
          <w:rFonts w:ascii="Arial" w:eastAsia="Arial" w:hAnsi="Arial" w:cs="Arial"/>
          <w:sz w:val="22"/>
          <w:szCs w:val="22"/>
        </w:rPr>
        <w:t>k</w:t>
      </w:r>
      <w:r w:rsidRPr="00BD17CA">
        <w:rPr>
          <w:rFonts w:ascii="Arial" w:eastAsia="Arial" w:hAnsi="Arial" w:cs="Arial"/>
          <w:sz w:val="22"/>
          <w:szCs w:val="22"/>
        </w:rPr>
        <w:t>e</w:t>
      </w:r>
      <w:r w:rsidRPr="00FD4375">
        <w:rPr>
          <w:rFonts w:ascii="Arial" w:eastAsia="Arial" w:hAnsi="Arial" w:cs="Arial"/>
          <w:sz w:val="22"/>
          <w:szCs w:val="22"/>
        </w:rPr>
        <w:t xml:space="preserve"> l</w:t>
      </w:r>
      <w:r w:rsidRPr="00BD17CA">
        <w:rPr>
          <w:rFonts w:ascii="Arial" w:eastAsia="Arial" w:hAnsi="Arial" w:cs="Arial"/>
          <w:sz w:val="22"/>
          <w:szCs w:val="22"/>
        </w:rPr>
        <w:t>o</w:t>
      </w:r>
      <w:r w:rsidRPr="00FD4375">
        <w:rPr>
          <w:rFonts w:ascii="Arial" w:eastAsia="Arial" w:hAnsi="Arial" w:cs="Arial"/>
          <w:sz w:val="22"/>
          <w:szCs w:val="22"/>
        </w:rPr>
        <w:t>ng</w:t>
      </w:r>
      <w:r w:rsidRPr="00BD17CA">
        <w:rPr>
          <w:rFonts w:ascii="Arial" w:eastAsia="Arial" w:hAnsi="Arial" w:cs="Arial"/>
          <w:sz w:val="22"/>
          <w:szCs w:val="22"/>
        </w:rPr>
        <w:t>er</w:t>
      </w:r>
      <w:r w:rsidRPr="00FD4375">
        <w:rPr>
          <w:rFonts w:ascii="Arial" w:eastAsia="Arial" w:hAnsi="Arial" w:cs="Arial"/>
          <w:sz w:val="22"/>
          <w:szCs w:val="22"/>
        </w:rPr>
        <w:t xml:space="preserve"> t</w:t>
      </w:r>
      <w:r w:rsidRPr="00BD17CA">
        <w:rPr>
          <w:rFonts w:ascii="Arial" w:eastAsia="Arial" w:hAnsi="Arial" w:cs="Arial"/>
          <w:sz w:val="22"/>
          <w:szCs w:val="22"/>
        </w:rPr>
        <w:t>h</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 xml:space="preserve"> t</w:t>
      </w:r>
      <w:r w:rsidRPr="00BD17CA">
        <w:rPr>
          <w:rFonts w:ascii="Arial" w:eastAsia="Arial" w:hAnsi="Arial" w:cs="Arial"/>
          <w:sz w:val="22"/>
          <w:szCs w:val="22"/>
        </w:rPr>
        <w:t>hree</w:t>
      </w:r>
      <w:r w:rsidRPr="00FD4375">
        <w:rPr>
          <w:rFonts w:ascii="Arial" w:eastAsia="Arial" w:hAnsi="Arial" w:cs="Arial"/>
          <w:sz w:val="22"/>
          <w:szCs w:val="22"/>
        </w:rPr>
        <w:t xml:space="preserve"> m</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ths</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 xml:space="preserve"> co</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r</w:t>
      </w:r>
      <w:r w:rsidRPr="00BD17CA">
        <w:rPr>
          <w:rFonts w:ascii="Arial" w:eastAsia="Arial" w:hAnsi="Arial" w:cs="Arial"/>
          <w:sz w:val="22"/>
          <w:szCs w:val="22"/>
        </w:rPr>
        <w:t>t</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t</w:t>
      </w:r>
      <w:r w:rsidRPr="00BD17CA">
        <w:rPr>
          <w:rFonts w:ascii="Arial" w:eastAsia="Arial" w:hAnsi="Arial" w:cs="Arial"/>
          <w:sz w:val="22"/>
          <w:szCs w:val="22"/>
        </w:rPr>
        <w:t>o</w:t>
      </w:r>
      <w:r w:rsidRPr="00FD4375">
        <w:rPr>
          <w:rFonts w:ascii="Arial" w:eastAsia="Arial" w:hAnsi="Arial" w:cs="Arial"/>
          <w:sz w:val="22"/>
          <w:szCs w:val="22"/>
        </w:rPr>
        <w:t xml:space="preserve"> </w:t>
      </w:r>
      <w:r w:rsidRPr="00BD17CA">
        <w:rPr>
          <w:rFonts w:ascii="Arial" w:eastAsia="Arial" w:hAnsi="Arial" w:cs="Arial"/>
          <w:sz w:val="22"/>
          <w:szCs w:val="22"/>
        </w:rPr>
        <w:t>ca</w:t>
      </w:r>
      <w:r w:rsidRPr="00FD4375">
        <w:rPr>
          <w:rFonts w:ascii="Arial" w:eastAsia="Arial" w:hAnsi="Arial" w:cs="Arial"/>
          <w:sz w:val="22"/>
          <w:szCs w:val="22"/>
        </w:rPr>
        <w:t>s</w:t>
      </w:r>
      <w:r w:rsidRPr="00BD17CA">
        <w:rPr>
          <w:rFonts w:ascii="Arial" w:eastAsia="Arial" w:hAnsi="Arial" w:cs="Arial"/>
          <w:sz w:val="22"/>
          <w:szCs w:val="22"/>
        </w:rPr>
        <w:t>h.</w:t>
      </w:r>
    </w:p>
    <w:p w14:paraId="1FA40401" w14:textId="462727FD" w:rsidR="009C7422" w:rsidRPr="00BD17CA" w:rsidRDefault="001706EB" w:rsidP="00FD4375">
      <w:pPr>
        <w:spacing w:after="200" w:line="276" w:lineRule="auto"/>
        <w:ind w:right="74"/>
        <w:jc w:val="both"/>
        <w:rPr>
          <w:rFonts w:ascii="Arial" w:eastAsia="Arial" w:hAnsi="Arial" w:cs="Arial"/>
          <w:sz w:val="22"/>
          <w:szCs w:val="22"/>
        </w:rPr>
      </w:pPr>
      <w:commentRangeStart w:id="12"/>
      <w:r w:rsidRPr="00FD4375">
        <w:rPr>
          <w:rFonts w:ascii="Arial" w:eastAsia="Arial" w:hAnsi="Arial" w:cs="Arial"/>
          <w:sz w:val="22"/>
          <w:szCs w:val="22"/>
        </w:rPr>
        <w:t>A</w:t>
      </w:r>
      <w:r w:rsidRPr="00BD17CA">
        <w:rPr>
          <w:rFonts w:ascii="Arial" w:eastAsia="Arial" w:hAnsi="Arial" w:cs="Arial"/>
          <w:sz w:val="22"/>
          <w:szCs w:val="22"/>
        </w:rPr>
        <w:t>s</w:t>
      </w:r>
      <w:r w:rsidRPr="00FD4375">
        <w:rPr>
          <w:rFonts w:ascii="Arial" w:eastAsia="Arial" w:hAnsi="Arial" w:cs="Arial"/>
          <w:sz w:val="22"/>
          <w:szCs w:val="22"/>
        </w:rPr>
        <w:t xml:space="preserve"> </w:t>
      </w:r>
      <w:r w:rsidRPr="00BD17CA">
        <w:rPr>
          <w:rFonts w:ascii="Arial" w:eastAsia="Arial" w:hAnsi="Arial" w:cs="Arial"/>
          <w:sz w:val="22"/>
          <w:szCs w:val="22"/>
        </w:rPr>
        <w:t>at</w:t>
      </w:r>
      <w:r w:rsidRPr="00FD4375">
        <w:rPr>
          <w:rFonts w:ascii="Arial" w:eastAsia="Arial" w:hAnsi="Arial" w:cs="Arial"/>
          <w:sz w:val="22"/>
          <w:szCs w:val="22"/>
        </w:rPr>
        <w:t xml:space="preserve"> </w:t>
      </w:r>
      <w:r w:rsidRPr="00BD17CA">
        <w:rPr>
          <w:rFonts w:ascii="Arial" w:eastAsia="Arial" w:hAnsi="Arial" w:cs="Arial"/>
          <w:sz w:val="22"/>
          <w:szCs w:val="22"/>
        </w:rPr>
        <w:t>M</w:t>
      </w:r>
      <w:r w:rsidRPr="00FD4375">
        <w:rPr>
          <w:rFonts w:ascii="Arial" w:eastAsia="Arial" w:hAnsi="Arial" w:cs="Arial"/>
          <w:sz w:val="22"/>
          <w:szCs w:val="22"/>
        </w:rPr>
        <w:t>arc</w:t>
      </w:r>
      <w:r w:rsidRPr="00BD17CA">
        <w:rPr>
          <w:rFonts w:ascii="Arial" w:eastAsia="Arial" w:hAnsi="Arial" w:cs="Arial"/>
          <w:sz w:val="22"/>
          <w:szCs w:val="22"/>
        </w:rPr>
        <w:t>h</w:t>
      </w:r>
      <w:r w:rsidRPr="00FD4375">
        <w:rPr>
          <w:rFonts w:ascii="Arial" w:eastAsia="Arial" w:hAnsi="Arial" w:cs="Arial"/>
          <w:sz w:val="22"/>
          <w:szCs w:val="22"/>
        </w:rPr>
        <w:t xml:space="preserve"> </w:t>
      </w:r>
      <w:r w:rsidR="006F6496" w:rsidRPr="00FD4375">
        <w:rPr>
          <w:rFonts w:ascii="Arial" w:eastAsia="Arial" w:hAnsi="Arial" w:cs="Arial"/>
          <w:sz w:val="22"/>
          <w:szCs w:val="22"/>
        </w:rPr>
        <w:t>2</w:t>
      </w:r>
      <w:r w:rsidR="006F6496" w:rsidRPr="00BD17CA">
        <w:rPr>
          <w:rFonts w:ascii="Arial" w:eastAsia="Arial" w:hAnsi="Arial" w:cs="Arial"/>
          <w:sz w:val="22"/>
          <w:szCs w:val="22"/>
        </w:rPr>
        <w:t>0</w:t>
      </w:r>
      <w:r w:rsidR="006F6496">
        <w:rPr>
          <w:rFonts w:ascii="Arial" w:eastAsia="Arial" w:hAnsi="Arial" w:cs="Arial"/>
          <w:sz w:val="22"/>
          <w:szCs w:val="22"/>
        </w:rPr>
        <w:t>20</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val</w:t>
      </w:r>
      <w:r w:rsidRPr="00BD17CA">
        <w:rPr>
          <w:rFonts w:ascii="Arial" w:eastAsia="Arial" w:hAnsi="Arial" w:cs="Arial"/>
          <w:sz w:val="22"/>
          <w:szCs w:val="22"/>
        </w:rPr>
        <w:t>ue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li</w:t>
      </w:r>
      <w:r w:rsidRPr="00BD17CA">
        <w:rPr>
          <w:rFonts w:ascii="Arial" w:eastAsia="Arial" w:hAnsi="Arial" w:cs="Arial"/>
          <w:sz w:val="22"/>
          <w:szCs w:val="22"/>
        </w:rPr>
        <w:t>q</w:t>
      </w:r>
      <w:r w:rsidRPr="00FD4375">
        <w:rPr>
          <w:rFonts w:ascii="Arial" w:eastAsia="Arial" w:hAnsi="Arial" w:cs="Arial"/>
          <w:sz w:val="22"/>
          <w:szCs w:val="22"/>
        </w:rPr>
        <w:t>ui</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ss</w:t>
      </w:r>
      <w:r w:rsidRPr="00BD17CA">
        <w:rPr>
          <w:rFonts w:ascii="Arial" w:eastAsia="Arial" w:hAnsi="Arial" w:cs="Arial"/>
          <w:sz w:val="22"/>
          <w:szCs w:val="22"/>
        </w:rPr>
        <w:t>ets</w:t>
      </w:r>
      <w:r w:rsidRPr="00FD4375">
        <w:rPr>
          <w:rFonts w:ascii="Arial" w:eastAsia="Arial" w:hAnsi="Arial" w:cs="Arial"/>
          <w:sz w:val="22"/>
          <w:szCs w:val="22"/>
        </w:rPr>
        <w:t xml:space="preserve"> w</w:t>
      </w:r>
      <w:r w:rsidRPr="00BD17CA">
        <w:rPr>
          <w:rFonts w:ascii="Arial" w:eastAsia="Arial" w:hAnsi="Arial" w:cs="Arial"/>
          <w:sz w:val="22"/>
          <w:szCs w:val="22"/>
        </w:rPr>
        <w:t>as</w:t>
      </w:r>
      <w:r w:rsidRPr="00FD4375">
        <w:rPr>
          <w:rFonts w:ascii="Arial" w:eastAsia="Arial" w:hAnsi="Arial" w:cs="Arial"/>
          <w:sz w:val="22"/>
          <w:szCs w:val="22"/>
        </w:rPr>
        <w:t xml:space="preserve"> </w:t>
      </w:r>
      <w:r w:rsidRPr="00BD17CA">
        <w:rPr>
          <w:rFonts w:ascii="Arial" w:eastAsia="Arial" w:hAnsi="Arial" w:cs="Arial"/>
          <w:sz w:val="22"/>
          <w:szCs w:val="22"/>
        </w:rPr>
        <w:t>£</w:t>
      </w:r>
      <w:r w:rsidR="000209C3">
        <w:rPr>
          <w:rFonts w:ascii="Arial" w:eastAsia="Arial" w:hAnsi="Arial" w:cs="Arial"/>
          <w:sz w:val="22"/>
          <w:szCs w:val="22"/>
        </w:rPr>
        <w:t>668</w:t>
      </w:r>
      <w:r w:rsidR="006F6496">
        <w:rPr>
          <w:rFonts w:ascii="Arial" w:eastAsia="Arial" w:hAnsi="Arial" w:cs="Arial"/>
          <w:sz w:val="22"/>
          <w:szCs w:val="22"/>
        </w:rPr>
        <w:t>.</w:t>
      </w:r>
      <w:r w:rsidR="000209C3">
        <w:rPr>
          <w:rFonts w:ascii="Arial" w:eastAsia="Arial" w:hAnsi="Arial" w:cs="Arial"/>
          <w:sz w:val="22"/>
          <w:szCs w:val="22"/>
        </w:rPr>
        <w:t>6</w:t>
      </w:r>
      <w:r w:rsidRPr="00FD4375">
        <w:rPr>
          <w:rFonts w:ascii="Arial" w:eastAsia="Arial" w:hAnsi="Arial" w:cs="Arial"/>
          <w:sz w:val="22"/>
          <w:szCs w:val="22"/>
        </w:rPr>
        <w:t xml:space="preserve"> millio</w:t>
      </w:r>
      <w:r w:rsidRPr="00BD17CA">
        <w:rPr>
          <w:rFonts w:ascii="Arial" w:eastAsia="Arial" w:hAnsi="Arial" w:cs="Arial"/>
          <w:sz w:val="22"/>
          <w:szCs w:val="22"/>
        </w:rPr>
        <w:t>n,</w:t>
      </w:r>
      <w:r w:rsidRPr="00FD4375">
        <w:rPr>
          <w:rFonts w:ascii="Arial" w:eastAsia="Arial" w:hAnsi="Arial" w:cs="Arial"/>
          <w:sz w:val="22"/>
          <w:szCs w:val="22"/>
        </w:rPr>
        <w:t xml:space="preserve"> </w:t>
      </w:r>
      <w:r w:rsidRPr="00BD17CA">
        <w:rPr>
          <w:rFonts w:ascii="Arial" w:eastAsia="Arial" w:hAnsi="Arial" w:cs="Arial"/>
          <w:sz w:val="22"/>
          <w:szCs w:val="22"/>
        </w:rPr>
        <w:t>wh</w:t>
      </w:r>
      <w:r w:rsidRPr="00FD4375">
        <w:rPr>
          <w:rFonts w:ascii="Arial" w:eastAsia="Arial" w:hAnsi="Arial" w:cs="Arial"/>
          <w:sz w:val="22"/>
          <w:szCs w:val="22"/>
        </w:rPr>
        <w:t>ic</w:t>
      </w:r>
      <w:r w:rsidRPr="00BD17CA">
        <w:rPr>
          <w:rFonts w:ascii="Arial" w:eastAsia="Arial" w:hAnsi="Arial" w:cs="Arial"/>
          <w:sz w:val="22"/>
          <w:szCs w:val="22"/>
        </w:rPr>
        <w:t>h</w:t>
      </w:r>
      <w:r w:rsidRPr="00FD4375">
        <w:rPr>
          <w:rFonts w:ascii="Arial" w:eastAsia="Arial" w:hAnsi="Arial" w:cs="Arial"/>
          <w:sz w:val="22"/>
          <w:szCs w:val="22"/>
        </w:rPr>
        <w:t xml:space="preserve"> r</w:t>
      </w:r>
      <w:r w:rsidRPr="00BD17CA">
        <w:rPr>
          <w:rFonts w:ascii="Arial" w:eastAsia="Arial" w:hAnsi="Arial" w:cs="Arial"/>
          <w:sz w:val="22"/>
          <w:szCs w:val="22"/>
        </w:rPr>
        <w:t>e</w:t>
      </w:r>
      <w:r w:rsidRPr="00FD4375">
        <w:rPr>
          <w:rFonts w:ascii="Arial" w:eastAsia="Arial" w:hAnsi="Arial" w:cs="Arial"/>
          <w:sz w:val="22"/>
          <w:szCs w:val="22"/>
        </w:rPr>
        <w:t>pr</w:t>
      </w:r>
      <w:r w:rsidRPr="00BD17CA">
        <w:rPr>
          <w:rFonts w:ascii="Arial" w:eastAsia="Arial" w:hAnsi="Arial" w:cs="Arial"/>
          <w:sz w:val="22"/>
          <w:szCs w:val="22"/>
        </w:rPr>
        <w:t>e</w:t>
      </w:r>
      <w:r w:rsidRPr="00FD4375">
        <w:rPr>
          <w:rFonts w:ascii="Arial" w:eastAsia="Arial" w:hAnsi="Arial" w:cs="Arial"/>
          <w:sz w:val="22"/>
          <w:szCs w:val="22"/>
        </w:rPr>
        <w:t>se</w:t>
      </w:r>
      <w:r w:rsidRPr="00BD17CA">
        <w:rPr>
          <w:rFonts w:ascii="Arial" w:eastAsia="Arial" w:hAnsi="Arial" w:cs="Arial"/>
          <w:sz w:val="22"/>
          <w:szCs w:val="22"/>
        </w:rPr>
        <w:t>nt</w:t>
      </w:r>
      <w:r w:rsidRPr="00FD4375">
        <w:rPr>
          <w:rFonts w:ascii="Arial" w:eastAsia="Arial" w:hAnsi="Arial" w:cs="Arial"/>
          <w:sz w:val="22"/>
          <w:szCs w:val="22"/>
        </w:rPr>
        <w:t>e</w:t>
      </w:r>
      <w:r w:rsidRPr="00BD17CA">
        <w:rPr>
          <w:rFonts w:ascii="Arial" w:eastAsia="Arial" w:hAnsi="Arial" w:cs="Arial"/>
          <w:sz w:val="22"/>
          <w:szCs w:val="22"/>
        </w:rPr>
        <w:t xml:space="preserve">d </w:t>
      </w:r>
      <w:r w:rsidR="000209C3">
        <w:rPr>
          <w:rFonts w:ascii="Arial" w:eastAsia="Arial" w:hAnsi="Arial" w:cs="Arial"/>
          <w:sz w:val="22"/>
          <w:szCs w:val="22"/>
        </w:rPr>
        <w:t>78</w:t>
      </w:r>
      <w:r w:rsidR="006F6496">
        <w:rPr>
          <w:rFonts w:ascii="Arial" w:eastAsia="Arial" w:hAnsi="Arial" w:cs="Arial"/>
          <w:sz w:val="22"/>
          <w:szCs w:val="22"/>
        </w:rPr>
        <w:t>.</w:t>
      </w:r>
      <w:r w:rsidR="000209C3">
        <w:rPr>
          <w:rFonts w:ascii="Arial" w:eastAsia="Arial" w:hAnsi="Arial" w:cs="Arial"/>
          <w:sz w:val="22"/>
          <w:szCs w:val="22"/>
        </w:rPr>
        <w:t>2</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o</w:t>
      </w:r>
      <w:r w:rsidRPr="00BD17CA">
        <w:rPr>
          <w:rFonts w:ascii="Arial" w:eastAsia="Arial" w:hAnsi="Arial" w:cs="Arial"/>
          <w:sz w:val="22"/>
          <w:szCs w:val="22"/>
        </w:rPr>
        <w:t>tal</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 a</w:t>
      </w:r>
      <w:r w:rsidRPr="00FD4375">
        <w:rPr>
          <w:rFonts w:ascii="Arial" w:eastAsia="Arial" w:hAnsi="Arial" w:cs="Arial"/>
          <w:sz w:val="22"/>
          <w:szCs w:val="22"/>
        </w:rPr>
        <w:t>ss</w:t>
      </w:r>
      <w:r w:rsidRPr="00BD17CA">
        <w:rPr>
          <w:rFonts w:ascii="Arial" w:eastAsia="Arial" w:hAnsi="Arial" w:cs="Arial"/>
          <w:sz w:val="22"/>
          <w:szCs w:val="22"/>
        </w:rPr>
        <w:t>ets</w:t>
      </w:r>
      <w:r w:rsidRPr="00FD4375">
        <w:rPr>
          <w:rFonts w:ascii="Arial" w:eastAsia="Arial" w:hAnsi="Arial" w:cs="Arial"/>
          <w:sz w:val="22"/>
          <w:szCs w:val="22"/>
        </w:rPr>
        <w:t xml:space="preserve"> </w:t>
      </w:r>
      <w:r w:rsidRPr="00BD17CA">
        <w:rPr>
          <w:rFonts w:ascii="Arial" w:eastAsia="Arial" w:hAnsi="Arial" w:cs="Arial"/>
          <w:sz w:val="22"/>
          <w:szCs w:val="22"/>
        </w:rPr>
        <w:t>(31</w:t>
      </w:r>
      <w:r w:rsidRPr="00FD4375">
        <w:rPr>
          <w:rFonts w:ascii="Arial" w:eastAsia="Arial" w:hAnsi="Arial" w:cs="Arial"/>
          <w:sz w:val="22"/>
          <w:szCs w:val="22"/>
        </w:rPr>
        <w:t xml:space="preserve"> </w:t>
      </w:r>
      <w:r w:rsidRPr="00BD17CA">
        <w:rPr>
          <w:rFonts w:ascii="Arial" w:eastAsia="Arial" w:hAnsi="Arial" w:cs="Arial"/>
          <w:sz w:val="22"/>
          <w:szCs w:val="22"/>
        </w:rPr>
        <w:t>M</w:t>
      </w:r>
      <w:r w:rsidRPr="00FD4375">
        <w:rPr>
          <w:rFonts w:ascii="Arial" w:eastAsia="Arial" w:hAnsi="Arial" w:cs="Arial"/>
          <w:sz w:val="22"/>
          <w:szCs w:val="22"/>
        </w:rPr>
        <w:t>arc</w:t>
      </w:r>
      <w:r w:rsidRPr="00BD17CA">
        <w:rPr>
          <w:rFonts w:ascii="Arial" w:eastAsia="Arial" w:hAnsi="Arial" w:cs="Arial"/>
          <w:sz w:val="22"/>
          <w:szCs w:val="22"/>
        </w:rPr>
        <w:t>h</w:t>
      </w:r>
      <w:r w:rsidRPr="00FD4375">
        <w:rPr>
          <w:rFonts w:ascii="Arial" w:eastAsia="Arial" w:hAnsi="Arial" w:cs="Arial"/>
          <w:sz w:val="22"/>
          <w:szCs w:val="22"/>
        </w:rPr>
        <w:t xml:space="preserve"> </w:t>
      </w:r>
      <w:r w:rsidRPr="00BD17CA">
        <w:rPr>
          <w:rFonts w:ascii="Arial" w:eastAsia="Arial" w:hAnsi="Arial" w:cs="Arial"/>
          <w:sz w:val="22"/>
          <w:szCs w:val="22"/>
        </w:rPr>
        <w:t>2</w:t>
      </w:r>
      <w:r w:rsidRPr="00FD4375">
        <w:rPr>
          <w:rFonts w:ascii="Arial" w:eastAsia="Arial" w:hAnsi="Arial" w:cs="Arial"/>
          <w:sz w:val="22"/>
          <w:szCs w:val="22"/>
        </w:rPr>
        <w:t>01</w:t>
      </w:r>
      <w:r w:rsidRPr="00BD17CA">
        <w:rPr>
          <w:rFonts w:ascii="Arial" w:eastAsia="Arial" w:hAnsi="Arial" w:cs="Arial"/>
          <w:sz w:val="22"/>
          <w:szCs w:val="22"/>
        </w:rPr>
        <w:t>9</w:t>
      </w:r>
      <w:r w:rsidRPr="00FD4375">
        <w:rPr>
          <w:rFonts w:ascii="Arial" w:eastAsia="Arial" w:hAnsi="Arial" w:cs="Arial"/>
          <w:sz w:val="22"/>
          <w:szCs w:val="22"/>
        </w:rPr>
        <w:t xml:space="preserve"> £</w:t>
      </w:r>
      <w:r w:rsidR="006F6496">
        <w:rPr>
          <w:rFonts w:ascii="Arial" w:eastAsia="Arial" w:hAnsi="Arial" w:cs="Arial"/>
          <w:sz w:val="22"/>
          <w:szCs w:val="22"/>
        </w:rPr>
        <w:t>725.4</w:t>
      </w:r>
      <w:r w:rsidRPr="00FD4375">
        <w:rPr>
          <w:rFonts w:ascii="Arial" w:eastAsia="Arial" w:hAnsi="Arial" w:cs="Arial"/>
          <w:sz w:val="22"/>
          <w:szCs w:val="22"/>
        </w:rPr>
        <w:t xml:space="preserve"> milli</w:t>
      </w:r>
      <w:r w:rsidRPr="00BD17CA">
        <w:rPr>
          <w:rFonts w:ascii="Arial" w:eastAsia="Arial" w:hAnsi="Arial" w:cs="Arial"/>
          <w:sz w:val="22"/>
          <w:szCs w:val="22"/>
        </w:rPr>
        <w:t>o</w:t>
      </w:r>
      <w:r w:rsidRPr="00FD4375">
        <w:rPr>
          <w:rFonts w:ascii="Arial" w:eastAsia="Arial" w:hAnsi="Arial" w:cs="Arial"/>
          <w:sz w:val="22"/>
          <w:szCs w:val="22"/>
        </w:rPr>
        <w:t>n</w:t>
      </w:r>
      <w:r w:rsidRPr="00BD17CA">
        <w:rPr>
          <w:rFonts w:ascii="Arial" w:eastAsia="Arial" w:hAnsi="Arial" w:cs="Arial"/>
          <w:sz w:val="22"/>
          <w:szCs w:val="22"/>
        </w:rPr>
        <w:t>,</w:t>
      </w:r>
      <w:r w:rsidRPr="00FD4375">
        <w:rPr>
          <w:rFonts w:ascii="Arial" w:eastAsia="Arial" w:hAnsi="Arial" w:cs="Arial"/>
          <w:sz w:val="22"/>
          <w:szCs w:val="22"/>
        </w:rPr>
        <w:t xml:space="preserve"> whic</w:t>
      </w:r>
      <w:r w:rsidRPr="00BD17CA">
        <w:rPr>
          <w:rFonts w:ascii="Arial" w:eastAsia="Arial" w:hAnsi="Arial" w:cs="Arial"/>
          <w:sz w:val="22"/>
          <w:szCs w:val="22"/>
        </w:rPr>
        <w:t>h</w:t>
      </w:r>
      <w:r w:rsidRPr="00FD4375">
        <w:rPr>
          <w:rFonts w:ascii="Arial" w:eastAsia="Arial" w:hAnsi="Arial" w:cs="Arial"/>
          <w:sz w:val="22"/>
          <w:szCs w:val="22"/>
        </w:rPr>
        <w:t xml:space="preserve"> </w:t>
      </w:r>
      <w:r w:rsidRPr="00BD17CA">
        <w:rPr>
          <w:rFonts w:ascii="Arial" w:eastAsia="Arial" w:hAnsi="Arial" w:cs="Arial"/>
          <w:sz w:val="22"/>
          <w:szCs w:val="22"/>
        </w:rPr>
        <w:t>repre</w:t>
      </w:r>
      <w:r w:rsidRPr="00FD4375">
        <w:rPr>
          <w:rFonts w:ascii="Arial" w:eastAsia="Arial" w:hAnsi="Arial" w:cs="Arial"/>
          <w:sz w:val="22"/>
          <w:szCs w:val="22"/>
        </w:rPr>
        <w:t>se</w:t>
      </w:r>
      <w:r w:rsidRPr="00BD17CA">
        <w:rPr>
          <w:rFonts w:ascii="Arial" w:eastAsia="Arial" w:hAnsi="Arial" w:cs="Arial"/>
          <w:sz w:val="22"/>
          <w:szCs w:val="22"/>
        </w:rPr>
        <w:t>n</w:t>
      </w:r>
      <w:r w:rsidRPr="00FD4375">
        <w:rPr>
          <w:rFonts w:ascii="Arial" w:eastAsia="Arial" w:hAnsi="Arial" w:cs="Arial"/>
          <w:sz w:val="22"/>
          <w:szCs w:val="22"/>
        </w:rPr>
        <w:t>t</w:t>
      </w:r>
      <w:r w:rsidRPr="00BD17CA">
        <w:rPr>
          <w:rFonts w:ascii="Arial" w:eastAsia="Arial" w:hAnsi="Arial" w:cs="Arial"/>
          <w:sz w:val="22"/>
          <w:szCs w:val="22"/>
        </w:rPr>
        <w:t>ed</w:t>
      </w:r>
      <w:r w:rsidRPr="00FD4375">
        <w:rPr>
          <w:rFonts w:ascii="Arial" w:eastAsia="Arial" w:hAnsi="Arial" w:cs="Arial"/>
          <w:sz w:val="22"/>
          <w:szCs w:val="22"/>
        </w:rPr>
        <w:t xml:space="preserve"> </w:t>
      </w:r>
      <w:r w:rsidR="006F6496">
        <w:rPr>
          <w:rFonts w:ascii="Arial" w:eastAsia="Arial" w:hAnsi="Arial" w:cs="Arial"/>
          <w:sz w:val="22"/>
          <w:szCs w:val="22"/>
        </w:rPr>
        <w:t>78.8</w:t>
      </w:r>
      <w:r w:rsidRPr="00BD17CA">
        <w:rPr>
          <w:rFonts w:ascii="Arial" w:eastAsia="Arial" w:hAnsi="Arial" w:cs="Arial"/>
          <w:sz w:val="22"/>
          <w:szCs w:val="22"/>
        </w:rPr>
        <w:t>%</w:t>
      </w:r>
      <w:r w:rsidRPr="00FD4375">
        <w:rPr>
          <w:rFonts w:ascii="Arial" w:eastAsia="Arial" w:hAnsi="Arial" w:cs="Arial"/>
          <w:sz w:val="22"/>
          <w:szCs w:val="22"/>
        </w:rPr>
        <w:t xml:space="preserve"> </w:t>
      </w:r>
      <w:r w:rsidRPr="00BD17CA">
        <w:rPr>
          <w:rFonts w:ascii="Arial" w:eastAsia="Arial" w:hAnsi="Arial" w:cs="Arial"/>
          <w:sz w:val="22"/>
          <w:szCs w:val="22"/>
        </w:rPr>
        <w:t xml:space="preserve">of </w:t>
      </w:r>
      <w:commentRangeEnd w:id="12"/>
      <w:r w:rsidR="006F6496">
        <w:rPr>
          <w:rStyle w:val="CommentReference"/>
        </w:rPr>
        <w:commentReference w:id="12"/>
      </w:r>
      <w:r w:rsidRPr="00BD17CA">
        <w:rPr>
          <w:rFonts w:ascii="Arial" w:eastAsia="Arial" w:hAnsi="Arial" w:cs="Arial"/>
          <w:sz w:val="22"/>
          <w:szCs w:val="22"/>
        </w:rPr>
        <w:t>t</w:t>
      </w:r>
      <w:r w:rsidRPr="00FD4375">
        <w:rPr>
          <w:rFonts w:ascii="Arial" w:eastAsia="Arial" w:hAnsi="Arial" w:cs="Arial"/>
          <w:sz w:val="22"/>
          <w:szCs w:val="22"/>
        </w:rPr>
        <w:t>h</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to</w:t>
      </w:r>
      <w:r w:rsidRPr="00FD4375">
        <w:rPr>
          <w:rFonts w:ascii="Arial" w:eastAsia="Arial" w:hAnsi="Arial" w:cs="Arial"/>
          <w:sz w:val="22"/>
          <w:szCs w:val="22"/>
        </w:rPr>
        <w:t>ta</w:t>
      </w:r>
      <w:r w:rsidRPr="00BD17CA">
        <w:rPr>
          <w:rFonts w:ascii="Arial" w:eastAsia="Arial" w:hAnsi="Arial" w:cs="Arial"/>
          <w:sz w:val="22"/>
          <w:szCs w:val="22"/>
        </w:rPr>
        <w:t>l</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ss</w:t>
      </w:r>
      <w:r w:rsidRPr="00BD17CA">
        <w:rPr>
          <w:rFonts w:ascii="Arial" w:eastAsia="Arial" w:hAnsi="Arial" w:cs="Arial"/>
          <w:sz w:val="22"/>
          <w:szCs w:val="22"/>
        </w:rPr>
        <w:t>ets</w:t>
      </w:r>
      <w:r w:rsidRPr="00FD4375">
        <w:rPr>
          <w:rFonts w:ascii="Arial" w:eastAsia="Arial" w:hAnsi="Arial" w:cs="Arial"/>
          <w:sz w:val="22"/>
          <w:szCs w:val="22"/>
        </w:rPr>
        <w:t>)</w:t>
      </w:r>
      <w:r w:rsidRPr="00BD17CA">
        <w:rPr>
          <w:rFonts w:ascii="Arial" w:eastAsia="Arial" w:hAnsi="Arial" w:cs="Arial"/>
          <w:sz w:val="22"/>
          <w:szCs w:val="22"/>
        </w:rPr>
        <w:t>.</w:t>
      </w:r>
    </w:p>
    <w:p w14:paraId="414D6857" w14:textId="77777777" w:rsidR="009C7422" w:rsidRPr="00FD4375" w:rsidRDefault="001706EB" w:rsidP="00FD4375">
      <w:pPr>
        <w:spacing w:after="200" w:line="276" w:lineRule="auto"/>
        <w:ind w:right="74"/>
        <w:jc w:val="both"/>
        <w:rPr>
          <w:rFonts w:ascii="Arial" w:eastAsia="Arial" w:hAnsi="Arial" w:cs="Arial"/>
          <w:b/>
          <w:bCs/>
          <w:sz w:val="22"/>
          <w:szCs w:val="22"/>
        </w:rPr>
      </w:pPr>
      <w:r w:rsidRPr="00FD4375">
        <w:rPr>
          <w:rFonts w:ascii="Arial" w:eastAsia="Arial" w:hAnsi="Arial" w:cs="Arial"/>
          <w:b/>
          <w:bCs/>
          <w:sz w:val="22"/>
          <w:szCs w:val="22"/>
        </w:rPr>
        <w:t>Refinancing risk</w:t>
      </w:r>
    </w:p>
    <w:p w14:paraId="51A89C75" w14:textId="53FBC396" w:rsidR="009C7422" w:rsidRDefault="001706EB" w:rsidP="00FD4375">
      <w:pPr>
        <w:spacing w:after="200" w:line="276" w:lineRule="auto"/>
        <w:ind w:right="74"/>
        <w:jc w:val="both"/>
        <w:rPr>
          <w:rFonts w:ascii="Arial" w:eastAsia="Arial" w:hAnsi="Arial" w:cs="Arial"/>
          <w:sz w:val="22"/>
          <w:szCs w:val="22"/>
        </w:rPr>
      </w:pPr>
      <w:r w:rsidRPr="00FD4375">
        <w:rPr>
          <w:rFonts w:ascii="Arial" w:eastAsia="Arial" w:hAnsi="Arial" w:cs="Arial"/>
          <w:sz w:val="22"/>
          <w:szCs w:val="22"/>
        </w:rPr>
        <w:t>T</w:t>
      </w:r>
      <w:r w:rsidRPr="00BD17CA">
        <w:rPr>
          <w:rFonts w:ascii="Arial" w:eastAsia="Arial" w:hAnsi="Arial" w:cs="Arial"/>
          <w:sz w:val="22"/>
          <w:szCs w:val="22"/>
        </w:rPr>
        <w:t>he</w:t>
      </w:r>
      <w:r w:rsidRPr="00FD4375">
        <w:rPr>
          <w:rFonts w:ascii="Arial" w:eastAsia="Arial" w:hAnsi="Arial" w:cs="Arial"/>
          <w:sz w:val="22"/>
          <w:szCs w:val="22"/>
        </w:rPr>
        <w:t xml:space="preserve"> ke</w:t>
      </w:r>
      <w:r w:rsidRPr="00BD17CA">
        <w:rPr>
          <w:rFonts w:ascii="Arial" w:eastAsia="Arial" w:hAnsi="Arial" w:cs="Arial"/>
          <w:sz w:val="22"/>
          <w:szCs w:val="22"/>
        </w:rPr>
        <w:t>y</w:t>
      </w:r>
      <w:r w:rsidRPr="00FD4375">
        <w:rPr>
          <w:rFonts w:ascii="Arial" w:eastAsia="Arial" w:hAnsi="Arial" w:cs="Arial"/>
          <w:sz w:val="22"/>
          <w:szCs w:val="22"/>
        </w:rPr>
        <w:t xml:space="preserve"> ris</w:t>
      </w:r>
      <w:r w:rsidRPr="00BD17CA">
        <w:rPr>
          <w:rFonts w:ascii="Arial" w:eastAsia="Arial" w:hAnsi="Arial" w:cs="Arial"/>
          <w:sz w:val="22"/>
          <w:szCs w:val="22"/>
        </w:rPr>
        <w:t xml:space="preserve">k </w:t>
      </w:r>
      <w:r w:rsidRPr="00FD4375">
        <w:rPr>
          <w:rFonts w:ascii="Arial" w:eastAsia="Arial" w:hAnsi="Arial" w:cs="Arial"/>
          <w:sz w:val="22"/>
          <w:szCs w:val="22"/>
        </w:rPr>
        <w:t>i</w:t>
      </w:r>
      <w:r w:rsidRPr="00BD17CA">
        <w:rPr>
          <w:rFonts w:ascii="Arial" w:eastAsia="Arial" w:hAnsi="Arial" w:cs="Arial"/>
          <w:sz w:val="22"/>
          <w:szCs w:val="22"/>
        </w:rPr>
        <w:t>s t</w:t>
      </w:r>
      <w:r w:rsidRPr="00FD4375">
        <w:rPr>
          <w:rFonts w:ascii="Arial" w:eastAsia="Arial" w:hAnsi="Arial" w:cs="Arial"/>
          <w:sz w:val="22"/>
          <w:szCs w:val="22"/>
        </w:rPr>
        <w:t>h</w:t>
      </w:r>
      <w:r w:rsidRPr="00BD17CA">
        <w:rPr>
          <w:rFonts w:ascii="Arial" w:eastAsia="Arial" w:hAnsi="Arial" w:cs="Arial"/>
          <w:sz w:val="22"/>
          <w:szCs w:val="22"/>
        </w:rPr>
        <w:t>at</w:t>
      </w:r>
      <w:r w:rsidRPr="00FD4375">
        <w:rPr>
          <w:rFonts w:ascii="Arial" w:eastAsia="Arial" w:hAnsi="Arial" w:cs="Arial"/>
          <w:sz w:val="22"/>
          <w:szCs w:val="22"/>
        </w:rPr>
        <w:t xml:space="preserve"> </w:t>
      </w:r>
      <w:r w:rsidRPr="00BD17CA">
        <w:rPr>
          <w:rFonts w:ascii="Arial" w:eastAsia="Arial" w:hAnsi="Arial" w:cs="Arial"/>
          <w:sz w:val="22"/>
          <w:szCs w:val="22"/>
        </w:rPr>
        <w:t>the</w:t>
      </w:r>
      <w:r w:rsidRPr="00FD4375">
        <w:rPr>
          <w:rFonts w:ascii="Arial" w:eastAsia="Arial" w:hAnsi="Arial" w:cs="Arial"/>
          <w:sz w:val="22"/>
          <w:szCs w:val="22"/>
        </w:rPr>
        <w:t xml:space="preserve"> p</w:t>
      </w:r>
      <w:r w:rsidRPr="00BD17CA">
        <w:rPr>
          <w:rFonts w:ascii="Arial" w:eastAsia="Arial" w:hAnsi="Arial" w:cs="Arial"/>
          <w:sz w:val="22"/>
          <w:szCs w:val="22"/>
        </w:rPr>
        <w:t>e</w:t>
      </w:r>
      <w:r w:rsidRPr="00FD4375">
        <w:rPr>
          <w:rFonts w:ascii="Arial" w:eastAsia="Arial" w:hAnsi="Arial" w:cs="Arial"/>
          <w:sz w:val="22"/>
          <w:szCs w:val="22"/>
        </w:rPr>
        <w:t>nsi</w:t>
      </w:r>
      <w:r w:rsidRPr="00BD17CA">
        <w:rPr>
          <w:rFonts w:ascii="Arial" w:eastAsia="Arial" w:hAnsi="Arial" w:cs="Arial"/>
          <w:sz w:val="22"/>
          <w:szCs w:val="22"/>
        </w:rPr>
        <w:t>on</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w</w:t>
      </w:r>
      <w:r w:rsidRPr="00FD4375">
        <w:rPr>
          <w:rFonts w:ascii="Arial" w:eastAsia="Arial" w:hAnsi="Arial" w:cs="Arial"/>
          <w:sz w:val="22"/>
          <w:szCs w:val="22"/>
        </w:rPr>
        <w:t>il</w:t>
      </w:r>
      <w:r w:rsidRPr="00BD17CA">
        <w:rPr>
          <w:rFonts w:ascii="Arial" w:eastAsia="Arial" w:hAnsi="Arial" w:cs="Arial"/>
          <w:sz w:val="22"/>
          <w:szCs w:val="22"/>
        </w:rPr>
        <w:t>l</w:t>
      </w:r>
      <w:r w:rsidRPr="00FD4375">
        <w:rPr>
          <w:rFonts w:ascii="Arial" w:eastAsia="Arial" w:hAnsi="Arial" w:cs="Arial"/>
          <w:sz w:val="22"/>
          <w:szCs w:val="22"/>
        </w:rPr>
        <w:t xml:space="preserve"> n</w:t>
      </w:r>
      <w:r w:rsidRPr="00BD17CA">
        <w:rPr>
          <w:rFonts w:ascii="Arial" w:eastAsia="Arial" w:hAnsi="Arial" w:cs="Arial"/>
          <w:sz w:val="22"/>
          <w:szCs w:val="22"/>
        </w:rPr>
        <w:t>e</w:t>
      </w:r>
      <w:r w:rsidRPr="00FD4375">
        <w:rPr>
          <w:rFonts w:ascii="Arial" w:eastAsia="Arial" w:hAnsi="Arial" w:cs="Arial"/>
          <w:sz w:val="22"/>
          <w:szCs w:val="22"/>
        </w:rPr>
        <w:t>e</w:t>
      </w:r>
      <w:r w:rsidRPr="00BD17CA">
        <w:rPr>
          <w:rFonts w:ascii="Arial" w:eastAsia="Arial" w:hAnsi="Arial" w:cs="Arial"/>
          <w:sz w:val="22"/>
          <w:szCs w:val="22"/>
        </w:rPr>
        <w:t>d</w:t>
      </w:r>
      <w:r w:rsidRPr="00FD4375">
        <w:rPr>
          <w:rFonts w:ascii="Arial" w:eastAsia="Arial" w:hAnsi="Arial" w:cs="Arial"/>
          <w:sz w:val="22"/>
          <w:szCs w:val="22"/>
        </w:rPr>
        <w:t xml:space="preserve"> t</w:t>
      </w:r>
      <w:r w:rsidRPr="00BD17CA">
        <w:rPr>
          <w:rFonts w:ascii="Arial" w:eastAsia="Arial" w:hAnsi="Arial" w:cs="Arial"/>
          <w:sz w:val="22"/>
          <w:szCs w:val="22"/>
        </w:rPr>
        <w:t>o</w:t>
      </w:r>
      <w:r w:rsidRPr="00FD4375">
        <w:rPr>
          <w:rFonts w:ascii="Arial" w:eastAsia="Arial" w:hAnsi="Arial" w:cs="Arial"/>
          <w:sz w:val="22"/>
          <w:szCs w:val="22"/>
        </w:rPr>
        <w:t xml:space="preserve"> </w:t>
      </w:r>
      <w:r w:rsidRPr="00BD17CA">
        <w:rPr>
          <w:rFonts w:ascii="Arial" w:eastAsia="Arial" w:hAnsi="Arial" w:cs="Arial"/>
          <w:sz w:val="22"/>
          <w:szCs w:val="22"/>
        </w:rPr>
        <w:t>re</w:t>
      </w:r>
      <w:r w:rsidRPr="00FD4375">
        <w:rPr>
          <w:rFonts w:ascii="Arial" w:eastAsia="Arial" w:hAnsi="Arial" w:cs="Arial"/>
          <w:sz w:val="22"/>
          <w:szCs w:val="22"/>
        </w:rPr>
        <w:t>ple</w:t>
      </w:r>
      <w:r w:rsidRPr="00BD17CA">
        <w:rPr>
          <w:rFonts w:ascii="Arial" w:eastAsia="Arial" w:hAnsi="Arial" w:cs="Arial"/>
          <w:sz w:val="22"/>
          <w:szCs w:val="22"/>
        </w:rPr>
        <w:t>n</w:t>
      </w:r>
      <w:r w:rsidRPr="00FD4375">
        <w:rPr>
          <w:rFonts w:ascii="Arial" w:eastAsia="Arial" w:hAnsi="Arial" w:cs="Arial"/>
          <w:sz w:val="22"/>
          <w:szCs w:val="22"/>
        </w:rPr>
        <w:t>is</w:t>
      </w:r>
      <w:r w:rsidRPr="00BD17CA">
        <w:rPr>
          <w:rFonts w:ascii="Arial" w:eastAsia="Arial" w:hAnsi="Arial" w:cs="Arial"/>
          <w:sz w:val="22"/>
          <w:szCs w:val="22"/>
        </w:rPr>
        <w:t>h</w:t>
      </w:r>
      <w:r w:rsidRPr="00FD4375">
        <w:rPr>
          <w:rFonts w:ascii="Arial" w:eastAsia="Arial" w:hAnsi="Arial" w:cs="Arial"/>
          <w:sz w:val="22"/>
          <w:szCs w:val="22"/>
        </w:rPr>
        <w:t xml:space="preserve"> </w:t>
      </w:r>
      <w:r w:rsidRPr="00BD17CA">
        <w:rPr>
          <w:rFonts w:ascii="Arial" w:eastAsia="Arial" w:hAnsi="Arial" w:cs="Arial"/>
          <w:sz w:val="22"/>
          <w:szCs w:val="22"/>
        </w:rPr>
        <w:t>a</w:t>
      </w:r>
      <w:r w:rsidRPr="00FD4375">
        <w:rPr>
          <w:rFonts w:ascii="Arial" w:eastAsia="Arial" w:hAnsi="Arial" w:cs="Arial"/>
          <w:sz w:val="22"/>
          <w:szCs w:val="22"/>
        </w:rPr>
        <w:t xml:space="preserve"> si</w:t>
      </w:r>
      <w:r w:rsidRPr="00BD17CA">
        <w:rPr>
          <w:rFonts w:ascii="Arial" w:eastAsia="Arial" w:hAnsi="Arial" w:cs="Arial"/>
          <w:sz w:val="22"/>
          <w:szCs w:val="22"/>
        </w:rPr>
        <w:t>g</w:t>
      </w:r>
      <w:r w:rsidRPr="00FD4375">
        <w:rPr>
          <w:rFonts w:ascii="Arial" w:eastAsia="Arial" w:hAnsi="Arial" w:cs="Arial"/>
          <w:sz w:val="22"/>
          <w:szCs w:val="22"/>
        </w:rPr>
        <w:t>nific</w:t>
      </w:r>
      <w:r w:rsidRPr="00BD17CA">
        <w:rPr>
          <w:rFonts w:ascii="Arial" w:eastAsia="Arial" w:hAnsi="Arial" w:cs="Arial"/>
          <w:sz w:val="22"/>
          <w:szCs w:val="22"/>
        </w:rPr>
        <w:t>a</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pro</w:t>
      </w:r>
      <w:r w:rsidRPr="00BD17CA">
        <w:rPr>
          <w:rFonts w:ascii="Arial" w:eastAsia="Arial" w:hAnsi="Arial" w:cs="Arial"/>
          <w:sz w:val="22"/>
          <w:szCs w:val="22"/>
        </w:rPr>
        <w:t>p</w:t>
      </w:r>
      <w:r w:rsidRPr="00FD4375">
        <w:rPr>
          <w:rFonts w:ascii="Arial" w:eastAsia="Arial" w:hAnsi="Arial" w:cs="Arial"/>
          <w:sz w:val="22"/>
          <w:szCs w:val="22"/>
        </w:rPr>
        <w:t>or</w:t>
      </w:r>
      <w:r w:rsidRPr="00BD17CA">
        <w:rPr>
          <w:rFonts w:ascii="Arial" w:eastAsia="Arial" w:hAnsi="Arial" w:cs="Arial"/>
          <w:sz w:val="22"/>
          <w:szCs w:val="22"/>
        </w:rPr>
        <w:t>t</w:t>
      </w:r>
      <w:r w:rsidRPr="00FD4375">
        <w:rPr>
          <w:rFonts w:ascii="Arial" w:eastAsia="Arial" w:hAnsi="Arial" w:cs="Arial"/>
          <w:sz w:val="22"/>
          <w:szCs w:val="22"/>
        </w:rPr>
        <w:t>i</w:t>
      </w:r>
      <w:r w:rsidRPr="00BD17CA">
        <w:rPr>
          <w:rFonts w:ascii="Arial" w:eastAsia="Arial" w:hAnsi="Arial" w:cs="Arial"/>
          <w:sz w:val="22"/>
          <w:szCs w:val="22"/>
        </w:rPr>
        <w:t>on</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i</w:t>
      </w:r>
      <w:r w:rsidRPr="00BD17CA">
        <w:rPr>
          <w:rFonts w:ascii="Arial" w:eastAsia="Arial" w:hAnsi="Arial" w:cs="Arial"/>
          <w:sz w:val="22"/>
          <w:szCs w:val="22"/>
        </w:rPr>
        <w:t>ts</w:t>
      </w:r>
      <w:r w:rsidRPr="00FD4375">
        <w:rPr>
          <w:rFonts w:ascii="Arial" w:eastAsia="Arial" w:hAnsi="Arial" w:cs="Arial"/>
          <w:sz w:val="22"/>
          <w:szCs w:val="22"/>
        </w:rPr>
        <w:t xml:space="preserve"> fi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cia</w:t>
      </w:r>
      <w:r w:rsidRPr="00BD17CA">
        <w:rPr>
          <w:rFonts w:ascii="Arial" w:eastAsia="Arial" w:hAnsi="Arial" w:cs="Arial"/>
          <w:sz w:val="22"/>
          <w:szCs w:val="22"/>
        </w:rPr>
        <w:t>l</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tru</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w:t>
      </w:r>
      <w:r w:rsidRPr="00FD4375">
        <w:rPr>
          <w:rFonts w:ascii="Arial" w:eastAsia="Arial" w:hAnsi="Arial" w:cs="Arial"/>
          <w:sz w:val="22"/>
          <w:szCs w:val="22"/>
        </w:rPr>
        <w:t xml:space="preserve"> </w:t>
      </w:r>
      <w:r w:rsidRPr="00BD17CA">
        <w:rPr>
          <w:rFonts w:ascii="Arial" w:eastAsia="Arial" w:hAnsi="Arial" w:cs="Arial"/>
          <w:sz w:val="22"/>
          <w:szCs w:val="22"/>
        </w:rPr>
        <w:t>at a</w:t>
      </w:r>
      <w:r w:rsidRPr="00FD4375">
        <w:rPr>
          <w:rFonts w:ascii="Arial" w:eastAsia="Arial" w:hAnsi="Arial" w:cs="Arial"/>
          <w:sz w:val="22"/>
          <w:szCs w:val="22"/>
        </w:rPr>
        <w:t xml:space="preserve"> </w:t>
      </w:r>
      <w:r w:rsidRPr="00BD17CA">
        <w:rPr>
          <w:rFonts w:ascii="Arial" w:eastAsia="Arial" w:hAnsi="Arial" w:cs="Arial"/>
          <w:sz w:val="22"/>
          <w:szCs w:val="22"/>
        </w:rPr>
        <w:t>t</w:t>
      </w:r>
      <w:r w:rsidRPr="00FD4375">
        <w:rPr>
          <w:rFonts w:ascii="Arial" w:eastAsia="Arial" w:hAnsi="Arial" w:cs="Arial"/>
          <w:sz w:val="22"/>
          <w:szCs w:val="22"/>
        </w:rPr>
        <w:t>im</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of</w:t>
      </w:r>
      <w:r w:rsidRPr="00FD4375">
        <w:rPr>
          <w:rFonts w:ascii="Arial" w:eastAsia="Arial" w:hAnsi="Arial" w:cs="Arial"/>
          <w:sz w:val="22"/>
          <w:szCs w:val="22"/>
        </w:rPr>
        <w:t xml:space="preserve"> </w:t>
      </w:r>
      <w:r w:rsidRPr="00BD17CA">
        <w:rPr>
          <w:rFonts w:ascii="Arial" w:eastAsia="Arial" w:hAnsi="Arial" w:cs="Arial"/>
          <w:sz w:val="22"/>
          <w:szCs w:val="22"/>
        </w:rPr>
        <w:t>u</w:t>
      </w:r>
      <w:r w:rsidRPr="00FD4375">
        <w:rPr>
          <w:rFonts w:ascii="Arial" w:eastAsia="Arial" w:hAnsi="Arial" w:cs="Arial"/>
          <w:sz w:val="22"/>
          <w:szCs w:val="22"/>
        </w:rPr>
        <w:t>nfav</w:t>
      </w:r>
      <w:r w:rsidRPr="00BD17CA">
        <w:rPr>
          <w:rFonts w:ascii="Arial" w:eastAsia="Arial" w:hAnsi="Arial" w:cs="Arial"/>
          <w:sz w:val="22"/>
          <w:szCs w:val="22"/>
        </w:rPr>
        <w:t>ora</w:t>
      </w:r>
      <w:r w:rsidRPr="00FD4375">
        <w:rPr>
          <w:rFonts w:ascii="Arial" w:eastAsia="Arial" w:hAnsi="Arial" w:cs="Arial"/>
          <w:sz w:val="22"/>
          <w:szCs w:val="22"/>
        </w:rPr>
        <w:t>bl</w:t>
      </w:r>
      <w:r w:rsidRPr="00BD17CA">
        <w:rPr>
          <w:rFonts w:ascii="Arial" w:eastAsia="Arial" w:hAnsi="Arial" w:cs="Arial"/>
          <w:sz w:val="22"/>
          <w:szCs w:val="22"/>
        </w:rPr>
        <w:t>e</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t</w:t>
      </w:r>
      <w:r w:rsidRPr="00BD17CA">
        <w:rPr>
          <w:rFonts w:ascii="Arial" w:eastAsia="Arial" w:hAnsi="Arial" w:cs="Arial"/>
          <w:sz w:val="22"/>
          <w:szCs w:val="22"/>
        </w:rPr>
        <w:t>ere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 xml:space="preserve"> r</w:t>
      </w:r>
      <w:r w:rsidRPr="00BD17CA">
        <w:rPr>
          <w:rFonts w:ascii="Arial" w:eastAsia="Arial" w:hAnsi="Arial" w:cs="Arial"/>
          <w:sz w:val="22"/>
          <w:szCs w:val="22"/>
        </w:rPr>
        <w:t>at</w:t>
      </w:r>
      <w:r w:rsidRPr="00FD4375">
        <w:rPr>
          <w:rFonts w:ascii="Arial" w:eastAsia="Arial" w:hAnsi="Arial" w:cs="Arial"/>
          <w:sz w:val="22"/>
          <w:szCs w:val="22"/>
        </w:rPr>
        <w:t>es</w:t>
      </w:r>
      <w:r w:rsidRPr="00BD17CA">
        <w:rPr>
          <w:rFonts w:ascii="Arial" w:eastAsia="Arial" w:hAnsi="Arial" w:cs="Arial"/>
          <w:sz w:val="22"/>
          <w:szCs w:val="22"/>
        </w:rPr>
        <w:t>.</w:t>
      </w:r>
      <w:r w:rsidRPr="00FD4375">
        <w:rPr>
          <w:rFonts w:ascii="Arial" w:eastAsia="Arial" w:hAnsi="Arial" w:cs="Arial"/>
          <w:sz w:val="22"/>
          <w:szCs w:val="22"/>
        </w:rPr>
        <w:t xml:space="preserve"> T</w:t>
      </w:r>
      <w:r w:rsidRPr="00BD17CA">
        <w:rPr>
          <w:rFonts w:ascii="Arial" w:eastAsia="Arial" w:hAnsi="Arial" w:cs="Arial"/>
          <w:sz w:val="22"/>
          <w:szCs w:val="22"/>
        </w:rPr>
        <w:t>he</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e</w:t>
      </w:r>
      <w:r w:rsidRPr="00BD17CA">
        <w:rPr>
          <w:rFonts w:ascii="Arial" w:eastAsia="Arial" w:hAnsi="Arial" w:cs="Arial"/>
          <w:sz w:val="22"/>
          <w:szCs w:val="22"/>
        </w:rPr>
        <w:t>n</w:t>
      </w:r>
      <w:r w:rsidRPr="00FD4375">
        <w:rPr>
          <w:rFonts w:ascii="Arial" w:eastAsia="Arial" w:hAnsi="Arial" w:cs="Arial"/>
          <w:sz w:val="22"/>
          <w:szCs w:val="22"/>
        </w:rPr>
        <w:t>si</w:t>
      </w:r>
      <w:r w:rsidRPr="00BD17CA">
        <w:rPr>
          <w:rFonts w:ascii="Arial" w:eastAsia="Arial" w:hAnsi="Arial" w:cs="Arial"/>
          <w:sz w:val="22"/>
          <w:szCs w:val="22"/>
        </w:rPr>
        <w:t>on</w:t>
      </w:r>
      <w:r w:rsidRPr="00FD4375">
        <w:rPr>
          <w:rFonts w:ascii="Arial" w:eastAsia="Arial" w:hAnsi="Arial" w:cs="Arial"/>
          <w:sz w:val="22"/>
          <w:szCs w:val="22"/>
        </w:rPr>
        <w:t xml:space="preserve"> f</w:t>
      </w:r>
      <w:r w:rsidRPr="00BD17CA">
        <w:rPr>
          <w:rFonts w:ascii="Arial" w:eastAsia="Arial" w:hAnsi="Arial" w:cs="Arial"/>
          <w:sz w:val="22"/>
          <w:szCs w:val="22"/>
        </w:rPr>
        <w:t>u</w:t>
      </w:r>
      <w:r w:rsidRPr="00FD4375">
        <w:rPr>
          <w:rFonts w:ascii="Arial" w:eastAsia="Arial" w:hAnsi="Arial" w:cs="Arial"/>
          <w:sz w:val="22"/>
          <w:szCs w:val="22"/>
        </w:rPr>
        <w:t>n</w:t>
      </w:r>
      <w:r w:rsidRPr="00BD17CA">
        <w:rPr>
          <w:rFonts w:ascii="Arial" w:eastAsia="Arial" w:hAnsi="Arial" w:cs="Arial"/>
          <w:sz w:val="22"/>
          <w:szCs w:val="22"/>
        </w:rPr>
        <w:t>d</w:t>
      </w:r>
      <w:r w:rsidRPr="00FD4375">
        <w:rPr>
          <w:rFonts w:ascii="Arial" w:eastAsia="Arial" w:hAnsi="Arial" w:cs="Arial"/>
          <w:sz w:val="22"/>
          <w:szCs w:val="22"/>
        </w:rPr>
        <w:t xml:space="preserve"> </w:t>
      </w:r>
      <w:r w:rsidRPr="00BD17CA">
        <w:rPr>
          <w:rFonts w:ascii="Arial" w:eastAsia="Arial" w:hAnsi="Arial" w:cs="Arial"/>
          <w:sz w:val="22"/>
          <w:szCs w:val="22"/>
        </w:rPr>
        <w:t>d</w:t>
      </w:r>
      <w:r w:rsidRPr="00FD4375">
        <w:rPr>
          <w:rFonts w:ascii="Arial" w:eastAsia="Arial" w:hAnsi="Arial" w:cs="Arial"/>
          <w:sz w:val="22"/>
          <w:szCs w:val="22"/>
        </w:rPr>
        <w:t>o</w:t>
      </w:r>
      <w:r w:rsidRPr="00BD17CA">
        <w:rPr>
          <w:rFonts w:ascii="Arial" w:eastAsia="Arial" w:hAnsi="Arial" w:cs="Arial"/>
          <w:sz w:val="22"/>
          <w:szCs w:val="22"/>
        </w:rPr>
        <w:t>es</w:t>
      </w:r>
      <w:r w:rsidRPr="00FD4375">
        <w:rPr>
          <w:rFonts w:ascii="Arial" w:eastAsia="Arial" w:hAnsi="Arial" w:cs="Arial"/>
          <w:sz w:val="22"/>
          <w:szCs w:val="22"/>
        </w:rPr>
        <w:t xml:space="preserve"> </w:t>
      </w:r>
      <w:r w:rsidRPr="00BD17CA">
        <w:rPr>
          <w:rFonts w:ascii="Arial" w:eastAsia="Arial" w:hAnsi="Arial" w:cs="Arial"/>
          <w:sz w:val="22"/>
          <w:szCs w:val="22"/>
        </w:rPr>
        <w:t>n</w:t>
      </w:r>
      <w:r w:rsidRPr="00FD4375">
        <w:rPr>
          <w:rFonts w:ascii="Arial" w:eastAsia="Arial" w:hAnsi="Arial" w:cs="Arial"/>
          <w:sz w:val="22"/>
          <w:szCs w:val="22"/>
        </w:rPr>
        <w:t>o</w:t>
      </w:r>
      <w:r w:rsidRPr="00BD17CA">
        <w:rPr>
          <w:rFonts w:ascii="Arial" w:eastAsia="Arial" w:hAnsi="Arial" w:cs="Arial"/>
          <w:sz w:val="22"/>
          <w:szCs w:val="22"/>
        </w:rPr>
        <w:t>t</w:t>
      </w:r>
      <w:r w:rsidRPr="00FD4375">
        <w:rPr>
          <w:rFonts w:ascii="Arial" w:eastAsia="Arial" w:hAnsi="Arial" w:cs="Arial"/>
          <w:sz w:val="22"/>
          <w:szCs w:val="22"/>
        </w:rPr>
        <w:t xml:space="preserve"> h</w:t>
      </w:r>
      <w:r w:rsidRPr="00BD17CA">
        <w:rPr>
          <w:rFonts w:ascii="Arial" w:eastAsia="Arial" w:hAnsi="Arial" w:cs="Arial"/>
          <w:sz w:val="22"/>
          <w:szCs w:val="22"/>
        </w:rPr>
        <w:t>a</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 xml:space="preserve"> an</w:t>
      </w:r>
      <w:r w:rsidRPr="00BD17CA">
        <w:rPr>
          <w:rFonts w:ascii="Arial" w:eastAsia="Arial" w:hAnsi="Arial" w:cs="Arial"/>
          <w:sz w:val="22"/>
          <w:szCs w:val="22"/>
        </w:rPr>
        <w:t>y</w:t>
      </w:r>
      <w:r w:rsidRPr="00FD4375">
        <w:rPr>
          <w:rFonts w:ascii="Arial" w:eastAsia="Arial" w:hAnsi="Arial" w:cs="Arial"/>
          <w:sz w:val="22"/>
          <w:szCs w:val="22"/>
        </w:rPr>
        <w:t xml:space="preserve"> fi</w:t>
      </w:r>
      <w:r w:rsidRPr="00BD17CA">
        <w:rPr>
          <w:rFonts w:ascii="Arial" w:eastAsia="Arial" w:hAnsi="Arial" w:cs="Arial"/>
          <w:sz w:val="22"/>
          <w:szCs w:val="22"/>
        </w:rPr>
        <w:t>n</w:t>
      </w:r>
      <w:r w:rsidRPr="00FD4375">
        <w:rPr>
          <w:rFonts w:ascii="Arial" w:eastAsia="Arial" w:hAnsi="Arial" w:cs="Arial"/>
          <w:sz w:val="22"/>
          <w:szCs w:val="22"/>
        </w:rPr>
        <w:t>anci</w:t>
      </w:r>
      <w:r w:rsidRPr="00BD17CA">
        <w:rPr>
          <w:rFonts w:ascii="Arial" w:eastAsia="Arial" w:hAnsi="Arial" w:cs="Arial"/>
          <w:sz w:val="22"/>
          <w:szCs w:val="22"/>
        </w:rPr>
        <w:t>al</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s</w:t>
      </w:r>
      <w:r w:rsidRPr="00BD17CA">
        <w:rPr>
          <w:rFonts w:ascii="Arial" w:eastAsia="Arial" w:hAnsi="Arial" w:cs="Arial"/>
          <w:sz w:val="22"/>
          <w:szCs w:val="22"/>
        </w:rPr>
        <w:t>tru</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ts th</w:t>
      </w:r>
      <w:r w:rsidRPr="00FD4375">
        <w:rPr>
          <w:rFonts w:ascii="Arial" w:eastAsia="Arial" w:hAnsi="Arial" w:cs="Arial"/>
          <w:sz w:val="22"/>
          <w:szCs w:val="22"/>
        </w:rPr>
        <w:t>a</w:t>
      </w:r>
      <w:r w:rsidRPr="00BD17CA">
        <w:rPr>
          <w:rFonts w:ascii="Arial" w:eastAsia="Arial" w:hAnsi="Arial" w:cs="Arial"/>
          <w:sz w:val="22"/>
          <w:szCs w:val="22"/>
        </w:rPr>
        <w:t>t</w:t>
      </w:r>
      <w:r w:rsidRPr="00FD4375">
        <w:rPr>
          <w:rFonts w:ascii="Arial" w:eastAsia="Arial" w:hAnsi="Arial" w:cs="Arial"/>
          <w:sz w:val="22"/>
          <w:szCs w:val="22"/>
        </w:rPr>
        <w:t xml:space="preserve"> h</w:t>
      </w:r>
      <w:r w:rsidRPr="00BD17CA">
        <w:rPr>
          <w:rFonts w:ascii="Arial" w:eastAsia="Arial" w:hAnsi="Arial" w:cs="Arial"/>
          <w:sz w:val="22"/>
          <w:szCs w:val="22"/>
        </w:rPr>
        <w:t>a</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 xml:space="preserve"> </w:t>
      </w:r>
      <w:r w:rsidRPr="00BD17CA">
        <w:rPr>
          <w:rFonts w:ascii="Arial" w:eastAsia="Arial" w:hAnsi="Arial" w:cs="Arial"/>
          <w:sz w:val="22"/>
          <w:szCs w:val="22"/>
        </w:rPr>
        <w:t xml:space="preserve">a </w:t>
      </w:r>
      <w:r w:rsidRPr="00FD4375">
        <w:rPr>
          <w:rFonts w:ascii="Arial" w:eastAsia="Arial" w:hAnsi="Arial" w:cs="Arial"/>
          <w:sz w:val="22"/>
          <w:szCs w:val="22"/>
        </w:rPr>
        <w:t>r</w:t>
      </w:r>
      <w:r w:rsidRPr="00BD17CA">
        <w:rPr>
          <w:rFonts w:ascii="Arial" w:eastAsia="Arial" w:hAnsi="Arial" w:cs="Arial"/>
          <w:sz w:val="22"/>
          <w:szCs w:val="22"/>
        </w:rPr>
        <w:t>e</w:t>
      </w:r>
      <w:r w:rsidRPr="00FD4375">
        <w:rPr>
          <w:rFonts w:ascii="Arial" w:eastAsia="Arial" w:hAnsi="Arial" w:cs="Arial"/>
          <w:sz w:val="22"/>
          <w:szCs w:val="22"/>
        </w:rPr>
        <w:t>fi</w:t>
      </w:r>
      <w:r w:rsidRPr="00BD17CA">
        <w:rPr>
          <w:rFonts w:ascii="Arial" w:eastAsia="Arial" w:hAnsi="Arial" w:cs="Arial"/>
          <w:sz w:val="22"/>
          <w:szCs w:val="22"/>
        </w:rPr>
        <w:t>n</w:t>
      </w:r>
      <w:r w:rsidRPr="00FD4375">
        <w:rPr>
          <w:rFonts w:ascii="Arial" w:eastAsia="Arial" w:hAnsi="Arial" w:cs="Arial"/>
          <w:sz w:val="22"/>
          <w:szCs w:val="22"/>
        </w:rPr>
        <w:t>a</w:t>
      </w:r>
      <w:r w:rsidRPr="00BD17CA">
        <w:rPr>
          <w:rFonts w:ascii="Arial" w:eastAsia="Arial" w:hAnsi="Arial" w:cs="Arial"/>
          <w:sz w:val="22"/>
          <w:szCs w:val="22"/>
        </w:rPr>
        <w:t>n</w:t>
      </w:r>
      <w:r w:rsidRPr="00FD4375">
        <w:rPr>
          <w:rFonts w:ascii="Arial" w:eastAsia="Arial" w:hAnsi="Arial" w:cs="Arial"/>
          <w:sz w:val="22"/>
          <w:szCs w:val="22"/>
        </w:rPr>
        <w:t>cin</w:t>
      </w:r>
      <w:r w:rsidRPr="00BD17CA">
        <w:rPr>
          <w:rFonts w:ascii="Arial" w:eastAsia="Arial" w:hAnsi="Arial" w:cs="Arial"/>
          <w:sz w:val="22"/>
          <w:szCs w:val="22"/>
        </w:rPr>
        <w:t>g</w:t>
      </w:r>
      <w:r w:rsidRPr="00FD4375">
        <w:rPr>
          <w:rFonts w:ascii="Arial" w:eastAsia="Arial" w:hAnsi="Arial" w:cs="Arial"/>
          <w:sz w:val="22"/>
          <w:szCs w:val="22"/>
        </w:rPr>
        <w:t xml:space="preserve"> </w:t>
      </w:r>
      <w:r w:rsidRPr="00BD17CA">
        <w:rPr>
          <w:rFonts w:ascii="Arial" w:eastAsia="Arial" w:hAnsi="Arial" w:cs="Arial"/>
          <w:sz w:val="22"/>
          <w:szCs w:val="22"/>
        </w:rPr>
        <w:t>r</w:t>
      </w:r>
      <w:r w:rsidRPr="00FD4375">
        <w:rPr>
          <w:rFonts w:ascii="Arial" w:eastAsia="Arial" w:hAnsi="Arial" w:cs="Arial"/>
          <w:sz w:val="22"/>
          <w:szCs w:val="22"/>
        </w:rPr>
        <w:t>is</w:t>
      </w:r>
      <w:r w:rsidRPr="00BD17CA">
        <w:rPr>
          <w:rFonts w:ascii="Arial" w:eastAsia="Arial" w:hAnsi="Arial" w:cs="Arial"/>
          <w:sz w:val="22"/>
          <w:szCs w:val="22"/>
        </w:rPr>
        <w:t>k as</w:t>
      </w:r>
      <w:r w:rsidRPr="00FD4375">
        <w:rPr>
          <w:rFonts w:ascii="Arial" w:eastAsia="Arial" w:hAnsi="Arial" w:cs="Arial"/>
          <w:sz w:val="22"/>
          <w:szCs w:val="22"/>
        </w:rPr>
        <w:t xml:space="preserve"> </w:t>
      </w:r>
      <w:r w:rsidRPr="00BD17CA">
        <w:rPr>
          <w:rFonts w:ascii="Arial" w:eastAsia="Arial" w:hAnsi="Arial" w:cs="Arial"/>
          <w:sz w:val="22"/>
          <w:szCs w:val="22"/>
        </w:rPr>
        <w:t>p</w:t>
      </w:r>
      <w:r w:rsidRPr="00FD4375">
        <w:rPr>
          <w:rFonts w:ascii="Arial" w:eastAsia="Arial" w:hAnsi="Arial" w:cs="Arial"/>
          <w:sz w:val="22"/>
          <w:szCs w:val="22"/>
        </w:rPr>
        <w:t>ar</w:t>
      </w:r>
      <w:r w:rsidRPr="00BD17CA">
        <w:rPr>
          <w:rFonts w:ascii="Arial" w:eastAsia="Arial" w:hAnsi="Arial" w:cs="Arial"/>
          <w:sz w:val="22"/>
          <w:szCs w:val="22"/>
        </w:rPr>
        <w:t>t</w:t>
      </w:r>
      <w:r w:rsidRPr="00FD4375">
        <w:rPr>
          <w:rFonts w:ascii="Arial" w:eastAsia="Arial" w:hAnsi="Arial" w:cs="Arial"/>
          <w:sz w:val="22"/>
          <w:szCs w:val="22"/>
        </w:rPr>
        <w:t xml:space="preserve"> o</w:t>
      </w:r>
      <w:r w:rsidRPr="00BD17CA">
        <w:rPr>
          <w:rFonts w:ascii="Arial" w:eastAsia="Arial" w:hAnsi="Arial" w:cs="Arial"/>
          <w:sz w:val="22"/>
          <w:szCs w:val="22"/>
        </w:rPr>
        <w:t>f t</w:t>
      </w:r>
      <w:r w:rsidRPr="00FD4375">
        <w:rPr>
          <w:rFonts w:ascii="Arial" w:eastAsia="Arial" w:hAnsi="Arial" w:cs="Arial"/>
          <w:sz w:val="22"/>
          <w:szCs w:val="22"/>
        </w:rPr>
        <w:t>hi</w:t>
      </w:r>
      <w:r w:rsidRPr="00BD17CA">
        <w:rPr>
          <w:rFonts w:ascii="Arial" w:eastAsia="Arial" w:hAnsi="Arial" w:cs="Arial"/>
          <w:sz w:val="22"/>
          <w:szCs w:val="22"/>
        </w:rPr>
        <w:t>s</w:t>
      </w:r>
      <w:r w:rsidRPr="00FD4375">
        <w:rPr>
          <w:rFonts w:ascii="Arial" w:eastAsia="Arial" w:hAnsi="Arial" w:cs="Arial"/>
          <w:sz w:val="22"/>
          <w:szCs w:val="22"/>
        </w:rPr>
        <w:t xml:space="preserve"> i</w:t>
      </w:r>
      <w:r w:rsidRPr="00BD17CA">
        <w:rPr>
          <w:rFonts w:ascii="Arial" w:eastAsia="Arial" w:hAnsi="Arial" w:cs="Arial"/>
          <w:sz w:val="22"/>
          <w:szCs w:val="22"/>
        </w:rPr>
        <w:t>n</w:t>
      </w:r>
      <w:r w:rsidRPr="00FD4375">
        <w:rPr>
          <w:rFonts w:ascii="Arial" w:eastAsia="Arial" w:hAnsi="Arial" w:cs="Arial"/>
          <w:sz w:val="22"/>
          <w:szCs w:val="22"/>
        </w:rPr>
        <w:t>v</w:t>
      </w:r>
      <w:r w:rsidRPr="00BD17CA">
        <w:rPr>
          <w:rFonts w:ascii="Arial" w:eastAsia="Arial" w:hAnsi="Arial" w:cs="Arial"/>
          <w:sz w:val="22"/>
          <w:szCs w:val="22"/>
        </w:rPr>
        <w:t>e</w:t>
      </w:r>
      <w:r w:rsidRPr="00FD4375">
        <w:rPr>
          <w:rFonts w:ascii="Arial" w:eastAsia="Arial" w:hAnsi="Arial" w:cs="Arial"/>
          <w:sz w:val="22"/>
          <w:szCs w:val="22"/>
        </w:rPr>
        <w:t>s</w:t>
      </w:r>
      <w:r w:rsidRPr="00BD17CA">
        <w:rPr>
          <w:rFonts w:ascii="Arial" w:eastAsia="Arial" w:hAnsi="Arial" w:cs="Arial"/>
          <w:sz w:val="22"/>
          <w:szCs w:val="22"/>
        </w:rPr>
        <w:t>t</w:t>
      </w:r>
      <w:r w:rsidRPr="00FD4375">
        <w:rPr>
          <w:rFonts w:ascii="Arial" w:eastAsia="Arial" w:hAnsi="Arial" w:cs="Arial"/>
          <w:sz w:val="22"/>
          <w:szCs w:val="22"/>
        </w:rPr>
        <w:t>m</w:t>
      </w:r>
      <w:r w:rsidRPr="00BD17CA">
        <w:rPr>
          <w:rFonts w:ascii="Arial" w:eastAsia="Arial" w:hAnsi="Arial" w:cs="Arial"/>
          <w:sz w:val="22"/>
          <w:szCs w:val="22"/>
        </w:rPr>
        <w:t>e</w:t>
      </w:r>
      <w:r w:rsidRPr="00FD4375">
        <w:rPr>
          <w:rFonts w:ascii="Arial" w:eastAsia="Arial" w:hAnsi="Arial" w:cs="Arial"/>
          <w:sz w:val="22"/>
          <w:szCs w:val="22"/>
        </w:rPr>
        <w:t>n</w:t>
      </w:r>
      <w:r w:rsidRPr="00BD17CA">
        <w:rPr>
          <w:rFonts w:ascii="Arial" w:eastAsia="Arial" w:hAnsi="Arial" w:cs="Arial"/>
          <w:sz w:val="22"/>
          <w:szCs w:val="22"/>
        </w:rPr>
        <w:t>t</w:t>
      </w:r>
      <w:r w:rsidRPr="00FD4375">
        <w:rPr>
          <w:rFonts w:ascii="Arial" w:eastAsia="Arial" w:hAnsi="Arial" w:cs="Arial"/>
          <w:sz w:val="22"/>
          <w:szCs w:val="22"/>
        </w:rPr>
        <w:t xml:space="preserve"> s</w:t>
      </w:r>
      <w:r w:rsidRPr="00BD17CA">
        <w:rPr>
          <w:rFonts w:ascii="Arial" w:eastAsia="Arial" w:hAnsi="Arial" w:cs="Arial"/>
          <w:sz w:val="22"/>
          <w:szCs w:val="22"/>
        </w:rPr>
        <w:t>trat</w:t>
      </w:r>
      <w:r w:rsidRPr="00FD4375">
        <w:rPr>
          <w:rFonts w:ascii="Arial" w:eastAsia="Arial" w:hAnsi="Arial" w:cs="Arial"/>
          <w:sz w:val="22"/>
          <w:szCs w:val="22"/>
        </w:rPr>
        <w:t>egy</w:t>
      </w:r>
      <w:r w:rsidRPr="00BD17CA">
        <w:rPr>
          <w:rFonts w:ascii="Arial" w:eastAsia="Arial" w:hAnsi="Arial" w:cs="Arial"/>
          <w:sz w:val="22"/>
          <w:szCs w:val="22"/>
        </w:rPr>
        <w:t>.</w:t>
      </w:r>
    </w:p>
    <w:p w14:paraId="7C8B270F" w14:textId="016654ED" w:rsidR="004C23DA" w:rsidRDefault="004C23DA" w:rsidP="00FD4375">
      <w:pPr>
        <w:spacing w:after="200" w:line="276" w:lineRule="auto"/>
        <w:ind w:right="74"/>
        <w:jc w:val="both"/>
        <w:rPr>
          <w:rFonts w:ascii="Arial" w:eastAsia="Arial" w:hAnsi="Arial" w:cs="Arial"/>
          <w:sz w:val="22"/>
          <w:szCs w:val="22"/>
        </w:rPr>
      </w:pPr>
    </w:p>
    <w:p w14:paraId="4DD4BFEB" w14:textId="75D38092" w:rsidR="004C23DA" w:rsidRDefault="004C23DA" w:rsidP="00FD4375">
      <w:pPr>
        <w:spacing w:after="200" w:line="276" w:lineRule="auto"/>
        <w:ind w:right="74"/>
        <w:jc w:val="both"/>
        <w:rPr>
          <w:rFonts w:ascii="Arial" w:eastAsia="Arial" w:hAnsi="Arial" w:cs="Arial"/>
          <w:sz w:val="22"/>
          <w:szCs w:val="22"/>
        </w:rPr>
      </w:pPr>
    </w:p>
    <w:p w14:paraId="4DF8636A" w14:textId="4D0AB572" w:rsidR="004C23DA" w:rsidRDefault="004C23DA" w:rsidP="00FD4375">
      <w:pPr>
        <w:spacing w:after="200" w:line="276" w:lineRule="auto"/>
        <w:ind w:right="74"/>
        <w:jc w:val="both"/>
        <w:rPr>
          <w:rFonts w:ascii="Arial" w:eastAsia="Arial" w:hAnsi="Arial" w:cs="Arial"/>
          <w:sz w:val="22"/>
          <w:szCs w:val="22"/>
        </w:rPr>
      </w:pPr>
    </w:p>
    <w:p w14:paraId="2EDFAB62" w14:textId="55BEA7B1" w:rsidR="004C23DA" w:rsidRDefault="004C23DA" w:rsidP="00FD4375">
      <w:pPr>
        <w:spacing w:after="200" w:line="276" w:lineRule="auto"/>
        <w:ind w:right="74"/>
        <w:jc w:val="both"/>
        <w:rPr>
          <w:rFonts w:ascii="Arial" w:eastAsia="Arial" w:hAnsi="Arial" w:cs="Arial"/>
          <w:sz w:val="22"/>
          <w:szCs w:val="22"/>
        </w:rPr>
      </w:pPr>
    </w:p>
    <w:p w14:paraId="0E340A05" w14:textId="7D7117B0" w:rsidR="004C23DA" w:rsidRDefault="004C23DA" w:rsidP="00FD4375">
      <w:pPr>
        <w:spacing w:after="200" w:line="276" w:lineRule="auto"/>
        <w:ind w:right="74"/>
        <w:jc w:val="both"/>
        <w:rPr>
          <w:rFonts w:ascii="Arial" w:eastAsia="Arial" w:hAnsi="Arial" w:cs="Arial"/>
          <w:sz w:val="22"/>
          <w:szCs w:val="22"/>
        </w:rPr>
      </w:pPr>
    </w:p>
    <w:p w14:paraId="76A6ABC7" w14:textId="7318E069" w:rsidR="004C23DA" w:rsidRDefault="004C23DA" w:rsidP="00FD4375">
      <w:pPr>
        <w:spacing w:after="200" w:line="276" w:lineRule="auto"/>
        <w:ind w:right="74"/>
        <w:jc w:val="both"/>
        <w:rPr>
          <w:rFonts w:ascii="Arial" w:eastAsia="Arial" w:hAnsi="Arial" w:cs="Arial"/>
          <w:sz w:val="22"/>
          <w:szCs w:val="22"/>
        </w:rPr>
      </w:pPr>
    </w:p>
    <w:p w14:paraId="1C66045F" w14:textId="10C27D77" w:rsidR="004C23DA" w:rsidRDefault="004C23DA" w:rsidP="00FD4375">
      <w:pPr>
        <w:spacing w:after="200" w:line="276" w:lineRule="auto"/>
        <w:ind w:right="74"/>
        <w:jc w:val="both"/>
        <w:rPr>
          <w:rFonts w:ascii="Arial" w:eastAsia="Arial" w:hAnsi="Arial" w:cs="Arial"/>
          <w:sz w:val="22"/>
          <w:szCs w:val="22"/>
        </w:rPr>
      </w:pPr>
    </w:p>
    <w:p w14:paraId="1054069D" w14:textId="028E7A59" w:rsidR="004C23DA" w:rsidRDefault="004C23DA" w:rsidP="00FD4375">
      <w:pPr>
        <w:spacing w:after="200" w:line="276" w:lineRule="auto"/>
        <w:ind w:right="74"/>
        <w:jc w:val="both"/>
        <w:rPr>
          <w:rFonts w:ascii="Arial" w:eastAsia="Arial" w:hAnsi="Arial" w:cs="Arial"/>
          <w:sz w:val="22"/>
          <w:szCs w:val="22"/>
        </w:rPr>
      </w:pPr>
    </w:p>
    <w:p w14:paraId="2EF85C7C" w14:textId="0900C4B7" w:rsidR="004C23DA" w:rsidRDefault="004C23DA" w:rsidP="00FD4375">
      <w:pPr>
        <w:spacing w:after="200" w:line="276" w:lineRule="auto"/>
        <w:ind w:right="74"/>
        <w:jc w:val="both"/>
        <w:rPr>
          <w:rFonts w:ascii="Arial" w:eastAsia="Arial" w:hAnsi="Arial" w:cs="Arial"/>
          <w:sz w:val="22"/>
          <w:szCs w:val="22"/>
        </w:rPr>
      </w:pPr>
    </w:p>
    <w:p w14:paraId="7D87456B" w14:textId="497F08C4" w:rsidR="004C23DA" w:rsidRDefault="004C23DA" w:rsidP="00FD4375">
      <w:pPr>
        <w:spacing w:after="200" w:line="276" w:lineRule="auto"/>
        <w:ind w:right="74"/>
        <w:jc w:val="both"/>
        <w:rPr>
          <w:rFonts w:ascii="Arial" w:eastAsia="Arial" w:hAnsi="Arial" w:cs="Arial"/>
          <w:sz w:val="22"/>
          <w:szCs w:val="22"/>
        </w:rPr>
      </w:pPr>
    </w:p>
    <w:p w14:paraId="29801A73" w14:textId="3283800D" w:rsidR="004C23DA" w:rsidRDefault="004C23DA" w:rsidP="00FD4375">
      <w:pPr>
        <w:spacing w:after="200" w:line="276" w:lineRule="auto"/>
        <w:ind w:right="74"/>
        <w:jc w:val="both"/>
        <w:rPr>
          <w:rFonts w:ascii="Arial" w:eastAsia="Arial" w:hAnsi="Arial" w:cs="Arial"/>
          <w:sz w:val="22"/>
          <w:szCs w:val="22"/>
        </w:rPr>
      </w:pPr>
    </w:p>
    <w:p w14:paraId="79D43721" w14:textId="5D53E6F8" w:rsidR="004C23DA" w:rsidRDefault="004C23DA" w:rsidP="00FD4375">
      <w:pPr>
        <w:spacing w:after="200" w:line="276" w:lineRule="auto"/>
        <w:ind w:right="74"/>
        <w:jc w:val="both"/>
        <w:rPr>
          <w:rFonts w:ascii="Arial" w:eastAsia="Arial" w:hAnsi="Arial" w:cs="Arial"/>
          <w:sz w:val="22"/>
          <w:szCs w:val="22"/>
        </w:rPr>
      </w:pPr>
    </w:p>
    <w:p w14:paraId="76D0AD34" w14:textId="3E91A06C" w:rsidR="004C23DA" w:rsidRDefault="004C23DA" w:rsidP="00FD4375">
      <w:pPr>
        <w:spacing w:after="200" w:line="276" w:lineRule="auto"/>
        <w:ind w:right="74"/>
        <w:jc w:val="both"/>
        <w:rPr>
          <w:rFonts w:ascii="Arial" w:eastAsia="Arial" w:hAnsi="Arial" w:cs="Arial"/>
          <w:sz w:val="22"/>
          <w:szCs w:val="22"/>
        </w:rPr>
      </w:pPr>
    </w:p>
    <w:p w14:paraId="73C424E0" w14:textId="46C796D1" w:rsidR="004C23DA" w:rsidRDefault="004C23DA" w:rsidP="00FD4375">
      <w:pPr>
        <w:spacing w:after="200" w:line="276" w:lineRule="auto"/>
        <w:ind w:right="74"/>
        <w:jc w:val="both"/>
        <w:rPr>
          <w:rFonts w:ascii="Arial" w:eastAsia="Arial" w:hAnsi="Arial" w:cs="Arial"/>
          <w:sz w:val="22"/>
          <w:szCs w:val="22"/>
        </w:rPr>
      </w:pPr>
    </w:p>
    <w:p w14:paraId="71F1AA10" w14:textId="5F16155B" w:rsidR="004C23DA" w:rsidRDefault="004C23DA" w:rsidP="00FD4375">
      <w:pPr>
        <w:spacing w:after="200" w:line="276" w:lineRule="auto"/>
        <w:ind w:right="74"/>
        <w:jc w:val="both"/>
        <w:rPr>
          <w:rFonts w:ascii="Arial" w:eastAsia="Arial" w:hAnsi="Arial" w:cs="Arial"/>
          <w:sz w:val="22"/>
          <w:szCs w:val="22"/>
        </w:rPr>
      </w:pPr>
    </w:p>
    <w:p w14:paraId="6D3E3379" w14:textId="77777777" w:rsidR="004C23DA" w:rsidRPr="00BD17CA" w:rsidRDefault="004C23DA" w:rsidP="00FD4375">
      <w:pPr>
        <w:spacing w:after="200" w:line="276" w:lineRule="auto"/>
        <w:ind w:right="74"/>
        <w:jc w:val="both"/>
        <w:rPr>
          <w:rFonts w:ascii="Arial" w:eastAsia="Arial" w:hAnsi="Arial" w:cs="Arial"/>
          <w:sz w:val="22"/>
          <w:szCs w:val="22"/>
        </w:rPr>
      </w:pPr>
    </w:p>
    <w:p w14:paraId="40CC9C5D" w14:textId="77777777" w:rsidR="004C23DA" w:rsidRDefault="004C23DA" w:rsidP="00FD4375">
      <w:pPr>
        <w:spacing w:after="200" w:line="276" w:lineRule="auto"/>
        <w:ind w:right="74"/>
        <w:jc w:val="both"/>
        <w:rPr>
          <w:rFonts w:ascii="Arial" w:eastAsia="Arial" w:hAnsi="Arial" w:cs="Arial"/>
          <w:b/>
          <w:bCs/>
          <w:sz w:val="22"/>
          <w:szCs w:val="22"/>
        </w:rPr>
      </w:pPr>
    </w:p>
    <w:p w14:paraId="4359F7D9" w14:textId="77777777" w:rsidR="004C23DA" w:rsidRDefault="004C23DA" w:rsidP="00FD4375">
      <w:pPr>
        <w:spacing w:after="200" w:line="276" w:lineRule="auto"/>
        <w:ind w:right="74"/>
        <w:jc w:val="both"/>
        <w:rPr>
          <w:rFonts w:ascii="Arial" w:eastAsia="Arial" w:hAnsi="Arial" w:cs="Arial"/>
          <w:b/>
          <w:bCs/>
          <w:sz w:val="22"/>
          <w:szCs w:val="22"/>
        </w:rPr>
      </w:pPr>
    </w:p>
    <w:p w14:paraId="4A324893" w14:textId="77777777" w:rsidR="004C23DA" w:rsidRDefault="004C23DA" w:rsidP="00FD4375">
      <w:pPr>
        <w:spacing w:after="200" w:line="276" w:lineRule="auto"/>
        <w:ind w:right="74"/>
        <w:jc w:val="both"/>
        <w:rPr>
          <w:rFonts w:ascii="Arial" w:eastAsia="Arial" w:hAnsi="Arial" w:cs="Arial"/>
          <w:b/>
          <w:bCs/>
          <w:sz w:val="22"/>
          <w:szCs w:val="22"/>
        </w:rPr>
      </w:pPr>
    </w:p>
    <w:p w14:paraId="3B7170B7" w14:textId="77777777" w:rsidR="004C23DA" w:rsidRDefault="004C23DA" w:rsidP="00FD4375">
      <w:pPr>
        <w:spacing w:after="200" w:line="276" w:lineRule="auto"/>
        <w:ind w:right="74"/>
        <w:jc w:val="both"/>
        <w:rPr>
          <w:rFonts w:ascii="Arial" w:eastAsia="Arial" w:hAnsi="Arial" w:cs="Arial"/>
          <w:b/>
          <w:bCs/>
          <w:sz w:val="22"/>
          <w:szCs w:val="22"/>
        </w:rPr>
      </w:pPr>
    </w:p>
    <w:p w14:paraId="6E2D417A" w14:textId="77777777" w:rsidR="004C23DA" w:rsidRDefault="004C23DA" w:rsidP="00FD4375">
      <w:pPr>
        <w:spacing w:after="200" w:line="276" w:lineRule="auto"/>
        <w:ind w:right="74"/>
        <w:jc w:val="both"/>
        <w:rPr>
          <w:rFonts w:ascii="Arial" w:eastAsia="Arial" w:hAnsi="Arial" w:cs="Arial"/>
          <w:b/>
          <w:bCs/>
          <w:sz w:val="22"/>
          <w:szCs w:val="22"/>
        </w:rPr>
      </w:pPr>
    </w:p>
    <w:p w14:paraId="76E1993F" w14:textId="09FDF1AD" w:rsidR="009C7422" w:rsidRPr="00FD4375" w:rsidRDefault="001706EB" w:rsidP="00FD4375">
      <w:pPr>
        <w:spacing w:after="200" w:line="276" w:lineRule="auto"/>
        <w:ind w:right="74"/>
        <w:jc w:val="both"/>
        <w:rPr>
          <w:rFonts w:ascii="Arial" w:eastAsia="Arial" w:hAnsi="Arial" w:cs="Arial"/>
          <w:b/>
          <w:bCs/>
          <w:sz w:val="22"/>
          <w:szCs w:val="22"/>
        </w:rPr>
      </w:pPr>
      <w:commentRangeStart w:id="13"/>
      <w:r w:rsidRPr="00FD4375">
        <w:rPr>
          <w:rFonts w:ascii="Arial" w:eastAsia="Arial" w:hAnsi="Arial" w:cs="Arial"/>
          <w:b/>
          <w:bCs/>
          <w:sz w:val="22"/>
          <w:szCs w:val="22"/>
        </w:rPr>
        <w:lastRenderedPageBreak/>
        <w:t xml:space="preserve">NOTE </w:t>
      </w:r>
      <w:r w:rsidR="00247116" w:rsidRPr="00FD4375">
        <w:rPr>
          <w:rFonts w:ascii="Arial" w:eastAsia="Arial" w:hAnsi="Arial" w:cs="Arial"/>
          <w:b/>
          <w:bCs/>
          <w:sz w:val="22"/>
          <w:szCs w:val="22"/>
        </w:rPr>
        <w:t>1</w:t>
      </w:r>
      <w:r w:rsidR="00247116">
        <w:rPr>
          <w:rFonts w:ascii="Arial" w:eastAsia="Arial" w:hAnsi="Arial" w:cs="Arial"/>
          <w:b/>
          <w:bCs/>
          <w:sz w:val="22"/>
          <w:szCs w:val="22"/>
        </w:rPr>
        <w:t>7</w:t>
      </w:r>
      <w:r w:rsidRPr="00FD4375">
        <w:rPr>
          <w:rFonts w:ascii="Arial" w:eastAsia="Arial" w:hAnsi="Arial" w:cs="Arial"/>
          <w:b/>
          <w:bCs/>
          <w:sz w:val="22"/>
          <w:szCs w:val="22"/>
        </w:rPr>
        <w:t>: FUNDING ARRANGEMENTS</w:t>
      </w:r>
    </w:p>
    <w:p w14:paraId="519AE2F8" w14:textId="1523472C" w:rsidR="009C7422" w:rsidRDefault="001706EB" w:rsidP="00FD4375">
      <w:pPr>
        <w:spacing w:after="200" w:line="276" w:lineRule="auto"/>
        <w:ind w:right="74"/>
        <w:jc w:val="both"/>
        <w:rPr>
          <w:rFonts w:ascii="Arial" w:eastAsia="Arial" w:hAnsi="Arial" w:cs="Arial"/>
          <w:b/>
          <w:bCs/>
          <w:sz w:val="22"/>
          <w:szCs w:val="22"/>
        </w:rPr>
      </w:pPr>
      <w:r w:rsidRPr="00FD4375">
        <w:rPr>
          <w:rFonts w:ascii="Arial" w:eastAsia="Arial" w:hAnsi="Arial" w:cs="Arial"/>
          <w:b/>
          <w:bCs/>
          <w:sz w:val="22"/>
          <w:szCs w:val="22"/>
        </w:rPr>
        <w:t>ACCOUNTS FOR THE YEAR ENDED 31 MARCH 20</w:t>
      </w:r>
      <w:r w:rsidR="004C23DA">
        <w:rPr>
          <w:rFonts w:ascii="Arial" w:eastAsia="Arial" w:hAnsi="Arial" w:cs="Arial"/>
          <w:b/>
          <w:bCs/>
          <w:sz w:val="22"/>
          <w:szCs w:val="22"/>
        </w:rPr>
        <w:t>20</w:t>
      </w:r>
      <w:r w:rsidRPr="00FD4375">
        <w:rPr>
          <w:rFonts w:ascii="Arial" w:eastAsia="Arial" w:hAnsi="Arial" w:cs="Arial"/>
          <w:b/>
          <w:bCs/>
          <w:sz w:val="22"/>
          <w:szCs w:val="22"/>
        </w:rPr>
        <w:t xml:space="preserve"> - STATEMENT BY THE CONSULTING ACTUARY</w:t>
      </w:r>
      <w:commentRangeEnd w:id="13"/>
      <w:r w:rsidR="00DD4886">
        <w:rPr>
          <w:rStyle w:val="CommentReference"/>
        </w:rPr>
        <w:commentReference w:id="13"/>
      </w:r>
    </w:p>
    <w:p w14:paraId="69304142" w14:textId="77777777" w:rsidR="009F4ADE" w:rsidRPr="009F4ADE" w:rsidRDefault="009F4ADE" w:rsidP="009F4ADE">
      <w:pPr>
        <w:spacing w:after="240"/>
        <w:jc w:val="both"/>
        <w:rPr>
          <w:rFonts w:ascii="Arial" w:hAnsi="Arial" w:cs="Arial"/>
          <w:noProof/>
          <w:sz w:val="22"/>
          <w:lang w:eastAsia="en-GB"/>
        </w:rPr>
      </w:pPr>
      <w:r w:rsidRPr="009F4ADE">
        <w:rPr>
          <w:rFonts w:ascii="Arial" w:hAnsi="Arial" w:cs="Arial"/>
          <w:noProof/>
          <w:sz w:val="22"/>
          <w:lang w:eastAsia="en-GB"/>
        </w:rPr>
        <w:t>This statement has been provided to meet the requirements under Regulation 57(1)(d) of The Local Government Pension Scheme Regulations 2013.</w:t>
      </w:r>
    </w:p>
    <w:p w14:paraId="7B446D18" w14:textId="77777777" w:rsidR="009F4ADE" w:rsidRPr="009F4ADE" w:rsidRDefault="009F4ADE" w:rsidP="009F4ADE">
      <w:pPr>
        <w:spacing w:after="240"/>
        <w:jc w:val="both"/>
        <w:rPr>
          <w:rFonts w:ascii="Arial" w:hAnsi="Arial" w:cs="Arial"/>
          <w:noProof/>
          <w:sz w:val="22"/>
          <w:lang w:eastAsia="en-GB"/>
        </w:rPr>
      </w:pPr>
      <w:r w:rsidRPr="009F4ADE">
        <w:rPr>
          <w:rFonts w:ascii="Arial" w:hAnsi="Arial" w:cs="Arial"/>
          <w:noProof/>
          <w:sz w:val="22"/>
          <w:lang w:eastAsia="en-GB"/>
        </w:rPr>
        <w:t>An actuarial valuation of the London Borough of Waltham Forest Pension Fund was carried out as at 31 March 2019 to determine the contribution rates with effect from 1 April 2020 to 31 March 2023.</w:t>
      </w:r>
    </w:p>
    <w:p w14:paraId="0B1A360C" w14:textId="77777777" w:rsidR="009F4ADE" w:rsidRPr="009F4ADE" w:rsidRDefault="009F4ADE" w:rsidP="009F4ADE">
      <w:pPr>
        <w:spacing w:after="240"/>
        <w:jc w:val="both"/>
        <w:rPr>
          <w:rFonts w:ascii="Arial" w:hAnsi="Arial" w:cs="Arial"/>
          <w:sz w:val="22"/>
        </w:rPr>
      </w:pPr>
      <w:proofErr w:type="gramStart"/>
      <w:r w:rsidRPr="009F4ADE">
        <w:rPr>
          <w:rFonts w:ascii="Arial" w:hAnsi="Arial" w:cs="Arial"/>
          <w:sz w:val="22"/>
        </w:rPr>
        <w:t>On the basis of</w:t>
      </w:r>
      <w:proofErr w:type="gramEnd"/>
      <w:r w:rsidRPr="009F4ADE">
        <w:rPr>
          <w:rFonts w:ascii="Arial" w:hAnsi="Arial" w:cs="Arial"/>
          <w:sz w:val="22"/>
        </w:rPr>
        <w:t xml:space="preserve"> the assumptions adopted, the Fund’s assets of £924 million represented 80% of the Fund’s past service liabilities of £1,158 million (the “Solvency Funding Target”) at the valuation date. The deficit at the valuation was therefore £234 million.  </w:t>
      </w:r>
    </w:p>
    <w:p w14:paraId="07981572" w14:textId="77777777" w:rsidR="009F4ADE" w:rsidRPr="009F4ADE" w:rsidRDefault="009F4ADE" w:rsidP="009F4ADE">
      <w:pPr>
        <w:spacing w:after="240"/>
        <w:jc w:val="both"/>
        <w:rPr>
          <w:rFonts w:ascii="Mute" w:hAnsi="Mute"/>
          <w:color w:val="003865"/>
          <w:sz w:val="22"/>
        </w:rPr>
      </w:pPr>
    </w:p>
    <w:p w14:paraId="707B7AE5" w14:textId="77777777" w:rsidR="009F4ADE" w:rsidRPr="009F4ADE" w:rsidRDefault="009F4ADE" w:rsidP="009F4ADE">
      <w:pPr>
        <w:spacing w:after="240"/>
        <w:rPr>
          <w:rFonts w:ascii="Mute" w:hAnsi="Mute"/>
          <w:color w:val="003865"/>
          <w:sz w:val="22"/>
        </w:rPr>
      </w:pPr>
      <w:r w:rsidRPr="009F4ADE">
        <w:rPr>
          <w:rFonts w:ascii="Mute" w:hAnsi="Mute"/>
          <w:noProof/>
          <w:color w:val="003865"/>
          <w:sz w:val="22"/>
          <w:lang w:val="en-GB" w:eastAsia="en-GB"/>
        </w:rPr>
        <w:drawing>
          <wp:inline distT="0" distB="0" distL="0" distR="0" wp14:anchorId="7F6CCFC7" wp14:editId="4197ECD5">
            <wp:extent cx="63817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26A425" w14:textId="77777777" w:rsidR="009F4ADE" w:rsidRPr="009F4ADE" w:rsidRDefault="009F4ADE" w:rsidP="009F4ADE">
      <w:pPr>
        <w:spacing w:after="240"/>
        <w:rPr>
          <w:rFonts w:ascii="Mute" w:hAnsi="Mute"/>
          <w:color w:val="003865"/>
          <w:sz w:val="22"/>
        </w:rPr>
      </w:pPr>
    </w:p>
    <w:p w14:paraId="0173EA26" w14:textId="77777777" w:rsidR="009F4ADE" w:rsidRPr="009F4ADE" w:rsidRDefault="009F4ADE" w:rsidP="009F4ADE">
      <w:pPr>
        <w:spacing w:after="240"/>
        <w:jc w:val="both"/>
        <w:rPr>
          <w:rFonts w:ascii="Arial" w:hAnsi="Arial" w:cs="Arial"/>
          <w:sz w:val="22"/>
        </w:rPr>
      </w:pPr>
      <w:r w:rsidRPr="009F4ADE">
        <w:rPr>
          <w:rFonts w:ascii="Arial" w:hAnsi="Arial" w:cs="Arial"/>
          <w:sz w:val="22"/>
        </w:rPr>
        <w:t xml:space="preserve">The valuation also showed that a Primary contribution rate of 15.6% of pensionable pay per annum was required from employers. The Primary rate is calculated as being </w:t>
      </w:r>
      <w:proofErr w:type="gramStart"/>
      <w:r w:rsidRPr="009F4ADE">
        <w:rPr>
          <w:rFonts w:ascii="Arial" w:hAnsi="Arial" w:cs="Arial"/>
          <w:sz w:val="22"/>
        </w:rPr>
        <w:t>sufficient</w:t>
      </w:r>
      <w:proofErr w:type="gramEnd"/>
      <w:r w:rsidRPr="009F4ADE">
        <w:rPr>
          <w:rFonts w:ascii="Arial" w:hAnsi="Arial" w:cs="Arial"/>
          <w:sz w:val="22"/>
        </w:rPr>
        <w:t xml:space="preserve">, together with contributions paid by members, to meet all liabilities arising in respect of service after the valuation date. </w:t>
      </w:r>
    </w:p>
    <w:p w14:paraId="56EA6AF3" w14:textId="77777777" w:rsidR="009F4ADE" w:rsidRPr="009F4ADE" w:rsidRDefault="009F4ADE" w:rsidP="009F4ADE">
      <w:pPr>
        <w:spacing w:after="240"/>
        <w:jc w:val="both"/>
        <w:rPr>
          <w:rFonts w:ascii="Arial" w:hAnsi="Arial" w:cs="Arial"/>
          <w:sz w:val="22"/>
        </w:rPr>
      </w:pPr>
      <w:r w:rsidRPr="009F4ADE">
        <w:rPr>
          <w:rFonts w:ascii="Arial" w:hAnsi="Arial" w:cs="Arial"/>
          <w:sz w:val="22"/>
        </w:rPr>
        <w:t xml:space="preserve">The funding objective as set out in the FSS is to achieve and maintain a solvency funding level of 100% of liabilities (the solvency funding target).  In line with the FSS, where a shortfall exists at the effective date of the valuation a deficit recovery plan will be put in place which requires additional contributions to correct the shortfall.  </w:t>
      </w:r>
    </w:p>
    <w:p w14:paraId="7A15E07D" w14:textId="77777777" w:rsidR="009F4ADE" w:rsidRPr="009F4ADE" w:rsidRDefault="009F4ADE" w:rsidP="009F4ADE">
      <w:pPr>
        <w:spacing w:after="240"/>
        <w:jc w:val="both"/>
        <w:rPr>
          <w:rFonts w:ascii="Arial" w:hAnsi="Arial" w:cs="Arial"/>
          <w:sz w:val="22"/>
        </w:rPr>
      </w:pPr>
      <w:r w:rsidRPr="009F4ADE">
        <w:rPr>
          <w:rFonts w:ascii="Arial" w:hAnsi="Arial" w:cs="Arial"/>
          <w:sz w:val="22"/>
        </w:rPr>
        <w:t>The FSS sets out the process for determining the recovery plan in respect of each employer.  At this actuarial valuation the average recovery period adopted is 17 years, and the total initial recovery payment (the “Secondary rate” for 2020-2023) is an addition of approximately £14.5m per annum on average in £ terms (which allows for the contribution plans which have been set for individual employers under the provisions of the FSS), although this varies year on year.</w:t>
      </w:r>
    </w:p>
    <w:p w14:paraId="34521C83" w14:textId="77777777" w:rsidR="009F4ADE" w:rsidRPr="009F4ADE" w:rsidRDefault="009F4ADE" w:rsidP="009F4ADE">
      <w:pPr>
        <w:spacing w:after="240"/>
        <w:jc w:val="both"/>
        <w:rPr>
          <w:rFonts w:ascii="Arial" w:hAnsi="Arial" w:cs="Arial"/>
          <w:noProof/>
          <w:sz w:val="22"/>
          <w:lang w:eastAsia="en-GB"/>
        </w:rPr>
      </w:pPr>
      <w:r w:rsidRPr="009F4ADE">
        <w:rPr>
          <w:rFonts w:ascii="Arial" w:hAnsi="Arial" w:cs="Arial"/>
          <w:noProof/>
          <w:sz w:val="22"/>
          <w:lang w:eastAsia="en-GB"/>
        </w:rPr>
        <w:t>Further details regarding the results of the valuation are contained in the formal report on the actuarial valuation dated 31 March 2020.</w:t>
      </w:r>
    </w:p>
    <w:p w14:paraId="4D1CA63B" w14:textId="77777777" w:rsidR="009F4ADE" w:rsidRPr="009F4ADE" w:rsidRDefault="009F4ADE" w:rsidP="009F4ADE">
      <w:pPr>
        <w:autoSpaceDE w:val="0"/>
        <w:autoSpaceDN w:val="0"/>
        <w:jc w:val="both"/>
        <w:rPr>
          <w:rFonts w:ascii="Arial" w:hAnsi="Arial" w:cs="Arial"/>
          <w:sz w:val="22"/>
        </w:rPr>
      </w:pPr>
      <w:r w:rsidRPr="009F4ADE">
        <w:rPr>
          <w:rFonts w:ascii="Arial" w:hAnsi="Arial" w:cs="Arial"/>
          <w:sz w:val="22"/>
        </w:rPr>
        <w:t xml:space="preserve">In practice, each individual employer’s position is assessed </w:t>
      </w:r>
      <w:proofErr w:type="gramStart"/>
      <w:r w:rsidRPr="009F4ADE">
        <w:rPr>
          <w:rFonts w:ascii="Arial" w:hAnsi="Arial" w:cs="Arial"/>
          <w:sz w:val="22"/>
        </w:rPr>
        <w:t>separately</w:t>
      </w:r>
      <w:proofErr w:type="gramEnd"/>
      <w:r w:rsidRPr="009F4ADE">
        <w:rPr>
          <w:rFonts w:ascii="Arial" w:hAnsi="Arial" w:cs="Arial"/>
          <w:sz w:val="22"/>
        </w:rPr>
        <w:t xml:space="preserve"> and the contributions required are set out in the report. In addition to the certified contribution rates, payments to cover additional liabilities arising from early retirements (</w:t>
      </w:r>
      <w:r w:rsidRPr="009F4ADE">
        <w:rPr>
          <w:rFonts w:ascii="Arial" w:hAnsi="Arial" w:cs="Arial"/>
          <w:sz w:val="22"/>
          <w:szCs w:val="22"/>
          <w:lang w:val="en-GB" w:eastAsia="en-GB"/>
        </w:rPr>
        <w:t>including ill-health retirements for certain employers</w:t>
      </w:r>
      <w:r w:rsidRPr="009F4ADE">
        <w:rPr>
          <w:rFonts w:ascii="Arial" w:hAnsi="Arial" w:cs="Arial"/>
          <w:sz w:val="22"/>
        </w:rPr>
        <w:t>) will be made to the Fund by the employers.</w:t>
      </w:r>
    </w:p>
    <w:p w14:paraId="5F21FAB3" w14:textId="77777777" w:rsidR="009F4ADE" w:rsidRPr="009F4ADE" w:rsidRDefault="009F4ADE" w:rsidP="009F4ADE">
      <w:pPr>
        <w:autoSpaceDE w:val="0"/>
        <w:autoSpaceDN w:val="0"/>
        <w:jc w:val="both"/>
        <w:rPr>
          <w:rFonts w:ascii="Arial" w:hAnsi="Arial" w:cs="Arial"/>
          <w:sz w:val="22"/>
          <w:szCs w:val="22"/>
          <w:lang w:val="en-GB" w:eastAsia="en-GB"/>
        </w:rPr>
      </w:pPr>
    </w:p>
    <w:p w14:paraId="359B99FE" w14:textId="02FB7640" w:rsidR="009F4ADE" w:rsidRPr="009F4ADE" w:rsidRDefault="009F4ADE" w:rsidP="009F4ADE">
      <w:pPr>
        <w:spacing w:after="240"/>
        <w:jc w:val="both"/>
        <w:rPr>
          <w:rFonts w:ascii="Mute" w:hAnsi="Mute"/>
          <w:color w:val="003865"/>
          <w:sz w:val="22"/>
        </w:rPr>
      </w:pPr>
      <w:r w:rsidRPr="009F4ADE">
        <w:rPr>
          <w:rFonts w:ascii="Arial" w:hAnsi="Arial" w:cs="Arial"/>
          <w:sz w:val="22"/>
        </w:rPr>
        <w:lastRenderedPageBreak/>
        <w:t xml:space="preserve">The funding plan adopted in assessing the contributions for each individual employer is in accordance with the Funding Strategy Statement (FSS). Any different approaches adopted, e.g. </w:t>
      </w:r>
      <w:proofErr w:type="gramStart"/>
      <w:r w:rsidRPr="009F4ADE">
        <w:rPr>
          <w:rFonts w:ascii="Arial" w:hAnsi="Arial" w:cs="Arial"/>
          <w:sz w:val="22"/>
        </w:rPr>
        <w:t>with regard to</w:t>
      </w:r>
      <w:proofErr w:type="gramEnd"/>
      <w:r w:rsidRPr="009F4ADE">
        <w:rPr>
          <w:rFonts w:ascii="Arial" w:hAnsi="Arial" w:cs="Arial"/>
          <w:sz w:val="22"/>
        </w:rPr>
        <w:t xml:space="preserve"> the implementation of contribution increases and deficit recovery periods, are as determined through the FSS consultation process. </w:t>
      </w:r>
    </w:p>
    <w:p w14:paraId="2D6F6D81" w14:textId="77777777" w:rsidR="009F4ADE" w:rsidRPr="009F4ADE" w:rsidRDefault="009F4ADE" w:rsidP="009F4ADE">
      <w:pPr>
        <w:spacing w:after="240"/>
        <w:jc w:val="both"/>
        <w:rPr>
          <w:rFonts w:ascii="Arial" w:hAnsi="Arial" w:cs="Arial"/>
          <w:sz w:val="22"/>
        </w:rPr>
      </w:pPr>
      <w:r w:rsidRPr="009F4ADE">
        <w:rPr>
          <w:rFonts w:ascii="Arial" w:hAnsi="Arial" w:cs="Arial"/>
          <w:sz w:val="22"/>
        </w:rPr>
        <w:t>The valuation was carried out using the projected unit actuarial method and the main actuarial assumptions used for assessing the Solvency Funding Target and the Primary rate of contribution were as follows: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2" w:type="dxa"/>
          <w:right w:w="72" w:type="dxa"/>
        </w:tblCellMar>
        <w:tblLook w:val="0000" w:firstRow="0" w:lastRow="0" w:firstColumn="0" w:lastColumn="0" w:noHBand="0" w:noVBand="0"/>
      </w:tblPr>
      <w:tblGrid>
        <w:gridCol w:w="4217"/>
        <w:gridCol w:w="2245"/>
        <w:gridCol w:w="2565"/>
      </w:tblGrid>
      <w:tr w:rsidR="009F4ADE" w:rsidRPr="009F4ADE" w14:paraId="28FA0CAA" w14:textId="77777777" w:rsidTr="007745A7">
        <w:trPr>
          <w:cantSplit/>
          <w:tblHeader/>
        </w:trPr>
        <w:tc>
          <w:tcPr>
            <w:tcW w:w="4217" w:type="dxa"/>
            <w:shd w:val="clear" w:color="auto" w:fill="002C77"/>
            <w:vAlign w:val="bottom"/>
          </w:tcPr>
          <w:p w14:paraId="26C8CB9A" w14:textId="77777777" w:rsidR="009F4ADE" w:rsidRPr="009F4ADE" w:rsidRDefault="009F4ADE" w:rsidP="009F4ADE">
            <w:pPr>
              <w:keepNext/>
              <w:spacing w:before="40" w:after="40" w:line="260" w:lineRule="atLeast"/>
              <w:jc w:val="both"/>
              <w:rPr>
                <w:rFonts w:ascii="Arial" w:hAnsi="Arial" w:cs="Arial"/>
                <w:b/>
                <w:sz w:val="22"/>
              </w:rPr>
            </w:pPr>
          </w:p>
        </w:tc>
        <w:tc>
          <w:tcPr>
            <w:tcW w:w="2245" w:type="dxa"/>
            <w:shd w:val="clear" w:color="auto" w:fill="002C77"/>
            <w:vAlign w:val="bottom"/>
          </w:tcPr>
          <w:p w14:paraId="00378F57" w14:textId="77777777" w:rsidR="009F4ADE" w:rsidRPr="009F4ADE" w:rsidRDefault="009F4ADE" w:rsidP="009F4ADE">
            <w:pPr>
              <w:keepNext/>
              <w:spacing w:before="40" w:after="40" w:line="260" w:lineRule="atLeast"/>
              <w:jc w:val="both"/>
              <w:rPr>
                <w:rFonts w:ascii="Arial" w:hAnsi="Arial" w:cs="Arial"/>
                <w:b/>
                <w:sz w:val="22"/>
              </w:rPr>
            </w:pPr>
            <w:r w:rsidRPr="009F4ADE">
              <w:rPr>
                <w:rFonts w:ascii="Arial" w:hAnsi="Arial" w:cs="Arial"/>
                <w:b/>
                <w:sz w:val="22"/>
              </w:rPr>
              <w:t xml:space="preserve">For past service liabilities </w:t>
            </w:r>
            <w:proofErr w:type="gramStart"/>
            <w:r w:rsidRPr="009F4ADE">
              <w:rPr>
                <w:rFonts w:ascii="Arial" w:hAnsi="Arial" w:cs="Arial"/>
                <w:b/>
                <w:sz w:val="22"/>
              </w:rPr>
              <w:t>( Solvency</w:t>
            </w:r>
            <w:proofErr w:type="gramEnd"/>
            <w:r w:rsidRPr="009F4ADE">
              <w:rPr>
                <w:rFonts w:ascii="Arial" w:hAnsi="Arial" w:cs="Arial"/>
                <w:b/>
                <w:sz w:val="22"/>
              </w:rPr>
              <w:t xml:space="preserve"> Funding Target)</w:t>
            </w:r>
          </w:p>
        </w:tc>
        <w:tc>
          <w:tcPr>
            <w:tcW w:w="2565" w:type="dxa"/>
            <w:shd w:val="clear" w:color="auto" w:fill="002C77"/>
            <w:vAlign w:val="bottom"/>
          </w:tcPr>
          <w:p w14:paraId="6E82BF84" w14:textId="77777777" w:rsidR="009F4ADE" w:rsidRPr="009F4ADE" w:rsidRDefault="009F4ADE" w:rsidP="009F4ADE">
            <w:pPr>
              <w:keepNext/>
              <w:spacing w:before="40" w:after="40" w:line="260" w:lineRule="atLeast"/>
              <w:jc w:val="both"/>
              <w:rPr>
                <w:rFonts w:ascii="Arial" w:hAnsi="Arial" w:cs="Arial"/>
                <w:b/>
                <w:sz w:val="22"/>
              </w:rPr>
            </w:pPr>
            <w:r w:rsidRPr="009F4ADE">
              <w:rPr>
                <w:rFonts w:ascii="Arial" w:hAnsi="Arial" w:cs="Arial"/>
                <w:b/>
                <w:sz w:val="22"/>
              </w:rPr>
              <w:t>For future service liabilities (Primary rate of contribution)</w:t>
            </w:r>
          </w:p>
        </w:tc>
      </w:tr>
      <w:tr w:rsidR="009F4ADE" w:rsidRPr="009F4ADE" w14:paraId="59CE6E53" w14:textId="77777777" w:rsidTr="007745A7">
        <w:trPr>
          <w:cantSplit/>
        </w:trPr>
        <w:tc>
          <w:tcPr>
            <w:tcW w:w="4217" w:type="dxa"/>
            <w:shd w:val="clear" w:color="auto" w:fill="F2F2F2"/>
          </w:tcPr>
          <w:p w14:paraId="1BC4923A" w14:textId="77777777" w:rsidR="009F4ADE" w:rsidRPr="009F4ADE" w:rsidRDefault="009F4ADE" w:rsidP="009F4ADE">
            <w:pPr>
              <w:spacing w:before="40" w:after="40" w:line="260" w:lineRule="atLeast"/>
              <w:jc w:val="both"/>
              <w:rPr>
                <w:rFonts w:ascii="Arial" w:hAnsi="Arial" w:cs="Arial"/>
                <w:sz w:val="22"/>
              </w:rPr>
            </w:pPr>
            <w:r w:rsidRPr="009F4ADE">
              <w:rPr>
                <w:rFonts w:ascii="Arial" w:hAnsi="Arial" w:cs="Arial"/>
                <w:sz w:val="22"/>
              </w:rPr>
              <w:t>Rate of return on investments (discount rate)</w:t>
            </w:r>
          </w:p>
          <w:p w14:paraId="5F2A84F3" w14:textId="77777777" w:rsidR="009F4ADE" w:rsidRPr="009F4ADE" w:rsidRDefault="009F4ADE" w:rsidP="009F4ADE">
            <w:pPr>
              <w:spacing w:line="260" w:lineRule="atLeast"/>
              <w:jc w:val="both"/>
              <w:rPr>
                <w:rFonts w:ascii="Arial" w:hAnsi="Arial" w:cs="Arial"/>
                <w:sz w:val="22"/>
              </w:rPr>
            </w:pPr>
          </w:p>
        </w:tc>
        <w:tc>
          <w:tcPr>
            <w:tcW w:w="2245" w:type="dxa"/>
            <w:shd w:val="clear" w:color="auto" w:fill="F2F2F2"/>
          </w:tcPr>
          <w:p w14:paraId="7D3B3BDC" w14:textId="77777777" w:rsidR="009F4ADE" w:rsidRPr="009F4ADE" w:rsidRDefault="009F4ADE" w:rsidP="009F4ADE">
            <w:pPr>
              <w:spacing w:line="260" w:lineRule="atLeast"/>
              <w:jc w:val="both"/>
              <w:rPr>
                <w:rFonts w:ascii="Arial" w:hAnsi="Arial" w:cs="Arial"/>
                <w:sz w:val="22"/>
              </w:rPr>
            </w:pPr>
            <w:r w:rsidRPr="009F4ADE">
              <w:rPr>
                <w:rFonts w:ascii="Arial" w:hAnsi="Arial" w:cs="Arial"/>
                <w:sz w:val="22"/>
              </w:rPr>
              <w:t>4.35% per annum</w:t>
            </w:r>
          </w:p>
        </w:tc>
        <w:tc>
          <w:tcPr>
            <w:tcW w:w="2565" w:type="dxa"/>
            <w:shd w:val="clear" w:color="auto" w:fill="F2F2F2"/>
          </w:tcPr>
          <w:p w14:paraId="6474621A" w14:textId="77777777" w:rsidR="009F4ADE" w:rsidRPr="009F4ADE" w:rsidRDefault="009F4ADE" w:rsidP="009F4ADE">
            <w:pPr>
              <w:spacing w:line="260" w:lineRule="atLeast"/>
              <w:jc w:val="both"/>
              <w:rPr>
                <w:rFonts w:ascii="Arial" w:hAnsi="Arial" w:cs="Arial"/>
                <w:sz w:val="22"/>
              </w:rPr>
            </w:pPr>
            <w:r w:rsidRPr="009F4ADE">
              <w:rPr>
                <w:rFonts w:ascii="Arial" w:hAnsi="Arial" w:cs="Arial"/>
                <w:sz w:val="22"/>
              </w:rPr>
              <w:t>4.9% per annum</w:t>
            </w:r>
          </w:p>
          <w:p w14:paraId="5FE470F6" w14:textId="77777777" w:rsidR="009F4ADE" w:rsidRPr="009F4ADE" w:rsidRDefault="009F4ADE" w:rsidP="009F4ADE">
            <w:pPr>
              <w:spacing w:line="260" w:lineRule="atLeast"/>
              <w:jc w:val="both"/>
              <w:rPr>
                <w:rFonts w:ascii="Arial" w:hAnsi="Arial" w:cs="Arial"/>
                <w:sz w:val="22"/>
              </w:rPr>
            </w:pPr>
          </w:p>
        </w:tc>
      </w:tr>
      <w:tr w:rsidR="009F4ADE" w:rsidRPr="009F4ADE" w14:paraId="6C2CD005" w14:textId="77777777" w:rsidTr="007745A7">
        <w:trPr>
          <w:cantSplit/>
        </w:trPr>
        <w:tc>
          <w:tcPr>
            <w:tcW w:w="4217" w:type="dxa"/>
            <w:shd w:val="clear" w:color="auto" w:fill="F2F2F2"/>
          </w:tcPr>
          <w:p w14:paraId="5F6B41A3" w14:textId="77777777" w:rsidR="009F4ADE" w:rsidRPr="009F4ADE" w:rsidRDefault="009F4ADE" w:rsidP="009F4ADE">
            <w:pPr>
              <w:spacing w:before="40" w:after="40" w:line="260" w:lineRule="atLeast"/>
              <w:jc w:val="both"/>
              <w:rPr>
                <w:rFonts w:ascii="Arial" w:hAnsi="Arial" w:cs="Arial"/>
                <w:sz w:val="22"/>
              </w:rPr>
            </w:pPr>
            <w:r w:rsidRPr="009F4ADE">
              <w:rPr>
                <w:rFonts w:ascii="Arial" w:hAnsi="Arial" w:cs="Arial"/>
                <w:sz w:val="22"/>
              </w:rPr>
              <w:t xml:space="preserve">Rate of pay increases (long </w:t>
            </w:r>
            <w:proofErr w:type="gramStart"/>
            <w:r w:rsidRPr="009F4ADE">
              <w:rPr>
                <w:rFonts w:ascii="Arial" w:hAnsi="Arial" w:cs="Arial"/>
                <w:sz w:val="22"/>
              </w:rPr>
              <w:t>term)*</w:t>
            </w:r>
            <w:proofErr w:type="gramEnd"/>
          </w:p>
        </w:tc>
        <w:tc>
          <w:tcPr>
            <w:tcW w:w="2245" w:type="dxa"/>
            <w:shd w:val="clear" w:color="auto" w:fill="F2F2F2"/>
          </w:tcPr>
          <w:p w14:paraId="30C2021A" w14:textId="77777777" w:rsidR="009F4ADE" w:rsidRPr="009F4ADE" w:rsidRDefault="009F4ADE" w:rsidP="009F4ADE">
            <w:pPr>
              <w:spacing w:before="40" w:after="40" w:line="260" w:lineRule="atLeast"/>
              <w:jc w:val="both"/>
              <w:rPr>
                <w:rFonts w:ascii="Arial" w:hAnsi="Arial" w:cs="Arial"/>
                <w:sz w:val="22"/>
              </w:rPr>
            </w:pPr>
            <w:r w:rsidRPr="009F4ADE">
              <w:rPr>
                <w:rFonts w:ascii="Arial" w:hAnsi="Arial" w:cs="Arial"/>
                <w:sz w:val="22"/>
              </w:rPr>
              <w:t>3.9% per annum</w:t>
            </w:r>
          </w:p>
        </w:tc>
        <w:tc>
          <w:tcPr>
            <w:tcW w:w="2565" w:type="dxa"/>
            <w:shd w:val="clear" w:color="auto" w:fill="F2F2F2"/>
          </w:tcPr>
          <w:p w14:paraId="1DD76AE7" w14:textId="77777777" w:rsidR="009F4ADE" w:rsidRPr="009F4ADE" w:rsidRDefault="009F4ADE" w:rsidP="009F4ADE">
            <w:pPr>
              <w:spacing w:before="40" w:after="40" w:line="260" w:lineRule="atLeast"/>
              <w:jc w:val="both"/>
              <w:rPr>
                <w:rFonts w:ascii="Arial" w:hAnsi="Arial" w:cs="Arial"/>
                <w:sz w:val="22"/>
              </w:rPr>
            </w:pPr>
            <w:r w:rsidRPr="009F4ADE">
              <w:rPr>
                <w:rFonts w:ascii="Arial" w:hAnsi="Arial" w:cs="Arial"/>
                <w:sz w:val="22"/>
              </w:rPr>
              <w:t>3.9% per annum</w:t>
            </w:r>
          </w:p>
        </w:tc>
      </w:tr>
      <w:tr w:rsidR="009F4ADE" w:rsidRPr="009F4ADE" w14:paraId="5B69CD87" w14:textId="77777777" w:rsidTr="007745A7">
        <w:trPr>
          <w:cantSplit/>
        </w:trPr>
        <w:tc>
          <w:tcPr>
            <w:tcW w:w="4217" w:type="dxa"/>
            <w:shd w:val="clear" w:color="auto" w:fill="F2F2F2"/>
          </w:tcPr>
          <w:p w14:paraId="0E354130" w14:textId="77777777" w:rsidR="009F4ADE" w:rsidRPr="009F4ADE" w:rsidRDefault="009F4ADE" w:rsidP="009F4ADE">
            <w:pPr>
              <w:spacing w:line="260" w:lineRule="atLeast"/>
              <w:jc w:val="both"/>
              <w:rPr>
                <w:rFonts w:ascii="Arial" w:hAnsi="Arial" w:cs="Arial"/>
                <w:sz w:val="22"/>
              </w:rPr>
            </w:pPr>
            <w:r w:rsidRPr="009F4ADE">
              <w:rPr>
                <w:rFonts w:ascii="Arial" w:hAnsi="Arial" w:cs="Arial"/>
                <w:sz w:val="22"/>
              </w:rPr>
              <w:t xml:space="preserve">Rate of increases in pensions </w:t>
            </w:r>
          </w:p>
          <w:p w14:paraId="2C127B2C" w14:textId="77777777" w:rsidR="009F4ADE" w:rsidRPr="009F4ADE" w:rsidRDefault="009F4ADE" w:rsidP="009F4ADE">
            <w:pPr>
              <w:spacing w:line="260" w:lineRule="atLeast"/>
              <w:jc w:val="both"/>
              <w:rPr>
                <w:rFonts w:ascii="Arial" w:hAnsi="Arial" w:cs="Arial"/>
                <w:sz w:val="22"/>
              </w:rPr>
            </w:pPr>
            <w:r w:rsidRPr="009F4ADE">
              <w:rPr>
                <w:rFonts w:ascii="Arial" w:hAnsi="Arial" w:cs="Arial"/>
                <w:sz w:val="22"/>
              </w:rPr>
              <w:t xml:space="preserve">in payment (in excess of </w:t>
            </w:r>
          </w:p>
          <w:p w14:paraId="5C0C0B51" w14:textId="77777777" w:rsidR="009F4ADE" w:rsidRPr="009F4ADE" w:rsidRDefault="009F4ADE" w:rsidP="009F4ADE">
            <w:pPr>
              <w:spacing w:line="260" w:lineRule="atLeast"/>
              <w:jc w:val="both"/>
              <w:rPr>
                <w:rFonts w:ascii="Arial" w:hAnsi="Arial" w:cs="Arial"/>
                <w:sz w:val="22"/>
              </w:rPr>
            </w:pPr>
            <w:r w:rsidRPr="009F4ADE">
              <w:rPr>
                <w:rFonts w:ascii="Arial" w:hAnsi="Arial" w:cs="Arial"/>
                <w:sz w:val="22"/>
              </w:rPr>
              <w:t>GMP)</w:t>
            </w:r>
          </w:p>
        </w:tc>
        <w:tc>
          <w:tcPr>
            <w:tcW w:w="2245" w:type="dxa"/>
            <w:shd w:val="clear" w:color="auto" w:fill="F2F2F2"/>
            <w:vAlign w:val="center"/>
          </w:tcPr>
          <w:p w14:paraId="551B1571" w14:textId="77777777" w:rsidR="009F4ADE" w:rsidRPr="009F4ADE" w:rsidRDefault="009F4ADE" w:rsidP="009F4ADE">
            <w:pPr>
              <w:spacing w:line="260" w:lineRule="atLeast"/>
              <w:jc w:val="both"/>
              <w:rPr>
                <w:rFonts w:ascii="Arial" w:hAnsi="Arial" w:cs="Arial"/>
                <w:sz w:val="22"/>
              </w:rPr>
            </w:pPr>
            <w:r w:rsidRPr="009F4ADE">
              <w:rPr>
                <w:rFonts w:ascii="Arial" w:hAnsi="Arial" w:cs="Arial"/>
                <w:sz w:val="22"/>
              </w:rPr>
              <w:t>2.4% per annum</w:t>
            </w:r>
          </w:p>
        </w:tc>
        <w:tc>
          <w:tcPr>
            <w:tcW w:w="2565" w:type="dxa"/>
            <w:shd w:val="clear" w:color="auto" w:fill="F2F2F2"/>
            <w:vAlign w:val="center"/>
          </w:tcPr>
          <w:p w14:paraId="0B1262ED" w14:textId="77777777" w:rsidR="009F4ADE" w:rsidRPr="009F4ADE" w:rsidRDefault="009F4ADE" w:rsidP="009F4ADE">
            <w:pPr>
              <w:spacing w:line="260" w:lineRule="atLeast"/>
              <w:jc w:val="both"/>
              <w:rPr>
                <w:rFonts w:ascii="Arial" w:hAnsi="Arial" w:cs="Arial"/>
                <w:sz w:val="22"/>
              </w:rPr>
            </w:pPr>
            <w:r w:rsidRPr="009F4ADE">
              <w:rPr>
                <w:rFonts w:ascii="Arial" w:hAnsi="Arial" w:cs="Arial"/>
                <w:sz w:val="22"/>
              </w:rPr>
              <w:t>2.4% per annum</w:t>
            </w:r>
          </w:p>
        </w:tc>
      </w:tr>
    </w:tbl>
    <w:p w14:paraId="04FE8D10" w14:textId="77777777" w:rsidR="009F4ADE" w:rsidRPr="009F4ADE" w:rsidRDefault="009F4ADE" w:rsidP="009F4ADE">
      <w:pPr>
        <w:spacing w:after="240"/>
        <w:jc w:val="both"/>
        <w:rPr>
          <w:rFonts w:ascii="Arial" w:hAnsi="Arial" w:cs="Arial"/>
          <w:sz w:val="16"/>
          <w:szCs w:val="16"/>
        </w:rPr>
      </w:pPr>
      <w:r w:rsidRPr="009F4ADE">
        <w:rPr>
          <w:rFonts w:ascii="Arial" w:hAnsi="Arial" w:cs="Arial"/>
          <w:sz w:val="16"/>
          <w:szCs w:val="16"/>
        </w:rPr>
        <w:t xml:space="preserve">* allowance was made for lower short-term increases to reflect public sector pay restraint over a </w:t>
      </w:r>
      <w:proofErr w:type="gramStart"/>
      <w:r w:rsidRPr="009F4ADE">
        <w:rPr>
          <w:rFonts w:ascii="Arial" w:hAnsi="Arial" w:cs="Arial"/>
          <w:sz w:val="16"/>
          <w:szCs w:val="16"/>
        </w:rPr>
        <w:t>4 year</w:t>
      </w:r>
      <w:proofErr w:type="gramEnd"/>
      <w:r w:rsidRPr="009F4ADE">
        <w:rPr>
          <w:rFonts w:ascii="Arial" w:hAnsi="Arial" w:cs="Arial"/>
          <w:sz w:val="16"/>
          <w:szCs w:val="16"/>
        </w:rPr>
        <w:t xml:space="preserve"> period.</w:t>
      </w:r>
    </w:p>
    <w:p w14:paraId="34764A32" w14:textId="77777777" w:rsidR="009F4ADE" w:rsidRPr="009F4ADE" w:rsidRDefault="009F4ADE" w:rsidP="009F4ADE">
      <w:pPr>
        <w:spacing w:after="240"/>
        <w:jc w:val="both"/>
        <w:rPr>
          <w:rFonts w:ascii="Arial" w:hAnsi="Arial" w:cs="Arial"/>
          <w:sz w:val="22"/>
        </w:rPr>
      </w:pPr>
      <w:r w:rsidRPr="009F4ADE">
        <w:rPr>
          <w:rFonts w:ascii="Arial" w:hAnsi="Arial" w:cs="Arial"/>
          <w:sz w:val="22"/>
        </w:rPr>
        <w:t>The assets were assessed at market value.</w:t>
      </w:r>
    </w:p>
    <w:p w14:paraId="39094086" w14:textId="77777777" w:rsidR="009F4ADE" w:rsidRPr="009F4ADE" w:rsidRDefault="009F4ADE" w:rsidP="009F4ADE">
      <w:pPr>
        <w:spacing w:after="240"/>
        <w:jc w:val="both"/>
        <w:rPr>
          <w:rFonts w:ascii="Arial" w:hAnsi="Arial" w:cs="Arial"/>
          <w:sz w:val="22"/>
        </w:rPr>
      </w:pPr>
      <w:r w:rsidRPr="009F4ADE">
        <w:rPr>
          <w:rFonts w:ascii="Arial" w:hAnsi="Arial" w:cs="Arial"/>
          <w:sz w:val="22"/>
        </w:rPr>
        <w:t>The next triennial actuarial valuation of the Fund is due as at 31 March 2022. Based on the results of this valuation, the contribution rates payable by the individual employers will be revised with effect from 1 April 2023.</w:t>
      </w:r>
    </w:p>
    <w:p w14:paraId="32FD1EC9" w14:textId="77777777" w:rsidR="009F4ADE" w:rsidRPr="009F4ADE" w:rsidRDefault="009F4ADE" w:rsidP="009F4ADE">
      <w:pPr>
        <w:keepNext/>
        <w:numPr>
          <w:ilvl w:val="1"/>
          <w:numId w:val="13"/>
        </w:numPr>
        <w:tabs>
          <w:tab w:val="num" w:pos="0"/>
        </w:tabs>
        <w:spacing w:after="180"/>
        <w:ind w:left="0" w:firstLine="0"/>
        <w:jc w:val="both"/>
        <w:outlineLvl w:val="1"/>
        <w:rPr>
          <w:rFonts w:ascii="Arial" w:hAnsi="Arial" w:cs="Arial"/>
          <w:sz w:val="24"/>
        </w:rPr>
      </w:pPr>
      <w:r w:rsidRPr="009F4ADE">
        <w:rPr>
          <w:rFonts w:ascii="Arial" w:hAnsi="Arial" w:cs="Arial"/>
          <w:b/>
          <w:sz w:val="24"/>
        </w:rPr>
        <w:t xml:space="preserve">The McCloud Judgment </w:t>
      </w:r>
    </w:p>
    <w:p w14:paraId="3392D126" w14:textId="77777777" w:rsidR="009F4ADE" w:rsidRPr="009F4ADE" w:rsidRDefault="009F4ADE" w:rsidP="009F4ADE">
      <w:pPr>
        <w:spacing w:after="240"/>
        <w:jc w:val="both"/>
        <w:rPr>
          <w:rFonts w:ascii="Arial" w:hAnsi="Arial" w:cs="Arial"/>
          <w:noProof/>
          <w:sz w:val="22"/>
          <w:lang w:eastAsia="en-GB"/>
        </w:rPr>
      </w:pPr>
      <w:r w:rsidRPr="009F4ADE">
        <w:rPr>
          <w:rFonts w:ascii="Arial" w:hAnsi="Arial" w:cs="Arial"/>
          <w:noProof/>
          <w:sz w:val="22"/>
          <w:lang w:eastAsia="en-GB"/>
        </w:rPr>
        <w:t>The “McCloud judgment” refers to a legal challenge in relation to historic benefit changes for all public sector schemes being age discriminatory.  The Government announced in 2019 that this needs to be remedied for all public sector schemes including the LGPS.  This is likely to result in increased costs for some employers.  This remedy is not yet agreed but guidance issued requires that each Fund sets out its policy on addressing the implications.</w:t>
      </w:r>
    </w:p>
    <w:p w14:paraId="226E6743" w14:textId="77777777" w:rsidR="009F4ADE" w:rsidRPr="009F4ADE" w:rsidRDefault="009F4ADE" w:rsidP="009F4ADE">
      <w:pPr>
        <w:keepNext/>
        <w:numPr>
          <w:ilvl w:val="1"/>
          <w:numId w:val="13"/>
        </w:numPr>
        <w:tabs>
          <w:tab w:val="num" w:pos="0"/>
        </w:tabs>
        <w:spacing w:after="180"/>
        <w:ind w:left="0" w:firstLine="0"/>
        <w:jc w:val="both"/>
        <w:outlineLvl w:val="1"/>
        <w:rPr>
          <w:rFonts w:ascii="Arial" w:hAnsi="Arial" w:cs="Arial"/>
          <w:noProof/>
          <w:sz w:val="22"/>
          <w:lang w:eastAsia="en-GB"/>
        </w:rPr>
      </w:pPr>
      <w:r w:rsidRPr="009F4ADE">
        <w:rPr>
          <w:rFonts w:ascii="Arial" w:hAnsi="Arial" w:cs="Arial"/>
          <w:noProof/>
          <w:sz w:val="22"/>
          <w:lang w:eastAsia="en-GB"/>
        </w:rPr>
        <w:t>In line with guidance issued by the LGPS Scheme Advisory Board, the above funding level and Primary contribution rate do not include an allowance for the estimated cost of the McCloud judgment.  However, at the overall Fund level we estimate that the cost of the judgment could be an increase in past service solvency liabilities of broadly £7 million and an increase in the Primary Contribution rate of 0.3% of Pensionable Pay per annum.  To the extent that employers have opted to pay additional contributions over 2020/23 in relation to the McCloud judgment, these emerge in the Secondary Contribution Rate figures quoted above.</w:t>
      </w:r>
    </w:p>
    <w:p w14:paraId="007C419F" w14:textId="77777777" w:rsidR="009F4ADE" w:rsidRPr="009F4ADE" w:rsidRDefault="009F4ADE" w:rsidP="009F4ADE">
      <w:pPr>
        <w:keepNext/>
        <w:numPr>
          <w:ilvl w:val="1"/>
          <w:numId w:val="13"/>
        </w:numPr>
        <w:tabs>
          <w:tab w:val="num" w:pos="0"/>
        </w:tabs>
        <w:spacing w:after="180"/>
        <w:ind w:left="0" w:firstLine="0"/>
        <w:jc w:val="both"/>
        <w:outlineLvl w:val="1"/>
        <w:rPr>
          <w:rFonts w:ascii="Arial" w:hAnsi="Arial" w:cs="Arial"/>
          <w:b/>
          <w:sz w:val="24"/>
        </w:rPr>
      </w:pPr>
      <w:r w:rsidRPr="009F4ADE">
        <w:rPr>
          <w:rFonts w:ascii="Arial" w:hAnsi="Arial" w:cs="Arial"/>
          <w:b/>
          <w:sz w:val="24"/>
        </w:rPr>
        <w:t xml:space="preserve">Impact of </w:t>
      </w:r>
      <w:proofErr w:type="spellStart"/>
      <w:r w:rsidRPr="009F4ADE">
        <w:rPr>
          <w:rFonts w:ascii="Arial" w:hAnsi="Arial" w:cs="Arial"/>
          <w:b/>
          <w:sz w:val="24"/>
        </w:rPr>
        <w:t>Covid</w:t>
      </w:r>
      <w:proofErr w:type="spellEnd"/>
      <w:r w:rsidRPr="009F4ADE">
        <w:rPr>
          <w:rFonts w:ascii="Arial" w:hAnsi="Arial" w:cs="Arial"/>
          <w:b/>
          <w:sz w:val="24"/>
        </w:rPr>
        <w:t xml:space="preserve"> 19</w:t>
      </w:r>
    </w:p>
    <w:p w14:paraId="39EE20CB" w14:textId="77777777" w:rsidR="009F4ADE" w:rsidRPr="009F4ADE" w:rsidRDefault="009F4ADE" w:rsidP="009F4ADE">
      <w:pPr>
        <w:spacing w:after="240"/>
        <w:jc w:val="both"/>
        <w:rPr>
          <w:rFonts w:ascii="Arial" w:hAnsi="Arial" w:cs="Arial"/>
          <w:noProof/>
          <w:sz w:val="22"/>
          <w:lang w:eastAsia="en-GB"/>
        </w:rPr>
      </w:pPr>
      <w:r w:rsidRPr="009F4ADE">
        <w:rPr>
          <w:rFonts w:ascii="Arial" w:hAnsi="Arial" w:cs="Arial"/>
          <w:noProof/>
          <w:sz w:val="22"/>
          <w:lang w:eastAsia="en-GB"/>
        </w:rPr>
        <w:t xml:space="preserve">The valuation results and employer contributions above were assessed as at 31 March 2019.  In 2020 we have so far seen significant volatility and uncertainty in markets around the world in relation to the COVID-19 pandemic.  This potentially has far-reaching consequences in terms of funding and risk, which will need to be kept under review.  We believe that it is important to take stock of the situation as opposed to make immediate decisions in what is an unprecedented set of events.  Our view is that employer contributions should not be revisited but the position should be kept under review by the Administering Authority who will monitor the development of the situation and keep all stakeholders informed of any potential implications so that the outcome can be managed effectively.  </w:t>
      </w:r>
    </w:p>
    <w:p w14:paraId="332A537A" w14:textId="5B307372" w:rsidR="004C23DA" w:rsidRDefault="004C23DA" w:rsidP="009F4ADE">
      <w:pPr>
        <w:spacing w:after="200" w:line="276" w:lineRule="auto"/>
        <w:ind w:right="74"/>
        <w:jc w:val="both"/>
        <w:rPr>
          <w:rFonts w:ascii="Arial" w:eastAsia="Arial" w:hAnsi="Arial" w:cs="Arial"/>
          <w:b/>
          <w:bCs/>
          <w:sz w:val="22"/>
          <w:szCs w:val="22"/>
        </w:rPr>
      </w:pPr>
    </w:p>
    <w:p w14:paraId="6CC9BB92" w14:textId="77777777" w:rsidR="009F4ADE" w:rsidRPr="009F4ADE" w:rsidRDefault="009F4ADE" w:rsidP="009F4ADE">
      <w:pPr>
        <w:spacing w:after="200" w:line="276" w:lineRule="auto"/>
        <w:ind w:right="74"/>
        <w:jc w:val="both"/>
        <w:rPr>
          <w:rFonts w:ascii="Arial" w:eastAsia="Arial" w:hAnsi="Arial" w:cs="Arial"/>
          <w:b/>
          <w:bCs/>
          <w:sz w:val="22"/>
          <w:szCs w:val="22"/>
        </w:rPr>
      </w:pPr>
    </w:p>
    <w:p w14:paraId="5116B763" w14:textId="1891A91C" w:rsidR="009C7422" w:rsidRPr="00BD17CA" w:rsidRDefault="009C7422">
      <w:pPr>
        <w:ind w:left="117"/>
        <w:rPr>
          <w:rFonts w:ascii="Arial" w:hAnsi="Arial" w:cs="Arial"/>
          <w:sz w:val="22"/>
          <w:szCs w:val="22"/>
        </w:rPr>
      </w:pPr>
    </w:p>
    <w:p w14:paraId="4F977A1D" w14:textId="00C9013A" w:rsidR="009C7422" w:rsidRDefault="0079221D" w:rsidP="00404B27">
      <w:pPr>
        <w:spacing w:after="200" w:line="276" w:lineRule="auto"/>
        <w:ind w:right="74"/>
        <w:jc w:val="both"/>
        <w:rPr>
          <w:rFonts w:ascii="Arial" w:eastAsia="Arial" w:hAnsi="Arial" w:cs="Arial"/>
          <w:b/>
          <w:bCs/>
          <w:sz w:val="22"/>
          <w:szCs w:val="22"/>
        </w:rPr>
      </w:pPr>
      <w:r w:rsidRPr="0079221D">
        <w:rPr>
          <w:rFonts w:ascii="Arial" w:eastAsia="Arial" w:hAnsi="Arial" w:cs="Arial"/>
          <w:b/>
          <w:bCs/>
          <w:sz w:val="22"/>
          <w:szCs w:val="22"/>
        </w:rPr>
        <w:lastRenderedPageBreak/>
        <w:t xml:space="preserve">Note </w:t>
      </w:r>
      <w:r w:rsidR="00247116" w:rsidRPr="0079221D">
        <w:rPr>
          <w:rFonts w:ascii="Arial" w:eastAsia="Arial" w:hAnsi="Arial" w:cs="Arial"/>
          <w:b/>
          <w:bCs/>
          <w:sz w:val="22"/>
          <w:szCs w:val="22"/>
        </w:rPr>
        <w:t>1</w:t>
      </w:r>
      <w:r w:rsidR="00247116">
        <w:rPr>
          <w:rFonts w:ascii="Arial" w:eastAsia="Arial" w:hAnsi="Arial" w:cs="Arial"/>
          <w:b/>
          <w:bCs/>
          <w:sz w:val="22"/>
          <w:szCs w:val="22"/>
        </w:rPr>
        <w:t>7</w:t>
      </w:r>
      <w:r w:rsidR="00247116" w:rsidRPr="0079221D">
        <w:rPr>
          <w:rFonts w:ascii="Arial" w:eastAsia="Arial" w:hAnsi="Arial" w:cs="Arial"/>
          <w:b/>
          <w:bCs/>
          <w:sz w:val="22"/>
          <w:szCs w:val="22"/>
        </w:rPr>
        <w:t>a</w:t>
      </w:r>
      <w:r w:rsidRPr="0079221D">
        <w:rPr>
          <w:rFonts w:ascii="Arial" w:eastAsia="Arial" w:hAnsi="Arial" w:cs="Arial"/>
          <w:b/>
          <w:bCs/>
          <w:sz w:val="22"/>
          <w:szCs w:val="22"/>
        </w:rPr>
        <w:t xml:space="preserve">: </w:t>
      </w:r>
      <w:r w:rsidR="001706EB" w:rsidRPr="0079221D">
        <w:rPr>
          <w:rFonts w:ascii="Arial" w:eastAsia="Arial" w:hAnsi="Arial" w:cs="Arial"/>
          <w:b/>
          <w:bCs/>
          <w:sz w:val="22"/>
          <w:szCs w:val="22"/>
        </w:rPr>
        <w:t>Actuarial Present Value of Promised Retirement Benefits for the Purposes of IAS 26</w:t>
      </w:r>
    </w:p>
    <w:p w14:paraId="64D4AF1A" w14:textId="77777777" w:rsidR="009F4ADE" w:rsidRPr="009F4ADE" w:rsidRDefault="009F4ADE" w:rsidP="009F4ADE">
      <w:pPr>
        <w:tabs>
          <w:tab w:val="center" w:pos="4153"/>
          <w:tab w:val="right" w:pos="8306"/>
        </w:tabs>
        <w:spacing w:after="240"/>
        <w:jc w:val="both"/>
        <w:rPr>
          <w:rFonts w:ascii="Arial" w:hAnsi="Arial" w:cs="Arial"/>
          <w:sz w:val="22"/>
        </w:rPr>
      </w:pPr>
      <w:r w:rsidRPr="009F4ADE">
        <w:rPr>
          <w:rFonts w:ascii="Arial" w:hAnsi="Arial" w:cs="Arial"/>
          <w:sz w:val="22"/>
        </w:rPr>
        <w:t>IAS 26 requires the present value of the Fund’s promised retirement benefits to be disclosed, and for this purpose the actuarial assumptions and methodology used should be based on IAS 19 rather than the assumptions and methodology used for funding purposes.</w:t>
      </w:r>
    </w:p>
    <w:p w14:paraId="4E4E749A" w14:textId="77777777" w:rsidR="009F4ADE" w:rsidRPr="009F4ADE" w:rsidRDefault="009F4ADE" w:rsidP="009F4ADE">
      <w:pPr>
        <w:tabs>
          <w:tab w:val="center" w:pos="4153"/>
          <w:tab w:val="right" w:pos="8306"/>
        </w:tabs>
        <w:spacing w:after="240"/>
        <w:jc w:val="both"/>
        <w:rPr>
          <w:rFonts w:ascii="Arial" w:hAnsi="Arial" w:cs="Arial"/>
          <w:sz w:val="22"/>
        </w:rPr>
      </w:pPr>
      <w:r w:rsidRPr="009F4ADE">
        <w:rPr>
          <w:rFonts w:ascii="Arial" w:hAnsi="Arial" w:cs="Arial"/>
          <w:sz w:val="22"/>
        </w:rPr>
        <w:t>To assess the value of the benefits on this basis, we have used the following financial assumptions as at 31 March 2020 (the 31 March 2019 assumptions are included for comparison):</w:t>
      </w:r>
    </w:p>
    <w:tbl>
      <w:tblPr>
        <w:tblW w:w="0" w:type="auto"/>
        <w:tblInd w:w="108" w:type="dxa"/>
        <w:tblCellMar>
          <w:left w:w="0" w:type="dxa"/>
          <w:right w:w="0" w:type="dxa"/>
        </w:tblCellMar>
        <w:tblLook w:val="04A0" w:firstRow="1" w:lastRow="0" w:firstColumn="1" w:lastColumn="0" w:noHBand="0" w:noVBand="1"/>
      </w:tblPr>
      <w:tblGrid>
        <w:gridCol w:w="4239"/>
        <w:gridCol w:w="2223"/>
        <w:gridCol w:w="2565"/>
      </w:tblGrid>
      <w:tr w:rsidR="009F4ADE" w:rsidRPr="009F4ADE" w14:paraId="32C22A4C" w14:textId="77777777" w:rsidTr="007745A7">
        <w:trPr>
          <w:cantSplit/>
          <w:tblHeader/>
        </w:trPr>
        <w:tc>
          <w:tcPr>
            <w:tcW w:w="4239" w:type="dxa"/>
            <w:tcBorders>
              <w:top w:val="nil"/>
              <w:left w:val="nil"/>
              <w:bottom w:val="single" w:sz="8" w:space="0" w:color="FFFFFF"/>
              <w:right w:val="nil"/>
            </w:tcBorders>
            <w:shd w:val="clear" w:color="auto" w:fill="002C77"/>
            <w:tcMar>
              <w:top w:w="0" w:type="dxa"/>
              <w:left w:w="72" w:type="dxa"/>
              <w:bottom w:w="0" w:type="dxa"/>
              <w:right w:w="72" w:type="dxa"/>
            </w:tcMar>
            <w:vAlign w:val="bottom"/>
          </w:tcPr>
          <w:p w14:paraId="32DC10F6" w14:textId="77777777" w:rsidR="009F4ADE" w:rsidRPr="009F4ADE" w:rsidRDefault="009F4ADE" w:rsidP="009F4ADE">
            <w:pPr>
              <w:keepNext/>
              <w:spacing w:before="40" w:after="40" w:line="276" w:lineRule="auto"/>
              <w:jc w:val="both"/>
              <w:rPr>
                <w:rFonts w:ascii="Arial" w:hAnsi="Arial" w:cs="Arial"/>
                <w:b/>
                <w:sz w:val="22"/>
              </w:rPr>
            </w:pPr>
          </w:p>
        </w:tc>
        <w:tc>
          <w:tcPr>
            <w:tcW w:w="2223" w:type="dxa"/>
            <w:tcBorders>
              <w:top w:val="nil"/>
              <w:left w:val="nil"/>
              <w:bottom w:val="single" w:sz="8" w:space="0" w:color="FFFFFF"/>
              <w:right w:val="nil"/>
            </w:tcBorders>
            <w:shd w:val="clear" w:color="auto" w:fill="002C77"/>
            <w:tcMar>
              <w:top w:w="0" w:type="dxa"/>
              <w:left w:w="72" w:type="dxa"/>
              <w:bottom w:w="0" w:type="dxa"/>
              <w:right w:w="72" w:type="dxa"/>
            </w:tcMar>
            <w:vAlign w:val="bottom"/>
            <w:hideMark/>
          </w:tcPr>
          <w:p w14:paraId="3F837F1D" w14:textId="77777777" w:rsidR="009F4ADE" w:rsidRPr="009F4ADE" w:rsidRDefault="009F4ADE" w:rsidP="009F4ADE">
            <w:pPr>
              <w:keepNext/>
              <w:spacing w:before="40" w:after="40" w:line="276" w:lineRule="auto"/>
              <w:jc w:val="both"/>
              <w:rPr>
                <w:rFonts w:ascii="Arial" w:hAnsi="Arial" w:cs="Arial"/>
                <w:b/>
                <w:sz w:val="22"/>
              </w:rPr>
            </w:pPr>
            <w:r w:rsidRPr="009F4ADE">
              <w:rPr>
                <w:rFonts w:ascii="Arial" w:hAnsi="Arial" w:cs="Arial"/>
                <w:b/>
                <w:sz w:val="22"/>
              </w:rPr>
              <w:t>31 March 2019</w:t>
            </w:r>
          </w:p>
        </w:tc>
        <w:tc>
          <w:tcPr>
            <w:tcW w:w="2565" w:type="dxa"/>
            <w:tcBorders>
              <w:top w:val="nil"/>
              <w:left w:val="nil"/>
              <w:bottom w:val="single" w:sz="8" w:space="0" w:color="FFFFFF"/>
              <w:right w:val="nil"/>
            </w:tcBorders>
            <w:shd w:val="clear" w:color="auto" w:fill="002C77"/>
            <w:tcMar>
              <w:top w:w="0" w:type="dxa"/>
              <w:left w:w="72" w:type="dxa"/>
              <w:bottom w:w="0" w:type="dxa"/>
              <w:right w:w="72" w:type="dxa"/>
            </w:tcMar>
            <w:vAlign w:val="bottom"/>
            <w:hideMark/>
          </w:tcPr>
          <w:p w14:paraId="32B05BE5" w14:textId="77777777" w:rsidR="009F4ADE" w:rsidRPr="009F4ADE" w:rsidRDefault="009F4ADE" w:rsidP="009F4ADE">
            <w:pPr>
              <w:keepNext/>
              <w:spacing w:before="40" w:after="40" w:line="276" w:lineRule="auto"/>
              <w:jc w:val="both"/>
              <w:rPr>
                <w:rFonts w:ascii="Arial" w:hAnsi="Arial" w:cs="Arial"/>
                <w:b/>
                <w:sz w:val="22"/>
              </w:rPr>
            </w:pPr>
            <w:r w:rsidRPr="009F4ADE">
              <w:rPr>
                <w:rFonts w:ascii="Arial" w:hAnsi="Arial" w:cs="Arial"/>
                <w:b/>
                <w:sz w:val="22"/>
              </w:rPr>
              <w:t>31 March 2020</w:t>
            </w:r>
          </w:p>
        </w:tc>
      </w:tr>
      <w:tr w:rsidR="009F4ADE" w:rsidRPr="009F4ADE" w14:paraId="4B4E3BBD" w14:textId="77777777" w:rsidTr="007745A7">
        <w:trPr>
          <w:cantSplit/>
        </w:trPr>
        <w:tc>
          <w:tcPr>
            <w:tcW w:w="4239" w:type="dxa"/>
            <w:tcBorders>
              <w:top w:val="nil"/>
              <w:left w:val="single" w:sz="8" w:space="0" w:color="FFFFFF"/>
              <w:bottom w:val="single" w:sz="8" w:space="0" w:color="FFFFFF"/>
              <w:right w:val="single" w:sz="8" w:space="0" w:color="FFFFFF"/>
            </w:tcBorders>
            <w:shd w:val="clear" w:color="auto" w:fill="F2F2F2"/>
            <w:tcMar>
              <w:top w:w="0" w:type="dxa"/>
              <w:left w:w="72" w:type="dxa"/>
              <w:bottom w:w="0" w:type="dxa"/>
              <w:right w:w="72" w:type="dxa"/>
            </w:tcMar>
            <w:hideMark/>
          </w:tcPr>
          <w:p w14:paraId="5DDD71BC" w14:textId="77777777" w:rsidR="009F4ADE" w:rsidRPr="009F4ADE" w:rsidRDefault="009F4ADE" w:rsidP="009F4ADE">
            <w:pPr>
              <w:spacing w:before="40" w:after="40" w:line="276" w:lineRule="auto"/>
              <w:jc w:val="both"/>
              <w:rPr>
                <w:rFonts w:ascii="Arial" w:hAnsi="Arial" w:cs="Arial"/>
                <w:sz w:val="22"/>
              </w:rPr>
            </w:pPr>
            <w:r w:rsidRPr="009F4ADE">
              <w:rPr>
                <w:rFonts w:ascii="Arial" w:hAnsi="Arial" w:cs="Arial"/>
                <w:sz w:val="22"/>
              </w:rPr>
              <w:t>Rate of return on investments (discount rate)</w:t>
            </w:r>
          </w:p>
        </w:tc>
        <w:tc>
          <w:tcPr>
            <w:tcW w:w="2223"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hideMark/>
          </w:tcPr>
          <w:p w14:paraId="1361281E" w14:textId="77777777" w:rsidR="009F4ADE" w:rsidRPr="009F4ADE" w:rsidRDefault="009F4ADE" w:rsidP="009F4ADE">
            <w:pPr>
              <w:spacing w:line="276" w:lineRule="auto"/>
              <w:jc w:val="both"/>
              <w:rPr>
                <w:rFonts w:ascii="Arial" w:hAnsi="Arial" w:cs="Arial"/>
                <w:sz w:val="22"/>
              </w:rPr>
            </w:pPr>
            <w:r w:rsidRPr="009F4ADE">
              <w:rPr>
                <w:rFonts w:ascii="Arial" w:hAnsi="Arial" w:cs="Arial"/>
                <w:sz w:val="22"/>
              </w:rPr>
              <w:t>2.4% per annum</w:t>
            </w:r>
          </w:p>
        </w:tc>
        <w:tc>
          <w:tcPr>
            <w:tcW w:w="2565"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hideMark/>
          </w:tcPr>
          <w:p w14:paraId="114CD32E" w14:textId="77777777" w:rsidR="009F4ADE" w:rsidRPr="009F4ADE" w:rsidRDefault="009F4ADE" w:rsidP="009F4ADE">
            <w:pPr>
              <w:spacing w:line="276" w:lineRule="auto"/>
              <w:jc w:val="both"/>
              <w:rPr>
                <w:rFonts w:ascii="Arial" w:hAnsi="Arial" w:cs="Arial"/>
                <w:sz w:val="22"/>
              </w:rPr>
            </w:pPr>
            <w:r w:rsidRPr="009F4ADE">
              <w:rPr>
                <w:rFonts w:ascii="Arial" w:hAnsi="Arial" w:cs="Arial"/>
                <w:sz w:val="22"/>
              </w:rPr>
              <w:t>2.4% per annum</w:t>
            </w:r>
          </w:p>
        </w:tc>
      </w:tr>
      <w:tr w:rsidR="009F4ADE" w:rsidRPr="009F4ADE" w14:paraId="63BB820F" w14:textId="77777777" w:rsidTr="007745A7">
        <w:trPr>
          <w:cantSplit/>
        </w:trPr>
        <w:tc>
          <w:tcPr>
            <w:tcW w:w="4239" w:type="dxa"/>
            <w:tcBorders>
              <w:top w:val="nil"/>
              <w:left w:val="single" w:sz="8" w:space="0" w:color="FFFFFF"/>
              <w:bottom w:val="single" w:sz="8" w:space="0" w:color="FFFFFF"/>
              <w:right w:val="single" w:sz="8" w:space="0" w:color="FFFFFF"/>
            </w:tcBorders>
            <w:shd w:val="clear" w:color="auto" w:fill="F2F2F2"/>
            <w:tcMar>
              <w:top w:w="0" w:type="dxa"/>
              <w:left w:w="72" w:type="dxa"/>
              <w:bottom w:w="0" w:type="dxa"/>
              <w:right w:w="72" w:type="dxa"/>
            </w:tcMar>
          </w:tcPr>
          <w:p w14:paraId="1356AC10" w14:textId="77777777" w:rsidR="009F4ADE" w:rsidRPr="009F4ADE" w:rsidRDefault="009F4ADE" w:rsidP="009F4ADE">
            <w:pPr>
              <w:spacing w:before="40" w:after="40" w:line="276" w:lineRule="auto"/>
              <w:jc w:val="both"/>
              <w:rPr>
                <w:rFonts w:ascii="Arial" w:hAnsi="Arial" w:cs="Arial"/>
                <w:sz w:val="22"/>
              </w:rPr>
            </w:pPr>
            <w:r w:rsidRPr="009F4ADE">
              <w:rPr>
                <w:rFonts w:ascii="Arial" w:hAnsi="Arial" w:cs="Arial"/>
                <w:sz w:val="22"/>
              </w:rPr>
              <w:t>Rate of CPI Inflation / CARE benefit revaluation</w:t>
            </w:r>
          </w:p>
        </w:tc>
        <w:tc>
          <w:tcPr>
            <w:tcW w:w="2223"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tcPr>
          <w:p w14:paraId="7F139296" w14:textId="77777777" w:rsidR="009F4ADE" w:rsidRPr="009F4ADE" w:rsidRDefault="009F4ADE" w:rsidP="009F4ADE">
            <w:pPr>
              <w:spacing w:line="276" w:lineRule="auto"/>
              <w:jc w:val="both"/>
              <w:rPr>
                <w:rFonts w:ascii="Arial" w:hAnsi="Arial" w:cs="Arial"/>
                <w:sz w:val="22"/>
              </w:rPr>
            </w:pPr>
            <w:r w:rsidRPr="009F4ADE">
              <w:rPr>
                <w:rFonts w:ascii="Arial" w:hAnsi="Arial" w:cs="Arial"/>
                <w:sz w:val="22"/>
              </w:rPr>
              <w:t>2.2% per annum</w:t>
            </w:r>
          </w:p>
        </w:tc>
        <w:tc>
          <w:tcPr>
            <w:tcW w:w="2565"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tcPr>
          <w:p w14:paraId="2CEB8E36" w14:textId="77777777" w:rsidR="009F4ADE" w:rsidRPr="009F4ADE" w:rsidRDefault="009F4ADE" w:rsidP="009F4ADE">
            <w:pPr>
              <w:spacing w:line="276" w:lineRule="auto"/>
              <w:jc w:val="both"/>
              <w:rPr>
                <w:rFonts w:ascii="Arial" w:hAnsi="Arial" w:cs="Arial"/>
                <w:sz w:val="22"/>
              </w:rPr>
            </w:pPr>
            <w:r w:rsidRPr="009F4ADE">
              <w:rPr>
                <w:rFonts w:ascii="Arial" w:hAnsi="Arial" w:cs="Arial"/>
                <w:sz w:val="22"/>
              </w:rPr>
              <w:t>2.1% per annum</w:t>
            </w:r>
          </w:p>
        </w:tc>
      </w:tr>
      <w:tr w:rsidR="009F4ADE" w:rsidRPr="009F4ADE" w14:paraId="43D165A6" w14:textId="77777777" w:rsidTr="007745A7">
        <w:trPr>
          <w:cantSplit/>
        </w:trPr>
        <w:tc>
          <w:tcPr>
            <w:tcW w:w="4239" w:type="dxa"/>
            <w:tcBorders>
              <w:top w:val="nil"/>
              <w:left w:val="single" w:sz="8" w:space="0" w:color="FFFFFF"/>
              <w:bottom w:val="single" w:sz="8" w:space="0" w:color="FFFFFF"/>
              <w:right w:val="single" w:sz="8" w:space="0" w:color="FFFFFF"/>
            </w:tcBorders>
            <w:shd w:val="clear" w:color="auto" w:fill="F2F2F2"/>
            <w:tcMar>
              <w:top w:w="0" w:type="dxa"/>
              <w:left w:w="72" w:type="dxa"/>
              <w:bottom w:w="0" w:type="dxa"/>
              <w:right w:w="72" w:type="dxa"/>
            </w:tcMar>
            <w:hideMark/>
          </w:tcPr>
          <w:p w14:paraId="2B796E7D" w14:textId="77777777" w:rsidR="009F4ADE" w:rsidRPr="009F4ADE" w:rsidRDefault="009F4ADE" w:rsidP="009F4ADE">
            <w:pPr>
              <w:spacing w:before="40" w:after="40" w:line="276" w:lineRule="auto"/>
              <w:jc w:val="both"/>
              <w:rPr>
                <w:rFonts w:ascii="Arial" w:hAnsi="Arial" w:cs="Arial"/>
                <w:sz w:val="22"/>
              </w:rPr>
            </w:pPr>
            <w:r w:rsidRPr="009F4ADE">
              <w:rPr>
                <w:rFonts w:ascii="Arial" w:hAnsi="Arial" w:cs="Arial"/>
                <w:sz w:val="22"/>
              </w:rPr>
              <w:t>Rate of pay increases*</w:t>
            </w:r>
          </w:p>
        </w:tc>
        <w:tc>
          <w:tcPr>
            <w:tcW w:w="2223"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hideMark/>
          </w:tcPr>
          <w:p w14:paraId="6C90809B" w14:textId="77777777" w:rsidR="009F4ADE" w:rsidRPr="009F4ADE" w:rsidRDefault="009F4ADE" w:rsidP="009F4ADE">
            <w:pPr>
              <w:spacing w:before="40" w:after="40" w:line="276" w:lineRule="auto"/>
              <w:jc w:val="both"/>
              <w:rPr>
                <w:rFonts w:ascii="Arial" w:hAnsi="Arial" w:cs="Arial"/>
                <w:sz w:val="22"/>
              </w:rPr>
            </w:pPr>
            <w:r w:rsidRPr="009F4ADE">
              <w:rPr>
                <w:rFonts w:ascii="Arial" w:hAnsi="Arial" w:cs="Arial"/>
                <w:sz w:val="22"/>
              </w:rPr>
              <w:t>3.7% per annum</w:t>
            </w:r>
          </w:p>
        </w:tc>
        <w:tc>
          <w:tcPr>
            <w:tcW w:w="2565"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hideMark/>
          </w:tcPr>
          <w:p w14:paraId="7EA2BA48" w14:textId="77777777" w:rsidR="009F4ADE" w:rsidRPr="009F4ADE" w:rsidRDefault="009F4ADE" w:rsidP="009F4ADE">
            <w:pPr>
              <w:spacing w:before="40" w:after="40" w:line="276" w:lineRule="auto"/>
              <w:jc w:val="both"/>
              <w:rPr>
                <w:rFonts w:ascii="Arial" w:hAnsi="Arial" w:cs="Arial"/>
                <w:sz w:val="22"/>
              </w:rPr>
            </w:pPr>
            <w:r w:rsidRPr="009F4ADE">
              <w:rPr>
                <w:rFonts w:ascii="Arial" w:hAnsi="Arial" w:cs="Arial"/>
                <w:sz w:val="22"/>
              </w:rPr>
              <w:t>3.6% per annum</w:t>
            </w:r>
          </w:p>
        </w:tc>
      </w:tr>
      <w:tr w:rsidR="009F4ADE" w:rsidRPr="009F4ADE" w14:paraId="188F234B" w14:textId="77777777" w:rsidTr="007745A7">
        <w:trPr>
          <w:cantSplit/>
        </w:trPr>
        <w:tc>
          <w:tcPr>
            <w:tcW w:w="4239" w:type="dxa"/>
            <w:tcBorders>
              <w:top w:val="nil"/>
              <w:left w:val="single" w:sz="8" w:space="0" w:color="FFFFFF"/>
              <w:bottom w:val="single" w:sz="8" w:space="0" w:color="FFFFFF"/>
              <w:right w:val="single" w:sz="8" w:space="0" w:color="FFFFFF"/>
            </w:tcBorders>
            <w:shd w:val="clear" w:color="auto" w:fill="F2F2F2"/>
            <w:tcMar>
              <w:top w:w="0" w:type="dxa"/>
              <w:left w:w="72" w:type="dxa"/>
              <w:bottom w:w="0" w:type="dxa"/>
              <w:right w:w="72" w:type="dxa"/>
            </w:tcMar>
            <w:hideMark/>
          </w:tcPr>
          <w:p w14:paraId="53357722" w14:textId="77777777" w:rsidR="009F4ADE" w:rsidRPr="009F4ADE" w:rsidRDefault="009F4ADE" w:rsidP="009F4ADE">
            <w:pPr>
              <w:spacing w:line="276" w:lineRule="auto"/>
              <w:jc w:val="both"/>
              <w:rPr>
                <w:rFonts w:ascii="Arial" w:eastAsia="Calibri" w:hAnsi="Arial" w:cs="Arial"/>
                <w:sz w:val="22"/>
              </w:rPr>
            </w:pPr>
            <w:r w:rsidRPr="009F4ADE">
              <w:rPr>
                <w:rFonts w:ascii="Arial" w:hAnsi="Arial" w:cs="Arial"/>
                <w:sz w:val="22"/>
              </w:rPr>
              <w:t xml:space="preserve">Rate of increases in pensions </w:t>
            </w:r>
          </w:p>
          <w:p w14:paraId="4528276C" w14:textId="77777777" w:rsidR="009F4ADE" w:rsidRPr="009F4ADE" w:rsidRDefault="009F4ADE" w:rsidP="009F4ADE">
            <w:pPr>
              <w:spacing w:line="276" w:lineRule="auto"/>
              <w:jc w:val="both"/>
              <w:rPr>
                <w:rFonts w:ascii="Arial" w:hAnsi="Arial" w:cs="Arial"/>
                <w:sz w:val="22"/>
              </w:rPr>
            </w:pPr>
            <w:r w:rsidRPr="009F4ADE">
              <w:rPr>
                <w:rFonts w:ascii="Arial" w:hAnsi="Arial" w:cs="Arial"/>
                <w:sz w:val="22"/>
              </w:rPr>
              <w:t xml:space="preserve">in payment (in excess of </w:t>
            </w:r>
          </w:p>
          <w:p w14:paraId="307D2C6F" w14:textId="77777777" w:rsidR="009F4ADE" w:rsidRPr="009F4ADE" w:rsidRDefault="009F4ADE" w:rsidP="009F4ADE">
            <w:pPr>
              <w:spacing w:line="276" w:lineRule="auto"/>
              <w:jc w:val="both"/>
              <w:rPr>
                <w:rFonts w:ascii="Arial" w:hAnsi="Arial" w:cs="Arial"/>
                <w:sz w:val="22"/>
              </w:rPr>
            </w:pPr>
            <w:r w:rsidRPr="009F4ADE">
              <w:rPr>
                <w:rFonts w:ascii="Arial" w:hAnsi="Arial" w:cs="Arial"/>
                <w:sz w:val="22"/>
              </w:rPr>
              <w:t>GMP) / Deferred revaluation</w:t>
            </w:r>
          </w:p>
        </w:tc>
        <w:tc>
          <w:tcPr>
            <w:tcW w:w="2223"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vAlign w:val="center"/>
            <w:hideMark/>
          </w:tcPr>
          <w:p w14:paraId="4D1E5BC4" w14:textId="77777777" w:rsidR="009F4ADE" w:rsidRPr="009F4ADE" w:rsidRDefault="009F4ADE" w:rsidP="009F4ADE">
            <w:pPr>
              <w:spacing w:line="276" w:lineRule="auto"/>
              <w:jc w:val="both"/>
              <w:rPr>
                <w:rFonts w:ascii="Arial" w:hAnsi="Arial" w:cs="Arial"/>
                <w:sz w:val="22"/>
              </w:rPr>
            </w:pPr>
            <w:r w:rsidRPr="009F4ADE">
              <w:rPr>
                <w:rFonts w:ascii="Arial" w:hAnsi="Arial" w:cs="Arial"/>
                <w:sz w:val="22"/>
              </w:rPr>
              <w:t>2.3% per annum</w:t>
            </w:r>
          </w:p>
        </w:tc>
        <w:tc>
          <w:tcPr>
            <w:tcW w:w="2565" w:type="dxa"/>
            <w:tcBorders>
              <w:top w:val="nil"/>
              <w:left w:val="nil"/>
              <w:bottom w:val="single" w:sz="8" w:space="0" w:color="FFFFFF"/>
              <w:right w:val="single" w:sz="8" w:space="0" w:color="FFFFFF"/>
            </w:tcBorders>
            <w:shd w:val="clear" w:color="auto" w:fill="F2F2F2"/>
            <w:tcMar>
              <w:top w:w="0" w:type="dxa"/>
              <w:left w:w="72" w:type="dxa"/>
              <w:bottom w:w="0" w:type="dxa"/>
              <w:right w:w="72" w:type="dxa"/>
            </w:tcMar>
            <w:vAlign w:val="center"/>
            <w:hideMark/>
          </w:tcPr>
          <w:p w14:paraId="20B345F2" w14:textId="77777777" w:rsidR="009F4ADE" w:rsidRPr="009F4ADE" w:rsidRDefault="009F4ADE" w:rsidP="009F4ADE">
            <w:pPr>
              <w:spacing w:line="276" w:lineRule="auto"/>
              <w:jc w:val="both"/>
              <w:rPr>
                <w:rFonts w:ascii="Arial" w:hAnsi="Arial" w:cs="Arial"/>
                <w:sz w:val="22"/>
              </w:rPr>
            </w:pPr>
            <w:r w:rsidRPr="009F4ADE">
              <w:rPr>
                <w:rFonts w:ascii="Arial" w:hAnsi="Arial" w:cs="Arial"/>
                <w:sz w:val="22"/>
              </w:rPr>
              <w:t>2.2% per annum</w:t>
            </w:r>
          </w:p>
        </w:tc>
      </w:tr>
    </w:tbl>
    <w:p w14:paraId="4649A792" w14:textId="77777777" w:rsidR="009F4ADE" w:rsidRPr="009F4ADE" w:rsidRDefault="009F4ADE" w:rsidP="009F4ADE">
      <w:pPr>
        <w:tabs>
          <w:tab w:val="center" w:pos="4153"/>
          <w:tab w:val="right" w:pos="8306"/>
        </w:tabs>
        <w:spacing w:after="240"/>
        <w:jc w:val="both"/>
        <w:rPr>
          <w:rFonts w:ascii="Arial" w:eastAsia="Calibri" w:hAnsi="Arial" w:cs="Arial"/>
          <w:sz w:val="16"/>
          <w:szCs w:val="16"/>
        </w:rPr>
      </w:pPr>
      <w:r w:rsidRPr="009F4ADE">
        <w:rPr>
          <w:rFonts w:ascii="Arial" w:hAnsi="Arial" w:cs="Arial"/>
          <w:sz w:val="16"/>
          <w:szCs w:val="16"/>
        </w:rPr>
        <w:t>* This is the long-term assumption.  An allowance corresponding to that made at the latest formal actuarial valuation for short-term public sector pay restraint was also included.</w:t>
      </w:r>
    </w:p>
    <w:p w14:paraId="12AE7624" w14:textId="77777777" w:rsidR="009F4ADE" w:rsidRPr="009F4ADE" w:rsidRDefault="009F4ADE" w:rsidP="009F4ADE">
      <w:pPr>
        <w:tabs>
          <w:tab w:val="center" w:pos="4153"/>
          <w:tab w:val="right" w:pos="8306"/>
        </w:tabs>
        <w:spacing w:after="240"/>
        <w:jc w:val="both"/>
        <w:rPr>
          <w:rFonts w:ascii="Arial" w:hAnsi="Arial" w:cs="Arial"/>
          <w:sz w:val="22"/>
          <w:szCs w:val="22"/>
        </w:rPr>
      </w:pPr>
      <w:r w:rsidRPr="009F4ADE">
        <w:rPr>
          <w:rFonts w:ascii="Arial" w:hAnsi="Arial" w:cs="Arial"/>
          <w:sz w:val="22"/>
        </w:rPr>
        <w:t>The demographic assumptions are the same as those used for funding purposes, with the 31 March 2020 assumptions being updated to reflect the assumptions adopted for the 2019 actuarial valuation. Full details of these assumptions are set out in the formal report on the actuarial valuation dated March 2020.</w:t>
      </w:r>
    </w:p>
    <w:p w14:paraId="49F6FE59" w14:textId="77777777" w:rsidR="009F4ADE" w:rsidRPr="009F4ADE" w:rsidRDefault="009F4ADE" w:rsidP="009F4ADE">
      <w:pPr>
        <w:tabs>
          <w:tab w:val="center" w:pos="4153"/>
          <w:tab w:val="right" w:pos="8306"/>
        </w:tabs>
        <w:spacing w:after="240"/>
        <w:jc w:val="both"/>
        <w:rPr>
          <w:rFonts w:ascii="Arial" w:hAnsi="Arial" w:cs="Arial"/>
          <w:sz w:val="22"/>
        </w:rPr>
      </w:pPr>
      <w:r w:rsidRPr="009F4ADE">
        <w:rPr>
          <w:rFonts w:ascii="Arial" w:hAnsi="Arial" w:cs="Arial"/>
          <w:sz w:val="22"/>
        </w:rPr>
        <w:t xml:space="preserve">Corporate bond yields were similar at the start and end of year resulting in the same discount rate of 2.4% p.a. being used for IAS 26 purposes at the year-end as for last year.   The expected long-term rate of CPI inflation decreased during the year, from 2.2% p.a. to 2.1%, which served to decrease the liabilities slightly over the year. </w:t>
      </w:r>
    </w:p>
    <w:p w14:paraId="238869CF" w14:textId="77777777" w:rsidR="009F4ADE" w:rsidRPr="009F4ADE" w:rsidRDefault="009F4ADE" w:rsidP="009F4ADE">
      <w:pPr>
        <w:spacing w:after="240"/>
        <w:jc w:val="both"/>
        <w:rPr>
          <w:rFonts w:ascii="Arial" w:hAnsi="Arial" w:cs="Arial"/>
          <w:sz w:val="22"/>
        </w:rPr>
      </w:pPr>
      <w:r w:rsidRPr="009F4ADE">
        <w:rPr>
          <w:rFonts w:ascii="Arial" w:hAnsi="Arial" w:cs="Arial"/>
          <w:sz w:val="22"/>
        </w:rPr>
        <w:t>The value of the Fund’s promised retirement benefits for the purposes of IAS 26 as at 31 March 2019 was estimated as £1,590 million excluding the potential impact of the McCloud Judgment.</w:t>
      </w:r>
    </w:p>
    <w:p w14:paraId="434FFCFF" w14:textId="77777777" w:rsidR="009F4ADE" w:rsidRPr="009F4ADE" w:rsidRDefault="009F4ADE" w:rsidP="009F4ADE">
      <w:pPr>
        <w:spacing w:after="240"/>
        <w:jc w:val="both"/>
        <w:rPr>
          <w:rFonts w:ascii="Arial" w:hAnsi="Arial" w:cs="Arial"/>
          <w:iCs/>
          <w:sz w:val="22"/>
        </w:rPr>
      </w:pPr>
      <w:r w:rsidRPr="009F4ADE">
        <w:rPr>
          <w:rFonts w:ascii="Arial" w:hAnsi="Arial" w:cs="Arial"/>
          <w:sz w:val="22"/>
        </w:rPr>
        <w:t xml:space="preserve">Interest over the year increased the liabilities by </w:t>
      </w:r>
      <w:r w:rsidRPr="009F4ADE">
        <w:rPr>
          <w:rFonts w:ascii="Arial" w:hAnsi="Arial" w:cs="Arial"/>
        </w:rPr>
        <w:t>c</w:t>
      </w:r>
      <w:r w:rsidRPr="009F4ADE">
        <w:rPr>
          <w:rFonts w:ascii="Arial" w:hAnsi="Arial" w:cs="Arial"/>
          <w:sz w:val="22"/>
        </w:rPr>
        <w:t xml:space="preserve">£39 million, and allowing for net benefits accrued/paid over the period also increased the liabilities by </w:t>
      </w:r>
      <w:r w:rsidRPr="009F4ADE">
        <w:rPr>
          <w:rFonts w:ascii="Arial" w:hAnsi="Arial" w:cs="Arial"/>
        </w:rPr>
        <w:t>c</w:t>
      </w:r>
      <w:r w:rsidRPr="009F4ADE">
        <w:rPr>
          <w:rFonts w:ascii="Arial" w:hAnsi="Arial" w:cs="Arial"/>
          <w:sz w:val="22"/>
        </w:rPr>
        <w:t>£36million (this includes any increase in IAS 26 liabilities arising as a result of early retirements/augmentations and the potential impact of GMP Indexation and the McCloud Judgment – see comments elsewhere in this statement).  There was also a decrease in liabilities of £35 million due to “actuarial gains” (</w:t>
      </w:r>
      <w:proofErr w:type="spellStart"/>
      <w:r w:rsidRPr="009F4ADE">
        <w:rPr>
          <w:rFonts w:ascii="Arial" w:hAnsi="Arial" w:cs="Arial"/>
          <w:sz w:val="22"/>
        </w:rPr>
        <w:t>i.e</w:t>
      </w:r>
      <w:proofErr w:type="spellEnd"/>
      <w:r w:rsidRPr="009F4ADE">
        <w:rPr>
          <w:rFonts w:ascii="Arial" w:hAnsi="Arial" w:cs="Arial"/>
          <w:sz w:val="22"/>
        </w:rPr>
        <w:t xml:space="preserve"> the effects of the </w:t>
      </w:r>
      <w:r w:rsidRPr="009F4ADE">
        <w:rPr>
          <w:rFonts w:ascii="Arial" w:hAnsi="Arial" w:cs="Arial"/>
          <w:iCs/>
          <w:sz w:val="22"/>
        </w:rPr>
        <w:t xml:space="preserve">changes in the actuarial assumptions used, referred to above, and the incorporation of the 31 March 2019 actuarial valuation results into the IAS26 figures).  </w:t>
      </w:r>
    </w:p>
    <w:p w14:paraId="6EA99175" w14:textId="77777777" w:rsidR="009F4ADE" w:rsidRPr="009F4ADE" w:rsidRDefault="009F4ADE" w:rsidP="009F4ADE">
      <w:pPr>
        <w:spacing w:after="240"/>
        <w:jc w:val="both"/>
        <w:rPr>
          <w:rFonts w:ascii="Arial" w:hAnsi="Arial" w:cs="Arial"/>
          <w:sz w:val="22"/>
        </w:rPr>
      </w:pPr>
      <w:r w:rsidRPr="009F4ADE">
        <w:rPr>
          <w:rFonts w:ascii="Arial" w:hAnsi="Arial" w:cs="Arial"/>
          <w:sz w:val="22"/>
        </w:rPr>
        <w:t>The net effect of all the above is that the estimated total IAS 26 value of the Fund’s promised retirement benefits as at 31 March 2020 is therefore £1,630 million.</w:t>
      </w:r>
    </w:p>
    <w:p w14:paraId="7A3E3900" w14:textId="77777777" w:rsidR="009F4ADE" w:rsidRPr="009F4ADE" w:rsidRDefault="009F4ADE" w:rsidP="009F4ADE">
      <w:pPr>
        <w:spacing w:after="240"/>
        <w:jc w:val="both"/>
        <w:rPr>
          <w:rFonts w:ascii="Arial" w:hAnsi="Arial" w:cs="Arial"/>
          <w:sz w:val="22"/>
        </w:rPr>
      </w:pPr>
      <w:r w:rsidRPr="009F4ADE">
        <w:rPr>
          <w:rFonts w:ascii="Arial" w:hAnsi="Arial" w:cs="Arial"/>
          <w:b/>
          <w:sz w:val="22"/>
        </w:rPr>
        <w:t>GMP Indexation</w:t>
      </w:r>
    </w:p>
    <w:p w14:paraId="401DACD0" w14:textId="77777777" w:rsidR="009F4ADE" w:rsidRPr="009F4ADE" w:rsidRDefault="009F4ADE" w:rsidP="009F4ADE">
      <w:pPr>
        <w:keepNext/>
        <w:numPr>
          <w:ilvl w:val="1"/>
          <w:numId w:val="13"/>
        </w:numPr>
        <w:tabs>
          <w:tab w:val="num" w:pos="0"/>
        </w:tabs>
        <w:spacing w:after="180"/>
        <w:ind w:left="0" w:firstLine="0"/>
        <w:jc w:val="both"/>
        <w:outlineLvl w:val="1"/>
        <w:rPr>
          <w:rFonts w:ascii="Arial" w:hAnsi="Arial" w:cs="Arial"/>
          <w:b/>
          <w:sz w:val="22"/>
          <w:szCs w:val="22"/>
        </w:rPr>
      </w:pPr>
      <w:r w:rsidRPr="009F4ADE">
        <w:rPr>
          <w:rFonts w:ascii="Arial" w:hAnsi="Arial" w:cs="Arial"/>
          <w:sz w:val="22"/>
        </w:rPr>
        <w:t>At present, the public service schemes are required to provide full CPI pension increases on GMP benefits for members who reach State Pension Age between 6 April 2016 and 5 April 2021.  The UK Government may well extend this at some point in the future to include members reaching State Pension Age from 6 April 2021 onwards, which would give rise to a further cost to the LGPS and its employers.  If the Fund were required to index-link GMP benefits in respect of those members who reach their State Pension Age after April 2021, then we estimate that this would increase the Fund liabilities by about £5 million on IAS26 assumptions, and we have included this amount within the final IAS26 liability figure above.</w:t>
      </w:r>
    </w:p>
    <w:p w14:paraId="4D7B6C1F" w14:textId="77777777" w:rsidR="009F4ADE" w:rsidRPr="009F4ADE" w:rsidRDefault="009F4ADE" w:rsidP="009F4ADE">
      <w:pPr>
        <w:spacing w:after="240"/>
        <w:jc w:val="both"/>
        <w:rPr>
          <w:rFonts w:ascii="Arial" w:eastAsia="Calibri" w:hAnsi="Arial" w:cs="Arial"/>
          <w:sz w:val="22"/>
          <w:szCs w:val="22"/>
        </w:rPr>
      </w:pPr>
    </w:p>
    <w:p w14:paraId="12EFC2D2" w14:textId="50910F49" w:rsidR="009F4ADE" w:rsidRPr="009F4ADE" w:rsidRDefault="009F4ADE" w:rsidP="009F4ADE">
      <w:pPr>
        <w:keepNext/>
        <w:spacing w:after="180"/>
        <w:jc w:val="both"/>
        <w:outlineLvl w:val="1"/>
        <w:rPr>
          <w:rFonts w:ascii="Arial" w:hAnsi="Arial" w:cs="Arial"/>
          <w:b/>
          <w:sz w:val="22"/>
          <w:szCs w:val="22"/>
        </w:rPr>
      </w:pPr>
      <w:r w:rsidRPr="009F4ADE">
        <w:rPr>
          <w:rFonts w:ascii="Arial" w:hAnsi="Arial" w:cs="Arial"/>
          <w:b/>
          <w:sz w:val="22"/>
          <w:szCs w:val="22"/>
        </w:rPr>
        <w:lastRenderedPageBreak/>
        <w:t>John Livesey</w:t>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t>James Hunter</w:t>
      </w:r>
    </w:p>
    <w:p w14:paraId="1311B8CD" w14:textId="77777777" w:rsidR="009F4ADE" w:rsidRPr="009F4ADE" w:rsidRDefault="009F4ADE" w:rsidP="009F4ADE">
      <w:pPr>
        <w:keepNext/>
        <w:spacing w:after="180"/>
        <w:jc w:val="both"/>
        <w:outlineLvl w:val="1"/>
        <w:rPr>
          <w:rFonts w:ascii="Arial" w:hAnsi="Arial" w:cs="Arial"/>
          <w:b/>
          <w:sz w:val="22"/>
          <w:szCs w:val="22"/>
        </w:rPr>
      </w:pPr>
      <w:r w:rsidRPr="009F4ADE">
        <w:rPr>
          <w:rFonts w:ascii="Arial" w:hAnsi="Arial" w:cs="Arial"/>
          <w:b/>
          <w:sz w:val="22"/>
          <w:szCs w:val="22"/>
        </w:rPr>
        <w:t xml:space="preserve">Fellow of the Institute and </w:t>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t xml:space="preserve">Fellow of the Institute and </w:t>
      </w:r>
    </w:p>
    <w:p w14:paraId="29EB4107" w14:textId="698EBB93" w:rsidR="009F4ADE" w:rsidRPr="009F4ADE" w:rsidRDefault="009F4ADE" w:rsidP="009F4ADE">
      <w:pPr>
        <w:keepNext/>
        <w:spacing w:after="180"/>
        <w:jc w:val="both"/>
        <w:outlineLvl w:val="1"/>
        <w:rPr>
          <w:rFonts w:ascii="Arial" w:hAnsi="Arial" w:cs="Arial"/>
          <w:b/>
          <w:sz w:val="22"/>
          <w:szCs w:val="22"/>
        </w:rPr>
      </w:pPr>
      <w:r w:rsidRPr="009F4ADE">
        <w:rPr>
          <w:rFonts w:ascii="Arial" w:hAnsi="Arial" w:cs="Arial"/>
          <w:b/>
          <w:sz w:val="22"/>
          <w:szCs w:val="22"/>
        </w:rPr>
        <w:t>Faculty of Actuaries</w:t>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r>
      <w:r w:rsidRPr="009F4ADE">
        <w:rPr>
          <w:rFonts w:ascii="Arial" w:hAnsi="Arial" w:cs="Arial"/>
          <w:b/>
          <w:sz w:val="22"/>
          <w:szCs w:val="22"/>
        </w:rPr>
        <w:tab/>
        <w:t>Faculty of Actuaries</w:t>
      </w:r>
    </w:p>
    <w:p w14:paraId="154A2BEF" w14:textId="77777777" w:rsidR="009F4ADE" w:rsidRPr="009F4ADE" w:rsidRDefault="009F4ADE" w:rsidP="009F4ADE">
      <w:pPr>
        <w:keepNext/>
        <w:spacing w:after="180"/>
        <w:jc w:val="both"/>
        <w:outlineLvl w:val="1"/>
        <w:rPr>
          <w:rFonts w:ascii="Arial" w:hAnsi="Arial" w:cs="Arial"/>
          <w:b/>
          <w:sz w:val="22"/>
          <w:szCs w:val="22"/>
        </w:rPr>
      </w:pPr>
      <w:r w:rsidRPr="009F4ADE">
        <w:rPr>
          <w:rFonts w:ascii="Arial" w:hAnsi="Arial" w:cs="Arial"/>
          <w:b/>
          <w:sz w:val="22"/>
          <w:szCs w:val="22"/>
        </w:rPr>
        <w:t>Mercer Limited</w:t>
      </w:r>
    </w:p>
    <w:p w14:paraId="59842F70" w14:textId="77777777" w:rsidR="009F4ADE" w:rsidRPr="009F4ADE" w:rsidRDefault="009F4ADE" w:rsidP="009F4ADE">
      <w:pPr>
        <w:spacing w:after="240"/>
        <w:jc w:val="both"/>
        <w:rPr>
          <w:rFonts w:ascii="Arial" w:eastAsia="Calibri" w:hAnsi="Arial" w:cs="Arial"/>
          <w:b/>
          <w:bCs/>
          <w:sz w:val="22"/>
          <w:szCs w:val="22"/>
        </w:rPr>
      </w:pPr>
      <w:r w:rsidRPr="009F4ADE">
        <w:rPr>
          <w:rFonts w:ascii="Arial" w:hAnsi="Arial" w:cs="Arial"/>
          <w:b/>
          <w:bCs/>
          <w:sz w:val="22"/>
        </w:rPr>
        <w:t>July 2020</w:t>
      </w:r>
    </w:p>
    <w:p w14:paraId="5FCD9EB3" w14:textId="77777777" w:rsidR="00404B27" w:rsidRPr="00821C31" w:rsidRDefault="00404B27" w:rsidP="00821C31">
      <w:pPr>
        <w:spacing w:after="200" w:line="276" w:lineRule="auto"/>
        <w:ind w:right="74"/>
        <w:jc w:val="both"/>
        <w:rPr>
          <w:rFonts w:ascii="Arial" w:eastAsia="Arial" w:hAnsi="Arial" w:cs="Arial"/>
          <w:sz w:val="22"/>
          <w:szCs w:val="22"/>
          <w:lang w:val="en-GB"/>
        </w:rPr>
      </w:pPr>
    </w:p>
    <w:p w14:paraId="041313F6" w14:textId="3E1ABC93" w:rsidR="009C7422" w:rsidRPr="00821C31" w:rsidRDefault="001706EB" w:rsidP="00821C31">
      <w:pPr>
        <w:spacing w:after="200" w:line="276" w:lineRule="auto"/>
        <w:ind w:right="74"/>
        <w:jc w:val="both"/>
        <w:rPr>
          <w:rFonts w:ascii="Arial" w:eastAsia="Arial" w:hAnsi="Arial" w:cs="Arial"/>
          <w:b/>
          <w:bCs/>
          <w:sz w:val="22"/>
          <w:szCs w:val="22"/>
        </w:rPr>
      </w:pPr>
      <w:r w:rsidRPr="00821C31">
        <w:rPr>
          <w:rFonts w:ascii="Arial" w:eastAsia="Arial" w:hAnsi="Arial" w:cs="Arial"/>
          <w:b/>
          <w:bCs/>
          <w:sz w:val="22"/>
          <w:szCs w:val="22"/>
        </w:rPr>
        <w:t xml:space="preserve">NOTE </w:t>
      </w:r>
      <w:r w:rsidR="00247116">
        <w:rPr>
          <w:rFonts w:ascii="Arial" w:eastAsia="Arial" w:hAnsi="Arial" w:cs="Arial"/>
          <w:b/>
          <w:bCs/>
          <w:sz w:val="22"/>
          <w:szCs w:val="22"/>
        </w:rPr>
        <w:t>18</w:t>
      </w:r>
      <w:r w:rsidRPr="00821C31">
        <w:rPr>
          <w:rFonts w:ascii="Arial" w:eastAsia="Arial" w:hAnsi="Arial" w:cs="Arial"/>
          <w:b/>
          <w:bCs/>
          <w:sz w:val="22"/>
          <w:szCs w:val="22"/>
        </w:rPr>
        <w:t>: CURRENT ASSETS</w:t>
      </w:r>
    </w:p>
    <w:p w14:paraId="6AF17A17" w14:textId="395064FD" w:rsidR="009C7422" w:rsidRDefault="001706EB" w:rsidP="00821C31">
      <w:pPr>
        <w:spacing w:after="200" w:line="276" w:lineRule="auto"/>
        <w:ind w:right="74"/>
        <w:jc w:val="both"/>
        <w:rPr>
          <w:rFonts w:ascii="Arial" w:eastAsia="Arial" w:hAnsi="Arial" w:cs="Arial"/>
          <w:sz w:val="22"/>
          <w:szCs w:val="22"/>
          <w:lang w:val="en-GB"/>
        </w:rPr>
      </w:pPr>
      <w:r w:rsidRPr="00821C31">
        <w:rPr>
          <w:rFonts w:ascii="Arial" w:eastAsia="Arial" w:hAnsi="Arial" w:cs="Arial"/>
          <w:sz w:val="22"/>
          <w:szCs w:val="22"/>
          <w:lang w:val="en-GB"/>
        </w:rPr>
        <w:t xml:space="preserve">Analysis of debtors outstanding at 31 March </w:t>
      </w:r>
      <w:r w:rsidR="00E41E57" w:rsidRPr="00821C31">
        <w:rPr>
          <w:rFonts w:ascii="Arial" w:eastAsia="Arial" w:hAnsi="Arial" w:cs="Arial"/>
          <w:sz w:val="22"/>
          <w:szCs w:val="22"/>
          <w:lang w:val="en-GB"/>
        </w:rPr>
        <w:t>20</w:t>
      </w:r>
      <w:r w:rsidR="00E41E57">
        <w:rPr>
          <w:rFonts w:ascii="Arial" w:eastAsia="Arial" w:hAnsi="Arial" w:cs="Arial"/>
          <w:sz w:val="22"/>
          <w:szCs w:val="22"/>
          <w:lang w:val="en-GB"/>
        </w:rPr>
        <w:t>20</w:t>
      </w:r>
      <w:r w:rsidRPr="00821C31">
        <w:rPr>
          <w:rFonts w:ascii="Arial" w:eastAsia="Arial" w:hAnsi="Arial" w:cs="Arial"/>
          <w:sz w:val="22"/>
          <w:szCs w:val="22"/>
          <w:lang w:val="en-GB"/>
        </w:rPr>
        <w:t>:</w:t>
      </w:r>
    </w:p>
    <w:tbl>
      <w:tblPr>
        <w:tblW w:w="7120" w:type="dxa"/>
        <w:tblLook w:val="04A0" w:firstRow="1" w:lastRow="0" w:firstColumn="1" w:lastColumn="0" w:noHBand="0" w:noVBand="1"/>
      </w:tblPr>
      <w:tblGrid>
        <w:gridCol w:w="1012"/>
        <w:gridCol w:w="5200"/>
        <w:gridCol w:w="1012"/>
      </w:tblGrid>
      <w:tr w:rsidR="00A83A4F" w:rsidRPr="00A83A4F" w14:paraId="13B860E0" w14:textId="77777777" w:rsidTr="00A83A4F">
        <w:trPr>
          <w:trHeight w:val="300"/>
        </w:trPr>
        <w:tc>
          <w:tcPr>
            <w:tcW w:w="960" w:type="dxa"/>
            <w:tcBorders>
              <w:top w:val="single" w:sz="4" w:space="0" w:color="auto"/>
              <w:left w:val="single" w:sz="4" w:space="0" w:color="auto"/>
              <w:bottom w:val="nil"/>
              <w:right w:val="nil"/>
            </w:tcBorders>
            <w:shd w:val="clear" w:color="000000" w:fill="00CC99"/>
            <w:noWrap/>
            <w:vAlign w:val="bottom"/>
            <w:hideMark/>
          </w:tcPr>
          <w:p w14:paraId="4383692F" w14:textId="77777777" w:rsidR="00A83A4F" w:rsidRPr="00A83A4F" w:rsidRDefault="00A83A4F" w:rsidP="00A83A4F">
            <w:pPr>
              <w:jc w:val="center"/>
              <w:rPr>
                <w:rFonts w:ascii="Arial" w:hAnsi="Arial" w:cs="Arial"/>
                <w:b/>
                <w:bCs/>
                <w:color w:val="000000"/>
                <w:sz w:val="22"/>
                <w:szCs w:val="22"/>
                <w:lang w:val="en-GB" w:eastAsia="en-GB"/>
              </w:rPr>
            </w:pPr>
            <w:r w:rsidRPr="00A83A4F">
              <w:rPr>
                <w:rFonts w:ascii="Arial" w:hAnsi="Arial" w:cs="Arial"/>
                <w:b/>
                <w:bCs/>
                <w:color w:val="000000"/>
                <w:sz w:val="22"/>
                <w:szCs w:val="22"/>
                <w:lang w:val="en-GB" w:eastAsia="en-GB"/>
              </w:rPr>
              <w:t>2018/19</w:t>
            </w:r>
          </w:p>
        </w:tc>
        <w:tc>
          <w:tcPr>
            <w:tcW w:w="5200" w:type="dxa"/>
            <w:tcBorders>
              <w:top w:val="single" w:sz="4" w:space="0" w:color="auto"/>
              <w:left w:val="nil"/>
              <w:bottom w:val="nil"/>
              <w:right w:val="nil"/>
            </w:tcBorders>
            <w:shd w:val="clear" w:color="000000" w:fill="00CC99"/>
            <w:noWrap/>
            <w:vAlign w:val="bottom"/>
            <w:hideMark/>
          </w:tcPr>
          <w:p w14:paraId="23671561"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w:t>
            </w:r>
          </w:p>
        </w:tc>
        <w:tc>
          <w:tcPr>
            <w:tcW w:w="960" w:type="dxa"/>
            <w:tcBorders>
              <w:top w:val="single" w:sz="4" w:space="0" w:color="auto"/>
              <w:left w:val="nil"/>
              <w:bottom w:val="nil"/>
              <w:right w:val="single" w:sz="4" w:space="0" w:color="auto"/>
            </w:tcBorders>
            <w:shd w:val="clear" w:color="000000" w:fill="00CC99"/>
            <w:noWrap/>
            <w:vAlign w:val="bottom"/>
            <w:hideMark/>
          </w:tcPr>
          <w:p w14:paraId="44ABF3E5" w14:textId="77777777" w:rsidR="00A83A4F" w:rsidRPr="00A83A4F" w:rsidRDefault="00A83A4F" w:rsidP="00A83A4F">
            <w:pPr>
              <w:jc w:val="center"/>
              <w:rPr>
                <w:rFonts w:ascii="Arial" w:hAnsi="Arial" w:cs="Arial"/>
                <w:b/>
                <w:bCs/>
                <w:color w:val="000000"/>
                <w:sz w:val="22"/>
                <w:szCs w:val="22"/>
                <w:lang w:val="en-GB" w:eastAsia="en-GB"/>
              </w:rPr>
            </w:pPr>
            <w:r w:rsidRPr="00A83A4F">
              <w:rPr>
                <w:rFonts w:ascii="Arial" w:hAnsi="Arial" w:cs="Arial"/>
                <w:b/>
                <w:bCs/>
                <w:color w:val="000000"/>
                <w:sz w:val="22"/>
                <w:szCs w:val="22"/>
                <w:lang w:val="en-GB" w:eastAsia="en-GB"/>
              </w:rPr>
              <w:t>2019/20</w:t>
            </w:r>
          </w:p>
        </w:tc>
      </w:tr>
      <w:tr w:rsidR="00A83A4F" w:rsidRPr="00A83A4F" w14:paraId="06E9F7BC" w14:textId="77777777" w:rsidTr="00A83A4F">
        <w:trPr>
          <w:trHeight w:val="300"/>
        </w:trPr>
        <w:tc>
          <w:tcPr>
            <w:tcW w:w="960" w:type="dxa"/>
            <w:tcBorders>
              <w:top w:val="nil"/>
              <w:left w:val="single" w:sz="4" w:space="0" w:color="auto"/>
              <w:bottom w:val="nil"/>
              <w:right w:val="nil"/>
            </w:tcBorders>
            <w:shd w:val="clear" w:color="000000" w:fill="00CC99"/>
            <w:noWrap/>
            <w:vAlign w:val="bottom"/>
            <w:hideMark/>
          </w:tcPr>
          <w:p w14:paraId="23692C32" w14:textId="77777777" w:rsidR="00A83A4F" w:rsidRPr="00A83A4F" w:rsidRDefault="00A83A4F" w:rsidP="00A83A4F">
            <w:pPr>
              <w:jc w:val="center"/>
              <w:rPr>
                <w:rFonts w:ascii="Arial" w:hAnsi="Arial" w:cs="Arial"/>
                <w:b/>
                <w:bCs/>
                <w:color w:val="000000"/>
                <w:sz w:val="22"/>
                <w:szCs w:val="22"/>
                <w:lang w:val="en-GB" w:eastAsia="en-GB"/>
              </w:rPr>
            </w:pPr>
            <w:r w:rsidRPr="00A83A4F">
              <w:rPr>
                <w:rFonts w:ascii="Arial" w:hAnsi="Arial" w:cs="Arial"/>
                <w:b/>
                <w:bCs/>
                <w:color w:val="000000"/>
                <w:sz w:val="22"/>
                <w:szCs w:val="22"/>
                <w:lang w:val="en-GB" w:eastAsia="en-GB"/>
              </w:rPr>
              <w:t>£'000</w:t>
            </w:r>
          </w:p>
        </w:tc>
        <w:tc>
          <w:tcPr>
            <w:tcW w:w="5200" w:type="dxa"/>
            <w:tcBorders>
              <w:top w:val="nil"/>
              <w:left w:val="nil"/>
              <w:bottom w:val="nil"/>
              <w:right w:val="nil"/>
            </w:tcBorders>
            <w:shd w:val="clear" w:color="000000" w:fill="00CC99"/>
            <w:noWrap/>
            <w:vAlign w:val="bottom"/>
            <w:hideMark/>
          </w:tcPr>
          <w:p w14:paraId="14D14432"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w:t>
            </w:r>
          </w:p>
        </w:tc>
        <w:tc>
          <w:tcPr>
            <w:tcW w:w="960" w:type="dxa"/>
            <w:tcBorders>
              <w:top w:val="nil"/>
              <w:left w:val="nil"/>
              <w:bottom w:val="nil"/>
              <w:right w:val="single" w:sz="4" w:space="0" w:color="auto"/>
            </w:tcBorders>
            <w:shd w:val="clear" w:color="000000" w:fill="00CC99"/>
            <w:noWrap/>
            <w:vAlign w:val="bottom"/>
            <w:hideMark/>
          </w:tcPr>
          <w:p w14:paraId="3B31F753" w14:textId="77777777" w:rsidR="00A83A4F" w:rsidRPr="00A83A4F" w:rsidRDefault="00A83A4F" w:rsidP="00A83A4F">
            <w:pPr>
              <w:jc w:val="center"/>
              <w:rPr>
                <w:rFonts w:ascii="Arial" w:hAnsi="Arial" w:cs="Arial"/>
                <w:b/>
                <w:bCs/>
                <w:color w:val="000000"/>
                <w:sz w:val="22"/>
                <w:szCs w:val="22"/>
                <w:lang w:val="en-GB" w:eastAsia="en-GB"/>
              </w:rPr>
            </w:pPr>
            <w:r w:rsidRPr="00A83A4F">
              <w:rPr>
                <w:rFonts w:ascii="Arial" w:hAnsi="Arial" w:cs="Arial"/>
                <w:b/>
                <w:bCs/>
                <w:color w:val="000000"/>
                <w:sz w:val="22"/>
                <w:szCs w:val="22"/>
                <w:lang w:val="en-GB" w:eastAsia="en-GB"/>
              </w:rPr>
              <w:t>£'000</w:t>
            </w:r>
          </w:p>
        </w:tc>
      </w:tr>
      <w:tr w:rsidR="00A83A4F" w:rsidRPr="00A83A4F" w14:paraId="46EFABD4" w14:textId="77777777" w:rsidTr="00A83A4F">
        <w:trPr>
          <w:trHeight w:val="300"/>
        </w:trPr>
        <w:tc>
          <w:tcPr>
            <w:tcW w:w="960" w:type="dxa"/>
            <w:tcBorders>
              <w:top w:val="nil"/>
              <w:left w:val="single" w:sz="4" w:space="0" w:color="auto"/>
              <w:bottom w:val="nil"/>
              <w:right w:val="nil"/>
            </w:tcBorders>
            <w:shd w:val="clear" w:color="auto" w:fill="auto"/>
            <w:noWrap/>
            <w:vAlign w:val="bottom"/>
            <w:hideMark/>
          </w:tcPr>
          <w:p w14:paraId="58D18CD6"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w:t>
            </w:r>
          </w:p>
        </w:tc>
        <w:tc>
          <w:tcPr>
            <w:tcW w:w="5200" w:type="dxa"/>
            <w:tcBorders>
              <w:top w:val="nil"/>
              <w:left w:val="nil"/>
              <w:bottom w:val="nil"/>
              <w:right w:val="nil"/>
            </w:tcBorders>
            <w:shd w:val="clear" w:color="auto" w:fill="auto"/>
            <w:noWrap/>
            <w:vAlign w:val="bottom"/>
            <w:hideMark/>
          </w:tcPr>
          <w:p w14:paraId="7A14C7A7" w14:textId="77777777" w:rsidR="00A83A4F" w:rsidRPr="00A83A4F" w:rsidRDefault="00A83A4F" w:rsidP="00A83A4F">
            <w:pPr>
              <w:rPr>
                <w:rFonts w:ascii="Arial" w:hAnsi="Arial" w:cs="Arial"/>
                <w:color w:val="000000"/>
                <w:sz w:val="22"/>
                <w:szCs w:val="22"/>
                <w:lang w:val="en-GB" w:eastAsia="en-GB"/>
              </w:rPr>
            </w:pPr>
          </w:p>
        </w:tc>
        <w:tc>
          <w:tcPr>
            <w:tcW w:w="960" w:type="dxa"/>
            <w:tcBorders>
              <w:top w:val="nil"/>
              <w:left w:val="nil"/>
              <w:bottom w:val="nil"/>
              <w:right w:val="single" w:sz="4" w:space="0" w:color="auto"/>
            </w:tcBorders>
            <w:shd w:val="clear" w:color="auto" w:fill="auto"/>
            <w:noWrap/>
            <w:vAlign w:val="bottom"/>
            <w:hideMark/>
          </w:tcPr>
          <w:p w14:paraId="0A3C50AD"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w:t>
            </w:r>
          </w:p>
        </w:tc>
      </w:tr>
      <w:tr w:rsidR="00A83A4F" w:rsidRPr="00A83A4F" w14:paraId="68250D30" w14:textId="77777777" w:rsidTr="00A83A4F">
        <w:trPr>
          <w:trHeight w:val="315"/>
        </w:trPr>
        <w:tc>
          <w:tcPr>
            <w:tcW w:w="960" w:type="dxa"/>
            <w:tcBorders>
              <w:top w:val="nil"/>
              <w:left w:val="single" w:sz="4" w:space="0" w:color="auto"/>
              <w:bottom w:val="nil"/>
              <w:right w:val="nil"/>
            </w:tcBorders>
            <w:shd w:val="clear" w:color="auto" w:fill="auto"/>
            <w:noWrap/>
            <w:vAlign w:val="bottom"/>
            <w:hideMark/>
          </w:tcPr>
          <w:p w14:paraId="739FB995"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w:t>
            </w:r>
          </w:p>
        </w:tc>
        <w:tc>
          <w:tcPr>
            <w:tcW w:w="5200" w:type="dxa"/>
            <w:tcBorders>
              <w:top w:val="nil"/>
              <w:left w:val="nil"/>
              <w:bottom w:val="nil"/>
              <w:right w:val="nil"/>
            </w:tcBorders>
            <w:shd w:val="clear" w:color="auto" w:fill="auto"/>
            <w:noWrap/>
            <w:vAlign w:val="bottom"/>
            <w:hideMark/>
          </w:tcPr>
          <w:p w14:paraId="519F739A"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xml:space="preserve">Other entities and </w:t>
            </w:r>
            <w:proofErr w:type="gramStart"/>
            <w:r w:rsidRPr="00A83A4F">
              <w:rPr>
                <w:rFonts w:ascii="Arial" w:hAnsi="Arial" w:cs="Arial"/>
                <w:color w:val="000000"/>
                <w:sz w:val="22"/>
                <w:szCs w:val="22"/>
                <w:lang w:val="en-GB" w:eastAsia="en-GB"/>
              </w:rPr>
              <w:t>individuals:-</w:t>
            </w:r>
            <w:proofErr w:type="gramEnd"/>
          </w:p>
        </w:tc>
        <w:tc>
          <w:tcPr>
            <w:tcW w:w="960" w:type="dxa"/>
            <w:tcBorders>
              <w:top w:val="nil"/>
              <w:left w:val="nil"/>
              <w:bottom w:val="nil"/>
              <w:right w:val="single" w:sz="4" w:space="0" w:color="auto"/>
            </w:tcBorders>
            <w:shd w:val="clear" w:color="auto" w:fill="auto"/>
            <w:noWrap/>
            <w:vAlign w:val="bottom"/>
            <w:hideMark/>
          </w:tcPr>
          <w:p w14:paraId="6D22B921"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w:t>
            </w:r>
          </w:p>
        </w:tc>
      </w:tr>
      <w:tr w:rsidR="00A83A4F" w:rsidRPr="00A83A4F" w14:paraId="340FD767" w14:textId="77777777" w:rsidTr="00A83A4F">
        <w:trPr>
          <w:trHeight w:val="330"/>
        </w:trPr>
        <w:tc>
          <w:tcPr>
            <w:tcW w:w="960" w:type="dxa"/>
            <w:tcBorders>
              <w:top w:val="nil"/>
              <w:left w:val="single" w:sz="4" w:space="0" w:color="auto"/>
              <w:bottom w:val="nil"/>
              <w:right w:val="nil"/>
            </w:tcBorders>
            <w:shd w:val="clear" w:color="auto" w:fill="auto"/>
            <w:noWrap/>
            <w:vAlign w:val="bottom"/>
            <w:hideMark/>
          </w:tcPr>
          <w:p w14:paraId="7077E159" w14:textId="77777777" w:rsidR="00A83A4F" w:rsidRPr="00A83A4F" w:rsidRDefault="00A83A4F" w:rsidP="00A83A4F">
            <w:pPr>
              <w:jc w:val="right"/>
              <w:rPr>
                <w:rFonts w:ascii="Arial" w:hAnsi="Arial" w:cs="Arial"/>
                <w:color w:val="000000"/>
                <w:sz w:val="22"/>
                <w:szCs w:val="22"/>
                <w:lang w:val="en-GB" w:eastAsia="en-GB"/>
              </w:rPr>
            </w:pPr>
            <w:r w:rsidRPr="00A83A4F">
              <w:rPr>
                <w:rFonts w:ascii="Arial" w:hAnsi="Arial" w:cs="Arial"/>
                <w:color w:val="000000"/>
                <w:sz w:val="22"/>
                <w:szCs w:val="22"/>
                <w:lang w:val="en-GB" w:eastAsia="en-GB"/>
              </w:rPr>
              <w:t xml:space="preserve">2,849 </w:t>
            </w:r>
          </w:p>
        </w:tc>
        <w:tc>
          <w:tcPr>
            <w:tcW w:w="5200" w:type="dxa"/>
            <w:tcBorders>
              <w:top w:val="nil"/>
              <w:left w:val="nil"/>
              <w:bottom w:val="nil"/>
              <w:right w:val="nil"/>
            </w:tcBorders>
            <w:shd w:val="clear" w:color="auto" w:fill="auto"/>
            <w:noWrap/>
            <w:vAlign w:val="bottom"/>
            <w:hideMark/>
          </w:tcPr>
          <w:p w14:paraId="420CF749"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Cash not forming part of investment balances</w:t>
            </w:r>
          </w:p>
        </w:tc>
        <w:tc>
          <w:tcPr>
            <w:tcW w:w="960" w:type="dxa"/>
            <w:tcBorders>
              <w:top w:val="single" w:sz="12" w:space="0" w:color="FFFFFF"/>
              <w:left w:val="nil"/>
              <w:bottom w:val="single" w:sz="12" w:space="0" w:color="FFFFFF"/>
              <w:right w:val="single" w:sz="4" w:space="0" w:color="auto"/>
            </w:tcBorders>
            <w:shd w:val="clear" w:color="auto" w:fill="auto"/>
            <w:noWrap/>
            <w:vAlign w:val="bottom"/>
            <w:hideMark/>
          </w:tcPr>
          <w:p w14:paraId="0677915A" w14:textId="77777777" w:rsidR="00A83A4F" w:rsidRPr="00A83A4F" w:rsidRDefault="00A83A4F" w:rsidP="00A83A4F">
            <w:pPr>
              <w:jc w:val="right"/>
              <w:rPr>
                <w:rFonts w:ascii="Arial" w:hAnsi="Arial" w:cs="Arial"/>
                <w:lang w:val="en-GB" w:eastAsia="en-GB"/>
              </w:rPr>
            </w:pPr>
            <w:r w:rsidRPr="00A83A4F">
              <w:rPr>
                <w:rFonts w:ascii="Arial" w:hAnsi="Arial" w:cs="Arial"/>
                <w:lang w:val="en-GB" w:eastAsia="en-GB"/>
              </w:rPr>
              <w:t xml:space="preserve">3,674 </w:t>
            </w:r>
          </w:p>
        </w:tc>
      </w:tr>
      <w:tr w:rsidR="00A83A4F" w:rsidRPr="00A83A4F" w14:paraId="6063CC35" w14:textId="77777777" w:rsidTr="00A83A4F">
        <w:trPr>
          <w:trHeight w:val="315"/>
        </w:trPr>
        <w:tc>
          <w:tcPr>
            <w:tcW w:w="960" w:type="dxa"/>
            <w:tcBorders>
              <w:top w:val="nil"/>
              <w:left w:val="single" w:sz="4" w:space="0" w:color="auto"/>
              <w:bottom w:val="nil"/>
              <w:right w:val="nil"/>
            </w:tcBorders>
            <w:shd w:val="clear" w:color="auto" w:fill="auto"/>
            <w:noWrap/>
            <w:vAlign w:val="bottom"/>
            <w:hideMark/>
          </w:tcPr>
          <w:p w14:paraId="5EC75C9D" w14:textId="77777777" w:rsidR="00A83A4F" w:rsidRPr="00A83A4F" w:rsidRDefault="00A83A4F" w:rsidP="00A83A4F">
            <w:pPr>
              <w:jc w:val="right"/>
              <w:rPr>
                <w:rFonts w:ascii="Arial" w:hAnsi="Arial" w:cs="Arial"/>
                <w:color w:val="000000"/>
                <w:sz w:val="22"/>
                <w:szCs w:val="22"/>
                <w:lang w:val="en-GB" w:eastAsia="en-GB"/>
              </w:rPr>
            </w:pPr>
            <w:r w:rsidRPr="00A83A4F">
              <w:rPr>
                <w:rFonts w:ascii="Arial" w:hAnsi="Arial" w:cs="Arial"/>
                <w:color w:val="000000"/>
                <w:sz w:val="22"/>
                <w:szCs w:val="22"/>
                <w:lang w:val="en-GB" w:eastAsia="en-GB"/>
              </w:rPr>
              <w:t xml:space="preserve">5,347 </w:t>
            </w:r>
          </w:p>
        </w:tc>
        <w:tc>
          <w:tcPr>
            <w:tcW w:w="5200" w:type="dxa"/>
            <w:tcBorders>
              <w:top w:val="nil"/>
              <w:left w:val="nil"/>
              <w:bottom w:val="nil"/>
              <w:right w:val="nil"/>
            </w:tcBorders>
            <w:shd w:val="clear" w:color="auto" w:fill="auto"/>
            <w:noWrap/>
            <w:vAlign w:val="bottom"/>
            <w:hideMark/>
          </w:tcPr>
          <w:p w14:paraId="2138D6D8"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xml:space="preserve">        Pension contributions</w:t>
            </w:r>
          </w:p>
        </w:tc>
        <w:tc>
          <w:tcPr>
            <w:tcW w:w="960" w:type="dxa"/>
            <w:tcBorders>
              <w:top w:val="nil"/>
              <w:left w:val="nil"/>
              <w:bottom w:val="single" w:sz="4" w:space="0" w:color="auto"/>
              <w:right w:val="single" w:sz="4" w:space="0" w:color="auto"/>
            </w:tcBorders>
            <w:shd w:val="clear" w:color="auto" w:fill="auto"/>
            <w:noWrap/>
            <w:vAlign w:val="bottom"/>
            <w:hideMark/>
          </w:tcPr>
          <w:p w14:paraId="1C96CDD9" w14:textId="77777777" w:rsidR="00A83A4F" w:rsidRPr="00A83A4F" w:rsidRDefault="00A83A4F" w:rsidP="00A83A4F">
            <w:pPr>
              <w:jc w:val="right"/>
              <w:rPr>
                <w:rFonts w:ascii="Arial" w:hAnsi="Arial" w:cs="Arial"/>
                <w:lang w:val="en-GB" w:eastAsia="en-GB"/>
              </w:rPr>
            </w:pPr>
            <w:r w:rsidRPr="00A83A4F">
              <w:rPr>
                <w:rFonts w:ascii="Arial" w:hAnsi="Arial" w:cs="Arial"/>
                <w:lang w:val="en-GB" w:eastAsia="en-GB"/>
              </w:rPr>
              <w:t xml:space="preserve">5,692 </w:t>
            </w:r>
          </w:p>
        </w:tc>
      </w:tr>
      <w:tr w:rsidR="00A83A4F" w:rsidRPr="00A83A4F" w14:paraId="72FCDEA9" w14:textId="77777777" w:rsidTr="00A83A4F">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6F9DE6F1" w14:textId="77777777" w:rsidR="00A83A4F" w:rsidRPr="00A83A4F" w:rsidRDefault="00A83A4F" w:rsidP="00A83A4F">
            <w:pPr>
              <w:jc w:val="right"/>
              <w:rPr>
                <w:rFonts w:ascii="Arial" w:hAnsi="Arial" w:cs="Arial"/>
                <w:b/>
                <w:bCs/>
                <w:sz w:val="22"/>
                <w:szCs w:val="22"/>
                <w:lang w:val="en-GB" w:eastAsia="en-GB"/>
              </w:rPr>
            </w:pPr>
            <w:r w:rsidRPr="00A83A4F">
              <w:rPr>
                <w:rFonts w:ascii="Arial" w:hAnsi="Arial" w:cs="Arial"/>
                <w:b/>
                <w:bCs/>
                <w:sz w:val="22"/>
                <w:szCs w:val="22"/>
                <w:lang w:val="en-GB" w:eastAsia="en-GB"/>
              </w:rPr>
              <w:t xml:space="preserve">    8,196 </w:t>
            </w:r>
          </w:p>
        </w:tc>
        <w:tc>
          <w:tcPr>
            <w:tcW w:w="5200" w:type="dxa"/>
            <w:tcBorders>
              <w:top w:val="nil"/>
              <w:left w:val="nil"/>
              <w:bottom w:val="single" w:sz="4" w:space="0" w:color="auto"/>
              <w:right w:val="nil"/>
            </w:tcBorders>
            <w:shd w:val="clear" w:color="auto" w:fill="auto"/>
            <w:noWrap/>
            <w:vAlign w:val="bottom"/>
            <w:hideMark/>
          </w:tcPr>
          <w:p w14:paraId="17B195A7"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2C6E2F0" w14:textId="77777777" w:rsidR="00A83A4F" w:rsidRPr="00A83A4F" w:rsidRDefault="00A83A4F" w:rsidP="00A83A4F">
            <w:pPr>
              <w:jc w:val="right"/>
              <w:rPr>
                <w:rFonts w:ascii="Arial" w:hAnsi="Arial" w:cs="Arial"/>
                <w:b/>
                <w:bCs/>
                <w:sz w:val="22"/>
                <w:szCs w:val="22"/>
                <w:lang w:val="en-GB" w:eastAsia="en-GB"/>
              </w:rPr>
            </w:pPr>
            <w:r w:rsidRPr="00A83A4F">
              <w:rPr>
                <w:rFonts w:ascii="Arial" w:hAnsi="Arial" w:cs="Arial"/>
                <w:b/>
                <w:bCs/>
                <w:sz w:val="22"/>
                <w:szCs w:val="22"/>
                <w:lang w:val="en-GB" w:eastAsia="en-GB"/>
              </w:rPr>
              <w:t xml:space="preserve">    9,366 </w:t>
            </w:r>
          </w:p>
        </w:tc>
      </w:tr>
    </w:tbl>
    <w:p w14:paraId="5C3F010B" w14:textId="77777777" w:rsidR="00A83A4F" w:rsidRDefault="00A83A4F" w:rsidP="00821C31">
      <w:pPr>
        <w:spacing w:after="200" w:line="276" w:lineRule="auto"/>
        <w:ind w:right="74"/>
        <w:jc w:val="both"/>
        <w:rPr>
          <w:rFonts w:ascii="Arial" w:eastAsia="Arial" w:hAnsi="Arial" w:cs="Arial"/>
          <w:sz w:val="22"/>
          <w:szCs w:val="22"/>
          <w:lang w:val="en-GB"/>
        </w:rPr>
      </w:pPr>
    </w:p>
    <w:p w14:paraId="0C03CAA5" w14:textId="17537927" w:rsidR="00821C31" w:rsidRDefault="00E41E57" w:rsidP="00821C31">
      <w:pPr>
        <w:spacing w:after="200" w:line="276" w:lineRule="auto"/>
        <w:ind w:right="74"/>
        <w:jc w:val="both"/>
        <w:rPr>
          <w:rFonts w:ascii="Arial" w:eastAsia="Arial" w:hAnsi="Arial" w:cs="Arial"/>
          <w:sz w:val="22"/>
          <w:szCs w:val="22"/>
          <w:lang w:val="en-GB"/>
        </w:rPr>
      </w:pPr>
      <w:commentRangeStart w:id="14"/>
      <w:commentRangeEnd w:id="14"/>
      <w:r>
        <w:rPr>
          <w:rStyle w:val="CommentReference"/>
        </w:rPr>
        <w:commentReference w:id="14"/>
      </w:r>
    </w:p>
    <w:p w14:paraId="4F9456BF" w14:textId="3D4A3BD7" w:rsidR="009C7422" w:rsidRPr="00821C31" w:rsidRDefault="001706EB" w:rsidP="00821C31">
      <w:pPr>
        <w:spacing w:after="200" w:line="276" w:lineRule="auto"/>
        <w:ind w:right="74"/>
        <w:jc w:val="both"/>
        <w:rPr>
          <w:rFonts w:ascii="Arial" w:eastAsia="Arial" w:hAnsi="Arial" w:cs="Arial"/>
          <w:b/>
          <w:bCs/>
          <w:sz w:val="22"/>
          <w:szCs w:val="22"/>
        </w:rPr>
      </w:pPr>
      <w:r w:rsidRPr="00821C31">
        <w:rPr>
          <w:rFonts w:ascii="Arial" w:eastAsia="Arial" w:hAnsi="Arial" w:cs="Arial"/>
          <w:b/>
          <w:bCs/>
          <w:sz w:val="22"/>
          <w:szCs w:val="22"/>
        </w:rPr>
        <w:t xml:space="preserve">NOTE </w:t>
      </w:r>
      <w:r w:rsidR="00247116">
        <w:rPr>
          <w:rFonts w:ascii="Arial" w:eastAsia="Arial" w:hAnsi="Arial" w:cs="Arial"/>
          <w:b/>
          <w:bCs/>
          <w:sz w:val="22"/>
          <w:szCs w:val="22"/>
        </w:rPr>
        <w:t>19</w:t>
      </w:r>
      <w:r w:rsidRPr="00821C31">
        <w:rPr>
          <w:rFonts w:ascii="Arial" w:eastAsia="Arial" w:hAnsi="Arial" w:cs="Arial"/>
          <w:b/>
          <w:bCs/>
          <w:sz w:val="22"/>
          <w:szCs w:val="22"/>
        </w:rPr>
        <w:t>: CURRENT LIABILITIES</w:t>
      </w:r>
    </w:p>
    <w:p w14:paraId="08D0C10C" w14:textId="579BD2FE" w:rsidR="009C7422" w:rsidRDefault="001706EB" w:rsidP="00821C31">
      <w:pPr>
        <w:spacing w:after="200" w:line="276" w:lineRule="auto"/>
        <w:ind w:right="74"/>
        <w:jc w:val="both"/>
        <w:rPr>
          <w:rFonts w:ascii="Arial" w:eastAsia="Arial" w:hAnsi="Arial" w:cs="Arial"/>
          <w:sz w:val="22"/>
          <w:szCs w:val="22"/>
          <w:lang w:val="en-GB"/>
        </w:rPr>
      </w:pPr>
      <w:r w:rsidRPr="00821C31">
        <w:rPr>
          <w:rFonts w:ascii="Arial" w:eastAsia="Arial" w:hAnsi="Arial" w:cs="Arial"/>
          <w:sz w:val="22"/>
          <w:szCs w:val="22"/>
          <w:lang w:val="en-GB"/>
        </w:rPr>
        <w:t xml:space="preserve">Analysis of creditors outstanding at 31 March </w:t>
      </w:r>
      <w:r w:rsidR="00E41E57" w:rsidRPr="00821C31">
        <w:rPr>
          <w:rFonts w:ascii="Arial" w:eastAsia="Arial" w:hAnsi="Arial" w:cs="Arial"/>
          <w:sz w:val="22"/>
          <w:szCs w:val="22"/>
          <w:lang w:val="en-GB"/>
        </w:rPr>
        <w:t>20</w:t>
      </w:r>
      <w:r w:rsidR="00E41E57">
        <w:rPr>
          <w:rFonts w:ascii="Arial" w:eastAsia="Arial" w:hAnsi="Arial" w:cs="Arial"/>
          <w:sz w:val="22"/>
          <w:szCs w:val="22"/>
          <w:lang w:val="en-GB"/>
        </w:rPr>
        <w:t>20</w:t>
      </w:r>
      <w:r w:rsidRPr="00821C31">
        <w:rPr>
          <w:rFonts w:ascii="Arial" w:eastAsia="Arial" w:hAnsi="Arial" w:cs="Arial"/>
          <w:sz w:val="22"/>
          <w:szCs w:val="22"/>
          <w:lang w:val="en-GB"/>
        </w:rPr>
        <w:t>:</w:t>
      </w:r>
    </w:p>
    <w:tbl>
      <w:tblPr>
        <w:tblW w:w="7120" w:type="dxa"/>
        <w:tblLook w:val="04A0" w:firstRow="1" w:lastRow="0" w:firstColumn="1" w:lastColumn="0" w:noHBand="0" w:noVBand="1"/>
      </w:tblPr>
      <w:tblGrid>
        <w:gridCol w:w="1012"/>
        <w:gridCol w:w="5200"/>
        <w:gridCol w:w="1012"/>
      </w:tblGrid>
      <w:tr w:rsidR="00A83A4F" w:rsidRPr="00A83A4F" w14:paraId="68514C69" w14:textId="77777777" w:rsidTr="00A83A4F">
        <w:trPr>
          <w:trHeight w:val="300"/>
        </w:trPr>
        <w:tc>
          <w:tcPr>
            <w:tcW w:w="960" w:type="dxa"/>
            <w:tcBorders>
              <w:top w:val="single" w:sz="4" w:space="0" w:color="auto"/>
              <w:left w:val="single" w:sz="4" w:space="0" w:color="auto"/>
              <w:bottom w:val="nil"/>
              <w:right w:val="nil"/>
            </w:tcBorders>
            <w:shd w:val="clear" w:color="000000" w:fill="00CC99"/>
            <w:noWrap/>
            <w:vAlign w:val="bottom"/>
            <w:hideMark/>
          </w:tcPr>
          <w:p w14:paraId="6F986AD4" w14:textId="77777777" w:rsidR="00A83A4F" w:rsidRPr="00A83A4F" w:rsidRDefault="00A83A4F" w:rsidP="00A83A4F">
            <w:pPr>
              <w:jc w:val="center"/>
              <w:rPr>
                <w:rFonts w:ascii="Arial" w:hAnsi="Arial" w:cs="Arial"/>
                <w:b/>
                <w:bCs/>
                <w:color w:val="000000"/>
                <w:sz w:val="22"/>
                <w:szCs w:val="22"/>
                <w:lang w:val="en-GB" w:eastAsia="en-GB"/>
              </w:rPr>
            </w:pPr>
            <w:r w:rsidRPr="00A83A4F">
              <w:rPr>
                <w:rFonts w:ascii="Arial" w:hAnsi="Arial" w:cs="Arial"/>
                <w:b/>
                <w:bCs/>
                <w:color w:val="000000"/>
                <w:sz w:val="22"/>
                <w:szCs w:val="22"/>
                <w:lang w:val="en-GB" w:eastAsia="en-GB"/>
              </w:rPr>
              <w:t>2018/19</w:t>
            </w:r>
          </w:p>
        </w:tc>
        <w:tc>
          <w:tcPr>
            <w:tcW w:w="5200" w:type="dxa"/>
            <w:tcBorders>
              <w:top w:val="single" w:sz="4" w:space="0" w:color="auto"/>
              <w:left w:val="nil"/>
              <w:bottom w:val="nil"/>
              <w:right w:val="nil"/>
            </w:tcBorders>
            <w:shd w:val="clear" w:color="000000" w:fill="00CC99"/>
            <w:noWrap/>
            <w:vAlign w:val="bottom"/>
            <w:hideMark/>
          </w:tcPr>
          <w:p w14:paraId="45473503"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w:t>
            </w:r>
          </w:p>
        </w:tc>
        <w:tc>
          <w:tcPr>
            <w:tcW w:w="960" w:type="dxa"/>
            <w:tcBorders>
              <w:top w:val="single" w:sz="4" w:space="0" w:color="auto"/>
              <w:left w:val="nil"/>
              <w:bottom w:val="nil"/>
              <w:right w:val="single" w:sz="4" w:space="0" w:color="auto"/>
            </w:tcBorders>
            <w:shd w:val="clear" w:color="000000" w:fill="00CC99"/>
            <w:noWrap/>
            <w:vAlign w:val="bottom"/>
            <w:hideMark/>
          </w:tcPr>
          <w:p w14:paraId="57C98071" w14:textId="77777777" w:rsidR="00A83A4F" w:rsidRPr="00A83A4F" w:rsidRDefault="00A83A4F" w:rsidP="00A83A4F">
            <w:pPr>
              <w:jc w:val="center"/>
              <w:rPr>
                <w:rFonts w:ascii="Arial" w:hAnsi="Arial" w:cs="Arial"/>
                <w:b/>
                <w:bCs/>
                <w:color w:val="000000"/>
                <w:sz w:val="22"/>
                <w:szCs w:val="22"/>
                <w:lang w:val="en-GB" w:eastAsia="en-GB"/>
              </w:rPr>
            </w:pPr>
            <w:r w:rsidRPr="00A83A4F">
              <w:rPr>
                <w:rFonts w:ascii="Arial" w:hAnsi="Arial" w:cs="Arial"/>
                <w:b/>
                <w:bCs/>
                <w:color w:val="000000"/>
                <w:sz w:val="22"/>
                <w:szCs w:val="22"/>
                <w:lang w:val="en-GB" w:eastAsia="en-GB"/>
              </w:rPr>
              <w:t>2019/20</w:t>
            </w:r>
          </w:p>
        </w:tc>
      </w:tr>
      <w:tr w:rsidR="00A83A4F" w:rsidRPr="00A83A4F" w14:paraId="250C172F" w14:textId="77777777" w:rsidTr="00A83A4F">
        <w:trPr>
          <w:trHeight w:val="300"/>
        </w:trPr>
        <w:tc>
          <w:tcPr>
            <w:tcW w:w="960" w:type="dxa"/>
            <w:tcBorders>
              <w:top w:val="nil"/>
              <w:left w:val="single" w:sz="4" w:space="0" w:color="auto"/>
              <w:bottom w:val="nil"/>
              <w:right w:val="nil"/>
            </w:tcBorders>
            <w:shd w:val="clear" w:color="000000" w:fill="00CC99"/>
            <w:noWrap/>
            <w:vAlign w:val="bottom"/>
            <w:hideMark/>
          </w:tcPr>
          <w:p w14:paraId="11ED3E6D" w14:textId="77777777" w:rsidR="00A83A4F" w:rsidRPr="00A83A4F" w:rsidRDefault="00A83A4F" w:rsidP="00A83A4F">
            <w:pPr>
              <w:jc w:val="center"/>
              <w:rPr>
                <w:rFonts w:ascii="Arial" w:hAnsi="Arial" w:cs="Arial"/>
                <w:b/>
                <w:bCs/>
                <w:color w:val="000000"/>
                <w:sz w:val="22"/>
                <w:szCs w:val="22"/>
                <w:lang w:val="en-GB" w:eastAsia="en-GB"/>
              </w:rPr>
            </w:pPr>
            <w:r w:rsidRPr="00A83A4F">
              <w:rPr>
                <w:rFonts w:ascii="Arial" w:hAnsi="Arial" w:cs="Arial"/>
                <w:b/>
                <w:bCs/>
                <w:color w:val="000000"/>
                <w:sz w:val="22"/>
                <w:szCs w:val="22"/>
                <w:lang w:val="en-GB" w:eastAsia="en-GB"/>
              </w:rPr>
              <w:t>£'000</w:t>
            </w:r>
          </w:p>
        </w:tc>
        <w:tc>
          <w:tcPr>
            <w:tcW w:w="5200" w:type="dxa"/>
            <w:tcBorders>
              <w:top w:val="nil"/>
              <w:left w:val="nil"/>
              <w:bottom w:val="nil"/>
              <w:right w:val="nil"/>
            </w:tcBorders>
            <w:shd w:val="clear" w:color="000000" w:fill="00CC99"/>
            <w:noWrap/>
            <w:vAlign w:val="bottom"/>
            <w:hideMark/>
          </w:tcPr>
          <w:p w14:paraId="55808CC0"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w:t>
            </w:r>
          </w:p>
        </w:tc>
        <w:tc>
          <w:tcPr>
            <w:tcW w:w="960" w:type="dxa"/>
            <w:tcBorders>
              <w:top w:val="nil"/>
              <w:left w:val="nil"/>
              <w:bottom w:val="nil"/>
              <w:right w:val="single" w:sz="4" w:space="0" w:color="auto"/>
            </w:tcBorders>
            <w:shd w:val="clear" w:color="000000" w:fill="00CC99"/>
            <w:noWrap/>
            <w:vAlign w:val="bottom"/>
            <w:hideMark/>
          </w:tcPr>
          <w:p w14:paraId="3FA48195" w14:textId="77777777" w:rsidR="00A83A4F" w:rsidRPr="00A83A4F" w:rsidRDefault="00A83A4F" w:rsidP="00A83A4F">
            <w:pPr>
              <w:jc w:val="center"/>
              <w:rPr>
                <w:rFonts w:ascii="Arial" w:hAnsi="Arial" w:cs="Arial"/>
                <w:b/>
                <w:bCs/>
                <w:color w:val="000000"/>
                <w:sz w:val="22"/>
                <w:szCs w:val="22"/>
                <w:lang w:val="en-GB" w:eastAsia="en-GB"/>
              </w:rPr>
            </w:pPr>
            <w:r w:rsidRPr="00A83A4F">
              <w:rPr>
                <w:rFonts w:ascii="Arial" w:hAnsi="Arial" w:cs="Arial"/>
                <w:b/>
                <w:bCs/>
                <w:color w:val="000000"/>
                <w:sz w:val="22"/>
                <w:szCs w:val="22"/>
                <w:lang w:val="en-GB" w:eastAsia="en-GB"/>
              </w:rPr>
              <w:t>£'000</w:t>
            </w:r>
          </w:p>
        </w:tc>
      </w:tr>
      <w:tr w:rsidR="00A83A4F" w:rsidRPr="00A83A4F" w14:paraId="0AFC2C51" w14:textId="77777777" w:rsidTr="00A83A4F">
        <w:trPr>
          <w:trHeight w:val="315"/>
        </w:trPr>
        <w:tc>
          <w:tcPr>
            <w:tcW w:w="960" w:type="dxa"/>
            <w:tcBorders>
              <w:top w:val="nil"/>
              <w:left w:val="single" w:sz="4" w:space="0" w:color="auto"/>
              <w:bottom w:val="nil"/>
              <w:right w:val="nil"/>
            </w:tcBorders>
            <w:shd w:val="clear" w:color="auto" w:fill="auto"/>
            <w:noWrap/>
            <w:vAlign w:val="bottom"/>
            <w:hideMark/>
          </w:tcPr>
          <w:p w14:paraId="5BE228AF"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w:t>
            </w:r>
          </w:p>
        </w:tc>
        <w:tc>
          <w:tcPr>
            <w:tcW w:w="5200" w:type="dxa"/>
            <w:tcBorders>
              <w:top w:val="nil"/>
              <w:left w:val="nil"/>
              <w:bottom w:val="nil"/>
              <w:right w:val="nil"/>
            </w:tcBorders>
            <w:shd w:val="clear" w:color="auto" w:fill="auto"/>
            <w:noWrap/>
            <w:vAlign w:val="bottom"/>
            <w:hideMark/>
          </w:tcPr>
          <w:p w14:paraId="0E3FADC6" w14:textId="77777777" w:rsidR="00A83A4F" w:rsidRPr="00A83A4F" w:rsidRDefault="00A83A4F" w:rsidP="00A83A4F">
            <w:pPr>
              <w:rPr>
                <w:rFonts w:ascii="Arial" w:hAnsi="Arial" w:cs="Arial"/>
                <w:color w:val="000000"/>
                <w:sz w:val="22"/>
                <w:szCs w:val="22"/>
                <w:lang w:val="en-GB" w:eastAsia="en-GB"/>
              </w:rPr>
            </w:pPr>
          </w:p>
        </w:tc>
        <w:tc>
          <w:tcPr>
            <w:tcW w:w="960" w:type="dxa"/>
            <w:tcBorders>
              <w:top w:val="nil"/>
              <w:left w:val="nil"/>
              <w:bottom w:val="nil"/>
              <w:right w:val="single" w:sz="4" w:space="0" w:color="auto"/>
            </w:tcBorders>
            <w:shd w:val="clear" w:color="auto" w:fill="auto"/>
            <w:noWrap/>
            <w:vAlign w:val="bottom"/>
            <w:hideMark/>
          </w:tcPr>
          <w:p w14:paraId="3BFA437F"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w:t>
            </w:r>
          </w:p>
        </w:tc>
      </w:tr>
      <w:tr w:rsidR="00A83A4F" w:rsidRPr="00A83A4F" w14:paraId="3F3D3B71" w14:textId="77777777" w:rsidTr="00A83A4F">
        <w:trPr>
          <w:trHeight w:val="330"/>
        </w:trPr>
        <w:tc>
          <w:tcPr>
            <w:tcW w:w="960" w:type="dxa"/>
            <w:tcBorders>
              <w:top w:val="nil"/>
              <w:left w:val="single" w:sz="4" w:space="0" w:color="auto"/>
              <w:bottom w:val="nil"/>
              <w:right w:val="nil"/>
            </w:tcBorders>
            <w:shd w:val="clear" w:color="auto" w:fill="auto"/>
            <w:noWrap/>
            <w:vAlign w:val="bottom"/>
            <w:hideMark/>
          </w:tcPr>
          <w:p w14:paraId="073CD65A" w14:textId="77777777" w:rsidR="00A83A4F" w:rsidRPr="00A83A4F" w:rsidRDefault="00A83A4F" w:rsidP="00A83A4F">
            <w:pPr>
              <w:jc w:val="right"/>
              <w:rPr>
                <w:rFonts w:ascii="Arial" w:hAnsi="Arial" w:cs="Arial"/>
                <w:color w:val="000000"/>
                <w:sz w:val="22"/>
                <w:szCs w:val="22"/>
                <w:lang w:val="en-GB" w:eastAsia="en-GB"/>
              </w:rPr>
            </w:pPr>
            <w:r w:rsidRPr="00A83A4F">
              <w:rPr>
                <w:rFonts w:ascii="Arial" w:hAnsi="Arial" w:cs="Arial"/>
                <w:color w:val="000000"/>
                <w:sz w:val="22"/>
                <w:szCs w:val="22"/>
                <w:lang w:val="en-GB" w:eastAsia="en-GB"/>
              </w:rPr>
              <w:t xml:space="preserve">454 </w:t>
            </w:r>
          </w:p>
        </w:tc>
        <w:tc>
          <w:tcPr>
            <w:tcW w:w="5200" w:type="dxa"/>
            <w:tcBorders>
              <w:top w:val="nil"/>
              <w:left w:val="nil"/>
              <w:bottom w:val="nil"/>
              <w:right w:val="nil"/>
            </w:tcBorders>
            <w:shd w:val="clear" w:color="auto" w:fill="auto"/>
            <w:noWrap/>
            <w:vAlign w:val="bottom"/>
            <w:hideMark/>
          </w:tcPr>
          <w:p w14:paraId="43F7F3A4"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Due to the administering authority</w:t>
            </w:r>
          </w:p>
        </w:tc>
        <w:tc>
          <w:tcPr>
            <w:tcW w:w="960" w:type="dxa"/>
            <w:tcBorders>
              <w:top w:val="single" w:sz="12" w:space="0" w:color="FFFFFF"/>
              <w:left w:val="nil"/>
              <w:bottom w:val="single" w:sz="12" w:space="0" w:color="FFFFFF"/>
              <w:right w:val="single" w:sz="4" w:space="0" w:color="auto"/>
            </w:tcBorders>
            <w:shd w:val="clear" w:color="auto" w:fill="auto"/>
            <w:noWrap/>
            <w:vAlign w:val="bottom"/>
            <w:hideMark/>
          </w:tcPr>
          <w:p w14:paraId="1A4AB638" w14:textId="77777777" w:rsidR="00A83A4F" w:rsidRPr="00A83A4F" w:rsidRDefault="00A83A4F" w:rsidP="00A83A4F">
            <w:pPr>
              <w:jc w:val="right"/>
              <w:rPr>
                <w:rFonts w:ascii="Arial" w:hAnsi="Arial" w:cs="Arial"/>
                <w:lang w:val="en-GB" w:eastAsia="en-GB"/>
              </w:rPr>
            </w:pPr>
            <w:r w:rsidRPr="00A83A4F">
              <w:rPr>
                <w:rFonts w:ascii="Arial" w:hAnsi="Arial" w:cs="Arial"/>
                <w:lang w:val="en-GB" w:eastAsia="en-GB"/>
              </w:rPr>
              <w:t xml:space="preserve">1,500 </w:t>
            </w:r>
          </w:p>
        </w:tc>
      </w:tr>
      <w:tr w:rsidR="00A83A4F" w:rsidRPr="00A83A4F" w14:paraId="2653D5D2" w14:textId="77777777" w:rsidTr="00A83A4F">
        <w:trPr>
          <w:trHeight w:val="330"/>
        </w:trPr>
        <w:tc>
          <w:tcPr>
            <w:tcW w:w="960" w:type="dxa"/>
            <w:tcBorders>
              <w:top w:val="nil"/>
              <w:left w:val="single" w:sz="4" w:space="0" w:color="auto"/>
              <w:bottom w:val="nil"/>
              <w:right w:val="nil"/>
            </w:tcBorders>
            <w:shd w:val="clear" w:color="auto" w:fill="auto"/>
            <w:noWrap/>
            <w:vAlign w:val="bottom"/>
            <w:hideMark/>
          </w:tcPr>
          <w:p w14:paraId="2B1E2143" w14:textId="77777777" w:rsidR="00A83A4F" w:rsidRPr="00A83A4F" w:rsidRDefault="00A83A4F" w:rsidP="00A83A4F">
            <w:pPr>
              <w:jc w:val="right"/>
              <w:rPr>
                <w:rFonts w:ascii="Arial" w:hAnsi="Arial" w:cs="Arial"/>
                <w:color w:val="000000"/>
                <w:sz w:val="22"/>
                <w:szCs w:val="22"/>
                <w:lang w:val="en-GB" w:eastAsia="en-GB"/>
              </w:rPr>
            </w:pPr>
            <w:r w:rsidRPr="00A83A4F">
              <w:rPr>
                <w:rFonts w:ascii="Arial" w:hAnsi="Arial" w:cs="Arial"/>
                <w:color w:val="000000"/>
                <w:sz w:val="22"/>
                <w:szCs w:val="22"/>
                <w:lang w:val="en-GB" w:eastAsia="en-GB"/>
              </w:rPr>
              <w:t xml:space="preserve">26 </w:t>
            </w:r>
          </w:p>
        </w:tc>
        <w:tc>
          <w:tcPr>
            <w:tcW w:w="5200" w:type="dxa"/>
            <w:tcBorders>
              <w:top w:val="nil"/>
              <w:left w:val="nil"/>
              <w:bottom w:val="nil"/>
              <w:right w:val="nil"/>
            </w:tcBorders>
            <w:shd w:val="clear" w:color="auto" w:fill="auto"/>
            <w:noWrap/>
            <w:vAlign w:val="bottom"/>
            <w:hideMark/>
          </w:tcPr>
          <w:p w14:paraId="3DEEDE8F"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Other entities and individuals</w:t>
            </w:r>
          </w:p>
        </w:tc>
        <w:tc>
          <w:tcPr>
            <w:tcW w:w="960" w:type="dxa"/>
            <w:tcBorders>
              <w:top w:val="nil"/>
              <w:left w:val="nil"/>
              <w:bottom w:val="single" w:sz="12" w:space="0" w:color="FFFFFF"/>
              <w:right w:val="single" w:sz="4" w:space="0" w:color="auto"/>
            </w:tcBorders>
            <w:shd w:val="clear" w:color="auto" w:fill="auto"/>
            <w:noWrap/>
            <w:vAlign w:val="bottom"/>
            <w:hideMark/>
          </w:tcPr>
          <w:p w14:paraId="0FDCD7EA" w14:textId="77777777" w:rsidR="00A83A4F" w:rsidRPr="00A83A4F" w:rsidRDefault="00A83A4F" w:rsidP="00A83A4F">
            <w:pPr>
              <w:jc w:val="right"/>
              <w:rPr>
                <w:rFonts w:ascii="Arial" w:hAnsi="Arial" w:cs="Arial"/>
                <w:lang w:val="en-GB" w:eastAsia="en-GB"/>
              </w:rPr>
            </w:pPr>
            <w:r w:rsidRPr="00A83A4F">
              <w:rPr>
                <w:rFonts w:ascii="Arial" w:hAnsi="Arial" w:cs="Arial"/>
                <w:lang w:val="en-GB" w:eastAsia="en-GB"/>
              </w:rPr>
              <w:t xml:space="preserve">641 </w:t>
            </w:r>
          </w:p>
        </w:tc>
      </w:tr>
      <w:tr w:rsidR="00A83A4F" w:rsidRPr="00A83A4F" w14:paraId="202C2069" w14:textId="77777777" w:rsidTr="00A83A4F">
        <w:trPr>
          <w:trHeight w:val="315"/>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793E9A66" w14:textId="77777777" w:rsidR="00A83A4F" w:rsidRPr="00A83A4F" w:rsidRDefault="00A83A4F" w:rsidP="00A83A4F">
            <w:pPr>
              <w:jc w:val="right"/>
              <w:rPr>
                <w:rFonts w:ascii="Arial" w:hAnsi="Arial" w:cs="Arial"/>
                <w:b/>
                <w:bCs/>
                <w:sz w:val="22"/>
                <w:szCs w:val="22"/>
                <w:lang w:val="en-GB" w:eastAsia="en-GB"/>
              </w:rPr>
            </w:pPr>
            <w:r w:rsidRPr="00A83A4F">
              <w:rPr>
                <w:rFonts w:ascii="Arial" w:hAnsi="Arial" w:cs="Arial"/>
                <w:b/>
                <w:bCs/>
                <w:sz w:val="22"/>
                <w:szCs w:val="22"/>
                <w:lang w:val="en-GB" w:eastAsia="en-GB"/>
              </w:rPr>
              <w:t xml:space="preserve">       480 </w:t>
            </w:r>
          </w:p>
        </w:tc>
        <w:tc>
          <w:tcPr>
            <w:tcW w:w="5200" w:type="dxa"/>
            <w:tcBorders>
              <w:top w:val="nil"/>
              <w:left w:val="nil"/>
              <w:bottom w:val="single" w:sz="4" w:space="0" w:color="auto"/>
              <w:right w:val="nil"/>
            </w:tcBorders>
            <w:shd w:val="clear" w:color="auto" w:fill="auto"/>
            <w:noWrap/>
            <w:vAlign w:val="bottom"/>
            <w:hideMark/>
          </w:tcPr>
          <w:p w14:paraId="71B63556" w14:textId="77777777" w:rsidR="00A83A4F" w:rsidRPr="00A83A4F" w:rsidRDefault="00A83A4F" w:rsidP="00A83A4F">
            <w:pPr>
              <w:rPr>
                <w:rFonts w:ascii="Arial" w:hAnsi="Arial" w:cs="Arial"/>
                <w:color w:val="000000"/>
                <w:sz w:val="22"/>
                <w:szCs w:val="22"/>
                <w:lang w:val="en-GB" w:eastAsia="en-GB"/>
              </w:rPr>
            </w:pPr>
            <w:r w:rsidRPr="00A83A4F">
              <w:rPr>
                <w:rFonts w:ascii="Arial" w:hAnsi="Arial" w:cs="Arial"/>
                <w:color w:val="000000"/>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290EDD" w14:textId="77777777" w:rsidR="00A83A4F" w:rsidRPr="00A83A4F" w:rsidRDefault="00A83A4F" w:rsidP="00A83A4F">
            <w:pPr>
              <w:jc w:val="right"/>
              <w:rPr>
                <w:rFonts w:ascii="Arial" w:hAnsi="Arial" w:cs="Arial"/>
                <w:b/>
                <w:bCs/>
                <w:sz w:val="22"/>
                <w:szCs w:val="22"/>
                <w:lang w:val="en-GB" w:eastAsia="en-GB"/>
              </w:rPr>
            </w:pPr>
            <w:r w:rsidRPr="00A83A4F">
              <w:rPr>
                <w:rFonts w:ascii="Arial" w:hAnsi="Arial" w:cs="Arial"/>
                <w:b/>
                <w:bCs/>
                <w:sz w:val="22"/>
                <w:szCs w:val="22"/>
                <w:lang w:val="en-GB" w:eastAsia="en-GB"/>
              </w:rPr>
              <w:t xml:space="preserve">    2,141 </w:t>
            </w:r>
          </w:p>
        </w:tc>
      </w:tr>
    </w:tbl>
    <w:p w14:paraId="0FFA2BE0" w14:textId="77777777" w:rsidR="00A83A4F" w:rsidRDefault="00A83A4F" w:rsidP="00821C31">
      <w:pPr>
        <w:spacing w:after="200" w:line="276" w:lineRule="auto"/>
        <w:ind w:right="74"/>
        <w:jc w:val="both"/>
        <w:rPr>
          <w:rFonts w:ascii="Arial" w:eastAsia="Arial" w:hAnsi="Arial" w:cs="Arial"/>
          <w:sz w:val="22"/>
          <w:szCs w:val="22"/>
          <w:lang w:val="en-GB"/>
        </w:rPr>
      </w:pPr>
    </w:p>
    <w:p w14:paraId="161B5019" w14:textId="66A51865" w:rsidR="009C7422" w:rsidRPr="00821C31" w:rsidRDefault="00E41E57" w:rsidP="00821C31">
      <w:pPr>
        <w:spacing w:after="200" w:line="276" w:lineRule="auto"/>
        <w:ind w:right="74"/>
        <w:jc w:val="both"/>
        <w:rPr>
          <w:rFonts w:ascii="Arial" w:eastAsia="Arial" w:hAnsi="Arial" w:cs="Arial"/>
          <w:b/>
          <w:bCs/>
          <w:sz w:val="22"/>
          <w:szCs w:val="22"/>
        </w:rPr>
      </w:pPr>
      <w:commentRangeStart w:id="15"/>
      <w:commentRangeEnd w:id="15"/>
      <w:r>
        <w:rPr>
          <w:rStyle w:val="CommentReference"/>
        </w:rPr>
        <w:commentReference w:id="15"/>
      </w:r>
      <w:r w:rsidR="001706EB" w:rsidRPr="00821C31">
        <w:rPr>
          <w:rFonts w:ascii="Arial" w:eastAsia="Arial" w:hAnsi="Arial" w:cs="Arial"/>
          <w:b/>
          <w:bCs/>
          <w:sz w:val="22"/>
          <w:szCs w:val="22"/>
        </w:rPr>
        <w:t xml:space="preserve">NOTE </w:t>
      </w:r>
      <w:r w:rsidR="00247116" w:rsidRPr="00821C31">
        <w:rPr>
          <w:rFonts w:ascii="Arial" w:eastAsia="Arial" w:hAnsi="Arial" w:cs="Arial"/>
          <w:b/>
          <w:bCs/>
          <w:sz w:val="22"/>
          <w:szCs w:val="22"/>
        </w:rPr>
        <w:t>2</w:t>
      </w:r>
      <w:r w:rsidR="00247116">
        <w:rPr>
          <w:rFonts w:ascii="Arial" w:eastAsia="Arial" w:hAnsi="Arial" w:cs="Arial"/>
          <w:b/>
          <w:bCs/>
          <w:sz w:val="22"/>
          <w:szCs w:val="22"/>
        </w:rPr>
        <w:t>0</w:t>
      </w:r>
      <w:r w:rsidR="001706EB" w:rsidRPr="00821C31">
        <w:rPr>
          <w:rFonts w:ascii="Arial" w:eastAsia="Arial" w:hAnsi="Arial" w:cs="Arial"/>
          <w:b/>
          <w:bCs/>
          <w:sz w:val="22"/>
          <w:szCs w:val="22"/>
        </w:rPr>
        <w:t>: ADDITIONAL VOLUNTARY CONTRIBUTIONS</w:t>
      </w:r>
    </w:p>
    <w:p w14:paraId="16167ECC" w14:textId="6398C519" w:rsidR="009C7422" w:rsidRPr="00821C31" w:rsidRDefault="001706EB" w:rsidP="00821C31">
      <w:pPr>
        <w:spacing w:after="200" w:line="276" w:lineRule="auto"/>
        <w:ind w:right="74"/>
        <w:jc w:val="both"/>
        <w:rPr>
          <w:rFonts w:ascii="Arial" w:eastAsia="Arial" w:hAnsi="Arial" w:cs="Arial"/>
          <w:sz w:val="22"/>
          <w:szCs w:val="22"/>
          <w:lang w:val="en-GB"/>
        </w:rPr>
      </w:pPr>
      <w:r w:rsidRPr="00821C31">
        <w:rPr>
          <w:rFonts w:ascii="Arial" w:eastAsia="Arial" w:hAnsi="Arial" w:cs="Arial"/>
          <w:sz w:val="22"/>
          <w:szCs w:val="22"/>
          <w:lang w:val="en-GB"/>
        </w:rPr>
        <w:t xml:space="preserve">During </w:t>
      </w:r>
      <w:r w:rsidR="00E41E57" w:rsidRPr="00821C31">
        <w:rPr>
          <w:rFonts w:ascii="Arial" w:eastAsia="Arial" w:hAnsi="Arial" w:cs="Arial"/>
          <w:sz w:val="22"/>
          <w:szCs w:val="22"/>
          <w:lang w:val="en-GB"/>
        </w:rPr>
        <w:t>201</w:t>
      </w:r>
      <w:r w:rsidR="00E41E57">
        <w:rPr>
          <w:rFonts w:ascii="Arial" w:eastAsia="Arial" w:hAnsi="Arial" w:cs="Arial"/>
          <w:sz w:val="22"/>
          <w:szCs w:val="22"/>
          <w:lang w:val="en-GB"/>
        </w:rPr>
        <w:t>9</w:t>
      </w:r>
      <w:r w:rsidRPr="00821C31">
        <w:rPr>
          <w:rFonts w:ascii="Arial" w:eastAsia="Arial" w:hAnsi="Arial" w:cs="Arial"/>
          <w:sz w:val="22"/>
          <w:szCs w:val="22"/>
          <w:lang w:val="en-GB"/>
        </w:rPr>
        <w:t>/</w:t>
      </w:r>
      <w:r w:rsidR="00E41E57">
        <w:rPr>
          <w:rFonts w:ascii="Arial" w:eastAsia="Arial" w:hAnsi="Arial" w:cs="Arial"/>
          <w:sz w:val="22"/>
          <w:szCs w:val="22"/>
          <w:lang w:val="en-GB"/>
        </w:rPr>
        <w:t>20</w:t>
      </w:r>
      <w:r w:rsidRPr="00821C31">
        <w:rPr>
          <w:rFonts w:ascii="Arial" w:eastAsia="Arial" w:hAnsi="Arial" w:cs="Arial"/>
          <w:sz w:val="22"/>
          <w:szCs w:val="22"/>
          <w:lang w:val="en-GB"/>
        </w:rPr>
        <w:t xml:space="preserve">, members paid </w:t>
      </w:r>
      <w:bookmarkStart w:id="16" w:name="_Hlk55594153"/>
      <w:r w:rsidRPr="00821C31">
        <w:rPr>
          <w:rFonts w:ascii="Arial" w:eastAsia="Arial" w:hAnsi="Arial" w:cs="Arial"/>
          <w:sz w:val="22"/>
          <w:szCs w:val="22"/>
          <w:lang w:val="en-GB"/>
        </w:rPr>
        <w:t>£</w:t>
      </w:r>
      <w:r w:rsidR="00E41E57">
        <w:rPr>
          <w:rFonts w:ascii="Arial" w:eastAsia="Arial" w:hAnsi="Arial" w:cs="Arial"/>
          <w:sz w:val="22"/>
          <w:szCs w:val="22"/>
          <w:lang w:val="en-GB"/>
        </w:rPr>
        <w:t>17,037</w:t>
      </w:r>
      <w:r w:rsidRPr="00821C31">
        <w:rPr>
          <w:rFonts w:ascii="Arial" w:eastAsia="Arial" w:hAnsi="Arial" w:cs="Arial"/>
          <w:sz w:val="22"/>
          <w:szCs w:val="22"/>
          <w:lang w:val="en-GB"/>
        </w:rPr>
        <w:t xml:space="preserve"> </w:t>
      </w:r>
      <w:bookmarkEnd w:id="16"/>
      <w:r w:rsidRPr="00821C31">
        <w:rPr>
          <w:rFonts w:ascii="Arial" w:eastAsia="Arial" w:hAnsi="Arial" w:cs="Arial"/>
          <w:sz w:val="22"/>
          <w:szCs w:val="22"/>
          <w:lang w:val="en-GB"/>
        </w:rPr>
        <w:t xml:space="preserve">contributions to their personal AVCs </w:t>
      </w:r>
      <w:r w:rsidR="00E14006">
        <w:rPr>
          <w:rFonts w:ascii="Arial" w:eastAsia="Arial" w:hAnsi="Arial" w:cs="Arial"/>
          <w:sz w:val="22"/>
          <w:szCs w:val="22"/>
          <w:lang w:val="en-GB"/>
        </w:rPr>
        <w:t>(</w:t>
      </w:r>
      <w:r w:rsidR="00E41E57" w:rsidRPr="00E41E57">
        <w:rPr>
          <w:rFonts w:ascii="Arial" w:eastAsia="Arial" w:hAnsi="Arial" w:cs="Arial"/>
          <w:sz w:val="22"/>
          <w:szCs w:val="22"/>
          <w:lang w:val="en-GB"/>
        </w:rPr>
        <w:t xml:space="preserve">£27,245 </w:t>
      </w:r>
      <w:r w:rsidRPr="00821C31">
        <w:rPr>
          <w:rFonts w:ascii="Arial" w:eastAsia="Arial" w:hAnsi="Arial" w:cs="Arial"/>
          <w:sz w:val="22"/>
          <w:szCs w:val="22"/>
          <w:lang w:val="en-GB"/>
        </w:rPr>
        <w:t xml:space="preserve">in </w:t>
      </w:r>
      <w:r w:rsidR="00E41E57" w:rsidRPr="00821C31">
        <w:rPr>
          <w:rFonts w:ascii="Arial" w:eastAsia="Arial" w:hAnsi="Arial" w:cs="Arial"/>
          <w:sz w:val="22"/>
          <w:szCs w:val="22"/>
          <w:lang w:val="en-GB"/>
        </w:rPr>
        <w:t>201</w:t>
      </w:r>
      <w:r w:rsidR="00E41E57">
        <w:rPr>
          <w:rFonts w:ascii="Arial" w:eastAsia="Arial" w:hAnsi="Arial" w:cs="Arial"/>
          <w:sz w:val="22"/>
          <w:szCs w:val="22"/>
          <w:lang w:val="en-GB"/>
        </w:rPr>
        <w:t>8</w:t>
      </w:r>
      <w:r w:rsidRPr="00821C31">
        <w:rPr>
          <w:rFonts w:ascii="Arial" w:eastAsia="Arial" w:hAnsi="Arial" w:cs="Arial"/>
          <w:sz w:val="22"/>
          <w:szCs w:val="22"/>
          <w:lang w:val="en-GB"/>
        </w:rPr>
        <w:t>/</w:t>
      </w:r>
      <w:r w:rsidR="00E41E57" w:rsidRPr="00821C31">
        <w:rPr>
          <w:rFonts w:ascii="Arial" w:eastAsia="Arial" w:hAnsi="Arial" w:cs="Arial"/>
          <w:sz w:val="22"/>
          <w:szCs w:val="22"/>
          <w:lang w:val="en-GB"/>
        </w:rPr>
        <w:t>1</w:t>
      </w:r>
      <w:r w:rsidR="00E41E57">
        <w:rPr>
          <w:rFonts w:ascii="Arial" w:eastAsia="Arial" w:hAnsi="Arial" w:cs="Arial"/>
          <w:sz w:val="22"/>
          <w:szCs w:val="22"/>
          <w:lang w:val="en-GB"/>
        </w:rPr>
        <w:t>9</w:t>
      </w:r>
      <w:r w:rsidRPr="00821C31">
        <w:rPr>
          <w:rFonts w:ascii="Arial" w:eastAsia="Arial" w:hAnsi="Arial" w:cs="Arial"/>
          <w:sz w:val="22"/>
          <w:szCs w:val="22"/>
          <w:lang w:val="en-GB"/>
        </w:rPr>
        <w:t>) and the value of their investments was £</w:t>
      </w:r>
      <w:bookmarkStart w:id="17" w:name="_Hlk55594193"/>
      <w:r w:rsidR="00E41E57">
        <w:rPr>
          <w:rFonts w:ascii="Arial" w:eastAsia="Arial" w:hAnsi="Arial" w:cs="Arial"/>
          <w:sz w:val="22"/>
          <w:szCs w:val="22"/>
          <w:lang w:val="en-GB"/>
        </w:rPr>
        <w:t>675,005</w:t>
      </w:r>
      <w:r w:rsidRPr="00821C31">
        <w:rPr>
          <w:rFonts w:ascii="Arial" w:eastAsia="Arial" w:hAnsi="Arial" w:cs="Arial"/>
          <w:sz w:val="22"/>
          <w:szCs w:val="22"/>
          <w:lang w:val="en-GB"/>
        </w:rPr>
        <w:t xml:space="preserve"> </w:t>
      </w:r>
      <w:bookmarkEnd w:id="17"/>
      <w:r w:rsidRPr="00821C31">
        <w:rPr>
          <w:rFonts w:ascii="Arial" w:eastAsia="Arial" w:hAnsi="Arial" w:cs="Arial"/>
          <w:sz w:val="22"/>
          <w:szCs w:val="22"/>
          <w:lang w:val="en-GB"/>
        </w:rPr>
        <w:t>at 31 March 20</w:t>
      </w:r>
      <w:r w:rsidR="00E14006">
        <w:rPr>
          <w:rFonts w:ascii="Arial" w:eastAsia="Arial" w:hAnsi="Arial" w:cs="Arial"/>
          <w:sz w:val="22"/>
          <w:szCs w:val="22"/>
          <w:lang w:val="en-GB"/>
        </w:rPr>
        <w:t>20</w:t>
      </w:r>
      <w:r w:rsidRPr="00821C31">
        <w:rPr>
          <w:rFonts w:ascii="Arial" w:eastAsia="Arial" w:hAnsi="Arial" w:cs="Arial"/>
          <w:sz w:val="22"/>
          <w:szCs w:val="22"/>
          <w:lang w:val="en-GB"/>
        </w:rPr>
        <w:t xml:space="preserve"> (£</w:t>
      </w:r>
      <w:r w:rsidR="00E41E57" w:rsidRPr="00E41E57">
        <w:rPr>
          <w:rFonts w:ascii="Arial" w:eastAsia="Arial" w:hAnsi="Arial" w:cs="Arial"/>
          <w:sz w:val="22"/>
          <w:szCs w:val="22"/>
          <w:lang w:val="en-GB"/>
        </w:rPr>
        <w:t xml:space="preserve">689,799 </w:t>
      </w:r>
      <w:r w:rsidRPr="00821C31">
        <w:rPr>
          <w:rFonts w:ascii="Arial" w:eastAsia="Arial" w:hAnsi="Arial" w:cs="Arial"/>
          <w:sz w:val="22"/>
          <w:szCs w:val="22"/>
          <w:lang w:val="en-GB"/>
        </w:rPr>
        <w:t xml:space="preserve">at 31 March </w:t>
      </w:r>
      <w:r w:rsidR="00E41E57" w:rsidRPr="00821C31">
        <w:rPr>
          <w:rFonts w:ascii="Arial" w:eastAsia="Arial" w:hAnsi="Arial" w:cs="Arial"/>
          <w:sz w:val="22"/>
          <w:szCs w:val="22"/>
          <w:lang w:val="en-GB"/>
        </w:rPr>
        <w:t>201</w:t>
      </w:r>
      <w:r w:rsidR="00E41E57">
        <w:rPr>
          <w:rFonts w:ascii="Arial" w:eastAsia="Arial" w:hAnsi="Arial" w:cs="Arial"/>
          <w:sz w:val="22"/>
          <w:szCs w:val="22"/>
          <w:lang w:val="en-GB"/>
        </w:rPr>
        <w:t>9</w:t>
      </w:r>
      <w:r w:rsidRPr="00821C31">
        <w:rPr>
          <w:rFonts w:ascii="Arial" w:eastAsia="Arial" w:hAnsi="Arial" w:cs="Arial"/>
          <w:sz w:val="22"/>
          <w:szCs w:val="22"/>
          <w:lang w:val="en-GB"/>
        </w:rPr>
        <w:t>).</w:t>
      </w:r>
    </w:p>
    <w:p w14:paraId="1D14A072" w14:textId="5320834C" w:rsidR="009C7422" w:rsidRPr="00821C31" w:rsidRDefault="00247116" w:rsidP="00821C31">
      <w:pPr>
        <w:spacing w:after="200" w:line="276" w:lineRule="auto"/>
        <w:ind w:right="74"/>
        <w:jc w:val="both"/>
        <w:rPr>
          <w:rFonts w:ascii="Arial" w:eastAsia="Arial" w:hAnsi="Arial" w:cs="Arial"/>
          <w:b/>
          <w:bCs/>
          <w:sz w:val="22"/>
          <w:szCs w:val="22"/>
        </w:rPr>
      </w:pPr>
      <w:commentRangeStart w:id="18"/>
      <w:commentRangeEnd w:id="18"/>
      <w:r>
        <w:rPr>
          <w:rStyle w:val="CommentReference"/>
        </w:rPr>
        <w:commentReference w:id="18"/>
      </w:r>
      <w:r w:rsidR="001706EB" w:rsidRPr="00821C31">
        <w:rPr>
          <w:rFonts w:ascii="Arial" w:eastAsia="Arial" w:hAnsi="Arial" w:cs="Arial"/>
          <w:b/>
          <w:bCs/>
          <w:sz w:val="22"/>
          <w:szCs w:val="22"/>
        </w:rPr>
        <w:t xml:space="preserve">NOTE </w:t>
      </w:r>
      <w:r w:rsidRPr="00821C31">
        <w:rPr>
          <w:rFonts w:ascii="Arial" w:eastAsia="Arial" w:hAnsi="Arial" w:cs="Arial"/>
          <w:b/>
          <w:bCs/>
          <w:sz w:val="22"/>
          <w:szCs w:val="22"/>
        </w:rPr>
        <w:t>2</w:t>
      </w:r>
      <w:r>
        <w:rPr>
          <w:rFonts w:ascii="Arial" w:eastAsia="Arial" w:hAnsi="Arial" w:cs="Arial"/>
          <w:b/>
          <w:bCs/>
          <w:sz w:val="22"/>
          <w:szCs w:val="22"/>
        </w:rPr>
        <w:t>1</w:t>
      </w:r>
      <w:r w:rsidR="001706EB" w:rsidRPr="00821C31">
        <w:rPr>
          <w:rFonts w:ascii="Arial" w:eastAsia="Arial" w:hAnsi="Arial" w:cs="Arial"/>
          <w:b/>
          <w:bCs/>
          <w:sz w:val="22"/>
          <w:szCs w:val="22"/>
        </w:rPr>
        <w:t>: RELATED PARTY TRANSACTIONS</w:t>
      </w:r>
    </w:p>
    <w:p w14:paraId="54E4AC3E" w14:textId="76CE47E4" w:rsidR="009C7422" w:rsidRPr="00821C31" w:rsidRDefault="001706EB" w:rsidP="00821C31">
      <w:pPr>
        <w:spacing w:after="200" w:line="276" w:lineRule="auto"/>
        <w:ind w:right="74"/>
        <w:jc w:val="both"/>
        <w:rPr>
          <w:rFonts w:ascii="Arial" w:eastAsia="Arial" w:hAnsi="Arial" w:cs="Arial"/>
          <w:sz w:val="22"/>
          <w:szCs w:val="22"/>
          <w:lang w:val="en-GB"/>
        </w:rPr>
      </w:pPr>
      <w:r w:rsidRPr="00821C31">
        <w:rPr>
          <w:rFonts w:ascii="Arial" w:eastAsia="Arial" w:hAnsi="Arial" w:cs="Arial"/>
          <w:sz w:val="22"/>
          <w:szCs w:val="22"/>
          <w:lang w:val="en-GB"/>
        </w:rPr>
        <w:t>There is a strong relationship between the Council and the Pension Fund. The Pension Fund is administered by the Council for which it charged £</w:t>
      </w:r>
      <w:bookmarkStart w:id="19" w:name="_Hlk55594254"/>
      <w:r w:rsidR="00DD4886">
        <w:rPr>
          <w:rFonts w:ascii="Arial" w:eastAsia="Arial" w:hAnsi="Arial" w:cs="Arial"/>
          <w:sz w:val="22"/>
          <w:szCs w:val="22"/>
          <w:lang w:val="en-GB"/>
        </w:rPr>
        <w:t>683,600</w:t>
      </w:r>
      <w:r w:rsidRPr="00821C31">
        <w:rPr>
          <w:rFonts w:ascii="Arial" w:eastAsia="Arial" w:hAnsi="Arial" w:cs="Arial"/>
          <w:sz w:val="22"/>
          <w:szCs w:val="22"/>
          <w:lang w:val="en-GB"/>
        </w:rPr>
        <w:t xml:space="preserve"> </w:t>
      </w:r>
      <w:bookmarkEnd w:id="19"/>
      <w:r w:rsidRPr="00821C31">
        <w:rPr>
          <w:rFonts w:ascii="Arial" w:eastAsia="Arial" w:hAnsi="Arial" w:cs="Arial"/>
          <w:sz w:val="22"/>
          <w:szCs w:val="22"/>
          <w:lang w:val="en-GB"/>
        </w:rPr>
        <w:t xml:space="preserve">in </w:t>
      </w:r>
      <w:r w:rsidR="00DD4886" w:rsidRPr="00821C31">
        <w:rPr>
          <w:rFonts w:ascii="Arial" w:eastAsia="Arial" w:hAnsi="Arial" w:cs="Arial"/>
          <w:sz w:val="22"/>
          <w:szCs w:val="22"/>
          <w:lang w:val="en-GB"/>
        </w:rPr>
        <w:t>201</w:t>
      </w:r>
      <w:r w:rsidR="00DD4886">
        <w:rPr>
          <w:rFonts w:ascii="Arial" w:eastAsia="Arial" w:hAnsi="Arial" w:cs="Arial"/>
          <w:sz w:val="22"/>
          <w:szCs w:val="22"/>
          <w:lang w:val="en-GB"/>
        </w:rPr>
        <w:t>9</w:t>
      </w:r>
      <w:r w:rsidRPr="00821C31">
        <w:rPr>
          <w:rFonts w:ascii="Arial" w:eastAsia="Arial" w:hAnsi="Arial" w:cs="Arial"/>
          <w:sz w:val="22"/>
          <w:szCs w:val="22"/>
          <w:lang w:val="en-GB"/>
        </w:rPr>
        <w:t>/</w:t>
      </w:r>
      <w:r w:rsidR="00DD4886">
        <w:rPr>
          <w:rFonts w:ascii="Arial" w:eastAsia="Arial" w:hAnsi="Arial" w:cs="Arial"/>
          <w:sz w:val="22"/>
          <w:szCs w:val="22"/>
          <w:lang w:val="en-GB"/>
        </w:rPr>
        <w:t>20</w:t>
      </w:r>
      <w:r w:rsidR="00DD4886" w:rsidRPr="00821C31">
        <w:rPr>
          <w:rFonts w:ascii="Arial" w:eastAsia="Arial" w:hAnsi="Arial" w:cs="Arial"/>
          <w:sz w:val="22"/>
          <w:szCs w:val="22"/>
          <w:lang w:val="en-GB"/>
        </w:rPr>
        <w:t xml:space="preserve"> </w:t>
      </w:r>
      <w:r w:rsidRPr="00821C31">
        <w:rPr>
          <w:rFonts w:ascii="Arial" w:eastAsia="Arial" w:hAnsi="Arial" w:cs="Arial"/>
          <w:sz w:val="22"/>
          <w:szCs w:val="22"/>
          <w:lang w:val="en-GB"/>
        </w:rPr>
        <w:t>(£</w:t>
      </w:r>
      <w:r w:rsidR="00E41E57" w:rsidRPr="00E41E57">
        <w:rPr>
          <w:rFonts w:ascii="Arial" w:eastAsia="Arial" w:hAnsi="Arial" w:cs="Arial"/>
          <w:sz w:val="22"/>
          <w:szCs w:val="22"/>
          <w:lang w:val="en-GB"/>
        </w:rPr>
        <w:t xml:space="preserve">687,900 </w:t>
      </w:r>
      <w:r w:rsidRPr="00821C31">
        <w:rPr>
          <w:rFonts w:ascii="Arial" w:eastAsia="Arial" w:hAnsi="Arial" w:cs="Arial"/>
          <w:sz w:val="22"/>
          <w:szCs w:val="22"/>
          <w:lang w:val="en-GB"/>
        </w:rPr>
        <w:t>in 201</w:t>
      </w:r>
      <w:r w:rsidR="00DD4886">
        <w:rPr>
          <w:rFonts w:ascii="Arial" w:eastAsia="Arial" w:hAnsi="Arial" w:cs="Arial"/>
          <w:sz w:val="22"/>
          <w:szCs w:val="22"/>
          <w:lang w:val="en-GB"/>
        </w:rPr>
        <w:t>8</w:t>
      </w:r>
      <w:r w:rsidRPr="00821C31">
        <w:rPr>
          <w:rFonts w:ascii="Arial" w:eastAsia="Arial" w:hAnsi="Arial" w:cs="Arial"/>
          <w:sz w:val="22"/>
          <w:szCs w:val="22"/>
          <w:lang w:val="en-GB"/>
        </w:rPr>
        <w:t>/</w:t>
      </w:r>
      <w:r w:rsidR="00DD4886" w:rsidRPr="00821C31">
        <w:rPr>
          <w:rFonts w:ascii="Arial" w:eastAsia="Arial" w:hAnsi="Arial" w:cs="Arial"/>
          <w:sz w:val="22"/>
          <w:szCs w:val="22"/>
          <w:lang w:val="en-GB"/>
        </w:rPr>
        <w:t>1</w:t>
      </w:r>
      <w:r w:rsidR="00DD4886">
        <w:rPr>
          <w:rFonts w:ascii="Arial" w:eastAsia="Arial" w:hAnsi="Arial" w:cs="Arial"/>
          <w:sz w:val="22"/>
          <w:szCs w:val="22"/>
          <w:lang w:val="en-GB"/>
        </w:rPr>
        <w:t>9</w:t>
      </w:r>
      <w:r w:rsidRPr="00821C31">
        <w:rPr>
          <w:rFonts w:ascii="Arial" w:eastAsia="Arial" w:hAnsi="Arial" w:cs="Arial"/>
          <w:sz w:val="22"/>
          <w:szCs w:val="22"/>
          <w:lang w:val="en-GB"/>
        </w:rPr>
        <w:t>).</w:t>
      </w:r>
    </w:p>
    <w:p w14:paraId="0535B063" w14:textId="59EC0E24" w:rsidR="009C7422" w:rsidRPr="00821C31" w:rsidRDefault="001706EB" w:rsidP="00821C31">
      <w:pPr>
        <w:spacing w:after="200" w:line="276" w:lineRule="auto"/>
        <w:ind w:right="74"/>
        <w:jc w:val="both"/>
        <w:rPr>
          <w:rFonts w:ascii="Arial" w:eastAsia="Arial" w:hAnsi="Arial" w:cs="Arial"/>
          <w:b/>
          <w:bCs/>
          <w:sz w:val="22"/>
          <w:szCs w:val="22"/>
        </w:rPr>
      </w:pPr>
      <w:r w:rsidRPr="00821C31">
        <w:rPr>
          <w:rFonts w:ascii="Arial" w:eastAsia="Arial" w:hAnsi="Arial" w:cs="Arial"/>
          <w:b/>
          <w:bCs/>
          <w:sz w:val="22"/>
          <w:szCs w:val="22"/>
        </w:rPr>
        <w:t>Key management personnel</w:t>
      </w:r>
    </w:p>
    <w:p w14:paraId="77BC89B2" w14:textId="03C02797" w:rsidR="009C7422" w:rsidRPr="00172DF2" w:rsidRDefault="001706EB" w:rsidP="00172DF2">
      <w:pPr>
        <w:spacing w:after="200" w:line="276" w:lineRule="auto"/>
        <w:ind w:right="74"/>
        <w:jc w:val="both"/>
        <w:rPr>
          <w:rFonts w:ascii="Arial" w:eastAsia="Arial" w:hAnsi="Arial" w:cs="Arial"/>
          <w:sz w:val="22"/>
          <w:szCs w:val="22"/>
          <w:lang w:val="en-GB"/>
        </w:rPr>
      </w:pPr>
      <w:r w:rsidRPr="00172DF2">
        <w:rPr>
          <w:rFonts w:ascii="Arial" w:eastAsia="Arial" w:hAnsi="Arial" w:cs="Arial"/>
          <w:sz w:val="22"/>
          <w:szCs w:val="22"/>
          <w:lang w:val="en-GB"/>
        </w:rPr>
        <w:t xml:space="preserve">Members of the Pension Fund committee cannot be apportioned on a reasonable basis and are therefore disclosed in full in the Council's accounts, please refer to Notes </w:t>
      </w:r>
      <w:r w:rsidR="00172DF2">
        <w:rPr>
          <w:rFonts w:ascii="Arial" w:eastAsia="Arial" w:hAnsi="Arial" w:cs="Arial"/>
          <w:sz w:val="22"/>
          <w:szCs w:val="22"/>
          <w:lang w:val="en-GB"/>
        </w:rPr>
        <w:t>12</w:t>
      </w:r>
      <w:r w:rsidRPr="00172DF2">
        <w:rPr>
          <w:rFonts w:ascii="Arial" w:eastAsia="Arial" w:hAnsi="Arial" w:cs="Arial"/>
          <w:sz w:val="22"/>
          <w:szCs w:val="22"/>
          <w:lang w:val="en-GB"/>
        </w:rPr>
        <w:t xml:space="preserve">, </w:t>
      </w:r>
      <w:r w:rsidR="00172DF2">
        <w:rPr>
          <w:rFonts w:ascii="Arial" w:eastAsia="Arial" w:hAnsi="Arial" w:cs="Arial"/>
          <w:sz w:val="22"/>
          <w:szCs w:val="22"/>
          <w:lang w:val="en-GB"/>
        </w:rPr>
        <w:t>15</w:t>
      </w:r>
      <w:r w:rsidRPr="00172DF2">
        <w:rPr>
          <w:rFonts w:ascii="Arial" w:eastAsia="Arial" w:hAnsi="Arial" w:cs="Arial"/>
          <w:sz w:val="22"/>
          <w:szCs w:val="22"/>
          <w:lang w:val="en-GB"/>
        </w:rPr>
        <w:t xml:space="preserve"> and </w:t>
      </w:r>
      <w:r w:rsidR="00172DF2">
        <w:rPr>
          <w:rFonts w:ascii="Arial" w:eastAsia="Arial" w:hAnsi="Arial" w:cs="Arial"/>
          <w:sz w:val="22"/>
          <w:szCs w:val="22"/>
          <w:lang w:val="en-GB"/>
        </w:rPr>
        <w:t>17</w:t>
      </w:r>
      <w:r w:rsidRPr="00172DF2">
        <w:rPr>
          <w:rFonts w:ascii="Arial" w:eastAsia="Arial" w:hAnsi="Arial" w:cs="Arial"/>
          <w:sz w:val="22"/>
          <w:szCs w:val="22"/>
          <w:lang w:val="en-GB"/>
        </w:rPr>
        <w:t xml:space="preserve"> of the Council's accounts. The </w:t>
      </w:r>
      <w:r w:rsidR="00893EEB">
        <w:rPr>
          <w:rFonts w:ascii="Arial" w:eastAsia="Arial" w:hAnsi="Arial" w:cs="Arial"/>
          <w:sz w:val="22"/>
          <w:szCs w:val="22"/>
          <w:lang w:val="en-GB"/>
        </w:rPr>
        <w:t xml:space="preserve">Strategic </w:t>
      </w:r>
      <w:r w:rsidRPr="00172DF2">
        <w:rPr>
          <w:rFonts w:ascii="Arial" w:eastAsia="Arial" w:hAnsi="Arial" w:cs="Arial"/>
          <w:sz w:val="22"/>
          <w:szCs w:val="22"/>
          <w:lang w:val="en-GB"/>
        </w:rPr>
        <w:t>Director Finance</w:t>
      </w:r>
      <w:r w:rsidR="00893EEB">
        <w:rPr>
          <w:rFonts w:ascii="Arial" w:eastAsia="Arial" w:hAnsi="Arial" w:cs="Arial"/>
          <w:sz w:val="22"/>
          <w:szCs w:val="22"/>
          <w:lang w:val="en-GB"/>
        </w:rPr>
        <w:t xml:space="preserve"> and Governance</w:t>
      </w:r>
      <w:r w:rsidRPr="00172DF2">
        <w:rPr>
          <w:rFonts w:ascii="Arial" w:eastAsia="Arial" w:hAnsi="Arial" w:cs="Arial"/>
          <w:sz w:val="22"/>
          <w:szCs w:val="22"/>
          <w:lang w:val="en-GB"/>
        </w:rPr>
        <w:t xml:space="preserve"> holds a key position in the financial management of the Fund, the financial value of this relationship (in accordance with IAS24) is, short term benefits £55,500 in </w:t>
      </w:r>
      <w:r w:rsidR="00DD4886" w:rsidRPr="00172DF2">
        <w:rPr>
          <w:rFonts w:ascii="Arial" w:eastAsia="Arial" w:hAnsi="Arial" w:cs="Arial"/>
          <w:sz w:val="22"/>
          <w:szCs w:val="22"/>
          <w:lang w:val="en-GB"/>
        </w:rPr>
        <w:t>201</w:t>
      </w:r>
      <w:r w:rsidR="00DD4886">
        <w:rPr>
          <w:rFonts w:ascii="Arial" w:eastAsia="Arial" w:hAnsi="Arial" w:cs="Arial"/>
          <w:sz w:val="22"/>
          <w:szCs w:val="22"/>
          <w:lang w:val="en-GB"/>
        </w:rPr>
        <w:t>9</w:t>
      </w:r>
      <w:r w:rsidRPr="00172DF2">
        <w:rPr>
          <w:rFonts w:ascii="Arial" w:eastAsia="Arial" w:hAnsi="Arial" w:cs="Arial"/>
          <w:sz w:val="22"/>
          <w:szCs w:val="22"/>
          <w:lang w:val="en-GB"/>
        </w:rPr>
        <w:t>/</w:t>
      </w:r>
      <w:r w:rsidR="00DD4886">
        <w:rPr>
          <w:rFonts w:ascii="Arial" w:eastAsia="Arial" w:hAnsi="Arial" w:cs="Arial"/>
          <w:sz w:val="22"/>
          <w:szCs w:val="22"/>
          <w:lang w:val="en-GB"/>
        </w:rPr>
        <w:t>20</w:t>
      </w:r>
      <w:r w:rsidR="00DD4886" w:rsidRPr="00172DF2">
        <w:rPr>
          <w:rFonts w:ascii="Arial" w:eastAsia="Arial" w:hAnsi="Arial" w:cs="Arial"/>
          <w:sz w:val="22"/>
          <w:szCs w:val="22"/>
          <w:lang w:val="en-GB"/>
        </w:rPr>
        <w:t xml:space="preserve"> </w:t>
      </w:r>
      <w:r w:rsidRPr="00172DF2">
        <w:rPr>
          <w:rFonts w:ascii="Arial" w:eastAsia="Arial" w:hAnsi="Arial" w:cs="Arial"/>
          <w:sz w:val="22"/>
          <w:szCs w:val="22"/>
          <w:lang w:val="en-GB"/>
        </w:rPr>
        <w:t xml:space="preserve">(£55,500 in </w:t>
      </w:r>
      <w:r w:rsidR="00DD4886" w:rsidRPr="00172DF2">
        <w:rPr>
          <w:rFonts w:ascii="Arial" w:eastAsia="Arial" w:hAnsi="Arial" w:cs="Arial"/>
          <w:sz w:val="22"/>
          <w:szCs w:val="22"/>
          <w:lang w:val="en-GB"/>
        </w:rPr>
        <w:t>201</w:t>
      </w:r>
      <w:r w:rsidR="00DD4886">
        <w:rPr>
          <w:rFonts w:ascii="Arial" w:eastAsia="Arial" w:hAnsi="Arial" w:cs="Arial"/>
          <w:sz w:val="22"/>
          <w:szCs w:val="22"/>
          <w:lang w:val="en-GB"/>
        </w:rPr>
        <w:t>8</w:t>
      </w:r>
      <w:r w:rsidRPr="00172DF2">
        <w:rPr>
          <w:rFonts w:ascii="Arial" w:eastAsia="Arial" w:hAnsi="Arial" w:cs="Arial"/>
          <w:sz w:val="22"/>
          <w:szCs w:val="22"/>
          <w:lang w:val="en-GB"/>
        </w:rPr>
        <w:t>/</w:t>
      </w:r>
      <w:r w:rsidR="00DD4886" w:rsidRPr="00172DF2">
        <w:rPr>
          <w:rFonts w:ascii="Arial" w:eastAsia="Arial" w:hAnsi="Arial" w:cs="Arial"/>
          <w:sz w:val="22"/>
          <w:szCs w:val="22"/>
          <w:lang w:val="en-GB"/>
        </w:rPr>
        <w:t>1</w:t>
      </w:r>
      <w:r w:rsidR="00DD4886">
        <w:rPr>
          <w:rFonts w:ascii="Arial" w:eastAsia="Arial" w:hAnsi="Arial" w:cs="Arial"/>
          <w:sz w:val="22"/>
          <w:szCs w:val="22"/>
          <w:lang w:val="en-GB"/>
        </w:rPr>
        <w:t>9</w:t>
      </w:r>
      <w:r w:rsidRPr="00172DF2">
        <w:rPr>
          <w:rFonts w:ascii="Arial" w:eastAsia="Arial" w:hAnsi="Arial" w:cs="Arial"/>
          <w:sz w:val="22"/>
          <w:szCs w:val="22"/>
          <w:lang w:val="en-GB"/>
        </w:rPr>
        <w:t>), long term benefits £</w:t>
      </w:r>
      <w:bookmarkStart w:id="20" w:name="_Hlk55594363"/>
      <w:r w:rsidR="00DD4886" w:rsidRPr="00172DF2">
        <w:rPr>
          <w:rFonts w:ascii="Arial" w:eastAsia="Arial" w:hAnsi="Arial" w:cs="Arial"/>
          <w:sz w:val="22"/>
          <w:szCs w:val="22"/>
          <w:lang w:val="en-GB"/>
        </w:rPr>
        <w:t>7</w:t>
      </w:r>
      <w:r w:rsidR="00DD4886">
        <w:rPr>
          <w:rFonts w:ascii="Arial" w:eastAsia="Arial" w:hAnsi="Arial" w:cs="Arial"/>
          <w:sz w:val="22"/>
          <w:szCs w:val="22"/>
          <w:lang w:val="en-GB"/>
        </w:rPr>
        <w:t>1</w:t>
      </w:r>
      <w:r w:rsidRPr="00172DF2">
        <w:rPr>
          <w:rFonts w:ascii="Arial" w:eastAsia="Arial" w:hAnsi="Arial" w:cs="Arial"/>
          <w:sz w:val="22"/>
          <w:szCs w:val="22"/>
          <w:lang w:val="en-GB"/>
        </w:rPr>
        <w:t>,</w:t>
      </w:r>
      <w:bookmarkEnd w:id="20"/>
      <w:r w:rsidR="00DD4886">
        <w:rPr>
          <w:rFonts w:ascii="Arial" w:eastAsia="Arial" w:hAnsi="Arial" w:cs="Arial"/>
          <w:sz w:val="22"/>
          <w:szCs w:val="22"/>
          <w:lang w:val="en-GB"/>
        </w:rPr>
        <w:t>851</w:t>
      </w:r>
      <w:r w:rsidR="00DD4886" w:rsidRPr="00172DF2">
        <w:rPr>
          <w:rFonts w:ascii="Arial" w:eastAsia="Arial" w:hAnsi="Arial" w:cs="Arial"/>
          <w:sz w:val="22"/>
          <w:szCs w:val="22"/>
          <w:lang w:val="en-GB"/>
        </w:rPr>
        <w:t xml:space="preserve"> </w:t>
      </w:r>
      <w:r w:rsidRPr="00172DF2">
        <w:rPr>
          <w:rFonts w:ascii="Arial" w:eastAsia="Arial" w:hAnsi="Arial" w:cs="Arial"/>
          <w:sz w:val="22"/>
          <w:szCs w:val="22"/>
          <w:lang w:val="en-GB"/>
        </w:rPr>
        <w:t>in 201</w:t>
      </w:r>
      <w:r w:rsidR="00E14006">
        <w:rPr>
          <w:rFonts w:ascii="Arial" w:eastAsia="Arial" w:hAnsi="Arial" w:cs="Arial"/>
          <w:sz w:val="22"/>
          <w:szCs w:val="22"/>
          <w:lang w:val="en-GB"/>
        </w:rPr>
        <w:t>9</w:t>
      </w:r>
      <w:r w:rsidRPr="00172DF2">
        <w:rPr>
          <w:rFonts w:ascii="Arial" w:eastAsia="Arial" w:hAnsi="Arial" w:cs="Arial"/>
          <w:sz w:val="22"/>
          <w:szCs w:val="22"/>
          <w:lang w:val="en-GB"/>
        </w:rPr>
        <w:t>/</w:t>
      </w:r>
      <w:r w:rsidR="00E14006">
        <w:rPr>
          <w:rFonts w:ascii="Arial" w:eastAsia="Arial" w:hAnsi="Arial" w:cs="Arial"/>
          <w:sz w:val="22"/>
          <w:szCs w:val="22"/>
          <w:lang w:val="en-GB"/>
        </w:rPr>
        <w:t>20</w:t>
      </w:r>
      <w:r w:rsidRPr="00172DF2">
        <w:rPr>
          <w:rFonts w:ascii="Arial" w:eastAsia="Arial" w:hAnsi="Arial" w:cs="Arial"/>
          <w:sz w:val="22"/>
          <w:szCs w:val="22"/>
          <w:lang w:val="en-GB"/>
        </w:rPr>
        <w:t xml:space="preserve"> (£</w:t>
      </w:r>
      <w:r w:rsidR="00DD4886" w:rsidRPr="00DD4886">
        <w:rPr>
          <w:rFonts w:ascii="Arial" w:eastAsia="Arial" w:hAnsi="Arial" w:cs="Arial"/>
          <w:sz w:val="22"/>
          <w:szCs w:val="22"/>
          <w:lang w:val="en-GB"/>
        </w:rPr>
        <w:t>70,224</w:t>
      </w:r>
      <w:r w:rsidR="00E14006">
        <w:rPr>
          <w:rFonts w:ascii="Arial" w:eastAsia="Arial" w:hAnsi="Arial" w:cs="Arial"/>
          <w:sz w:val="22"/>
          <w:szCs w:val="22"/>
          <w:lang w:val="en-GB"/>
        </w:rPr>
        <w:t xml:space="preserve"> </w:t>
      </w:r>
      <w:r w:rsidRPr="00172DF2">
        <w:rPr>
          <w:rFonts w:ascii="Arial" w:eastAsia="Arial" w:hAnsi="Arial" w:cs="Arial"/>
          <w:sz w:val="22"/>
          <w:szCs w:val="22"/>
          <w:lang w:val="en-GB"/>
        </w:rPr>
        <w:t xml:space="preserve">in </w:t>
      </w:r>
      <w:r w:rsidR="00DD4886" w:rsidRPr="00172DF2">
        <w:rPr>
          <w:rFonts w:ascii="Arial" w:eastAsia="Arial" w:hAnsi="Arial" w:cs="Arial"/>
          <w:sz w:val="22"/>
          <w:szCs w:val="22"/>
          <w:lang w:val="en-GB"/>
        </w:rPr>
        <w:t>201</w:t>
      </w:r>
      <w:r w:rsidR="00DD4886">
        <w:rPr>
          <w:rFonts w:ascii="Arial" w:eastAsia="Arial" w:hAnsi="Arial" w:cs="Arial"/>
          <w:sz w:val="22"/>
          <w:szCs w:val="22"/>
          <w:lang w:val="en-GB"/>
        </w:rPr>
        <w:t>8</w:t>
      </w:r>
      <w:r w:rsidRPr="00172DF2">
        <w:rPr>
          <w:rFonts w:ascii="Arial" w:eastAsia="Arial" w:hAnsi="Arial" w:cs="Arial"/>
          <w:sz w:val="22"/>
          <w:szCs w:val="22"/>
          <w:lang w:val="en-GB"/>
        </w:rPr>
        <w:t>/</w:t>
      </w:r>
      <w:r w:rsidR="00DD4886" w:rsidRPr="00172DF2">
        <w:rPr>
          <w:rFonts w:ascii="Arial" w:eastAsia="Arial" w:hAnsi="Arial" w:cs="Arial"/>
          <w:sz w:val="22"/>
          <w:szCs w:val="22"/>
          <w:lang w:val="en-GB"/>
        </w:rPr>
        <w:t>1</w:t>
      </w:r>
      <w:r w:rsidR="00DD4886">
        <w:rPr>
          <w:rFonts w:ascii="Arial" w:eastAsia="Arial" w:hAnsi="Arial" w:cs="Arial"/>
          <w:sz w:val="22"/>
          <w:szCs w:val="22"/>
          <w:lang w:val="en-GB"/>
        </w:rPr>
        <w:t>9</w:t>
      </w:r>
      <w:r w:rsidRPr="00172DF2">
        <w:rPr>
          <w:rFonts w:ascii="Arial" w:eastAsia="Arial" w:hAnsi="Arial" w:cs="Arial"/>
          <w:sz w:val="22"/>
          <w:szCs w:val="22"/>
          <w:lang w:val="en-GB"/>
        </w:rPr>
        <w:t>).</w:t>
      </w:r>
    </w:p>
    <w:p w14:paraId="487715F2" w14:textId="77777777" w:rsidR="009C7422" w:rsidRPr="00172DF2" w:rsidRDefault="001706EB" w:rsidP="00172DF2">
      <w:pPr>
        <w:spacing w:after="200" w:line="276" w:lineRule="auto"/>
        <w:ind w:right="74"/>
        <w:jc w:val="both"/>
        <w:rPr>
          <w:rFonts w:ascii="Arial" w:eastAsia="Arial" w:hAnsi="Arial" w:cs="Arial"/>
          <w:b/>
          <w:bCs/>
          <w:sz w:val="22"/>
          <w:szCs w:val="22"/>
        </w:rPr>
      </w:pPr>
      <w:r w:rsidRPr="00172DF2">
        <w:rPr>
          <w:rFonts w:ascii="Arial" w:eastAsia="Arial" w:hAnsi="Arial" w:cs="Arial"/>
          <w:b/>
          <w:bCs/>
          <w:sz w:val="22"/>
          <w:szCs w:val="22"/>
        </w:rPr>
        <w:lastRenderedPageBreak/>
        <w:t>Governance</w:t>
      </w:r>
    </w:p>
    <w:p w14:paraId="1B91BEAE" w14:textId="4F97321C" w:rsidR="009C7422" w:rsidRPr="00172DF2" w:rsidRDefault="001706EB" w:rsidP="00172DF2">
      <w:pPr>
        <w:spacing w:after="200" w:line="276" w:lineRule="auto"/>
        <w:ind w:right="74"/>
        <w:jc w:val="both"/>
        <w:rPr>
          <w:rFonts w:ascii="Arial" w:eastAsia="Arial" w:hAnsi="Arial" w:cs="Arial"/>
          <w:sz w:val="22"/>
          <w:szCs w:val="22"/>
          <w:lang w:val="en-GB"/>
        </w:rPr>
      </w:pPr>
      <w:r w:rsidRPr="00172DF2">
        <w:rPr>
          <w:rFonts w:ascii="Arial" w:eastAsia="Arial" w:hAnsi="Arial" w:cs="Arial"/>
          <w:sz w:val="22"/>
          <w:szCs w:val="22"/>
          <w:lang w:val="en-GB"/>
        </w:rPr>
        <w:t>There is 1 member of the Pension Fund committee who is in receipt of pension benefits from the Waltham Forest Pension Fund (Cllr.</w:t>
      </w:r>
      <w:r w:rsidR="00E14006">
        <w:rPr>
          <w:rFonts w:ascii="Arial" w:eastAsia="Arial" w:hAnsi="Arial" w:cs="Arial"/>
          <w:sz w:val="22"/>
          <w:szCs w:val="22"/>
          <w:lang w:val="en-GB"/>
        </w:rPr>
        <w:t xml:space="preserve"> </w:t>
      </w:r>
      <w:r w:rsidRPr="00172DF2">
        <w:rPr>
          <w:rFonts w:ascii="Arial" w:eastAsia="Arial" w:hAnsi="Arial" w:cs="Arial"/>
          <w:sz w:val="22"/>
          <w:szCs w:val="22"/>
          <w:lang w:val="en-GB"/>
        </w:rPr>
        <w:t>T Wheeler). In addition, committee member Cllr.</w:t>
      </w:r>
      <w:r w:rsidR="00E14006">
        <w:rPr>
          <w:rFonts w:ascii="Arial" w:eastAsia="Arial" w:hAnsi="Arial" w:cs="Arial"/>
          <w:sz w:val="22"/>
          <w:szCs w:val="22"/>
          <w:lang w:val="en-GB"/>
        </w:rPr>
        <w:t xml:space="preserve"> </w:t>
      </w:r>
      <w:r w:rsidRPr="00172DF2">
        <w:rPr>
          <w:rFonts w:ascii="Arial" w:eastAsia="Arial" w:hAnsi="Arial" w:cs="Arial"/>
          <w:sz w:val="22"/>
          <w:szCs w:val="22"/>
          <w:lang w:val="en-GB"/>
        </w:rPr>
        <w:t>A. Hemsted is a deferred member of the pension fund.</w:t>
      </w:r>
    </w:p>
    <w:p w14:paraId="3DD06585" w14:textId="77777777" w:rsidR="009C7422" w:rsidRPr="00172DF2" w:rsidRDefault="001706EB" w:rsidP="00172DF2">
      <w:pPr>
        <w:spacing w:after="200" w:line="276" w:lineRule="auto"/>
        <w:ind w:right="74"/>
        <w:jc w:val="both"/>
        <w:rPr>
          <w:rFonts w:ascii="Arial" w:eastAsia="Arial" w:hAnsi="Arial" w:cs="Arial"/>
          <w:sz w:val="22"/>
          <w:szCs w:val="22"/>
          <w:lang w:val="en-GB"/>
        </w:rPr>
      </w:pPr>
      <w:r w:rsidRPr="00172DF2">
        <w:rPr>
          <w:rFonts w:ascii="Arial" w:eastAsia="Arial" w:hAnsi="Arial" w:cs="Arial"/>
          <w:sz w:val="22"/>
          <w:szCs w:val="22"/>
          <w:lang w:val="en-GB"/>
        </w:rPr>
        <w:t>Each member of the Pension Fund Committee is required to declare their interests at each meeting.</w:t>
      </w:r>
    </w:p>
    <w:p w14:paraId="1250579F" w14:textId="118DCB0B" w:rsidR="00172DF2" w:rsidRDefault="001706EB" w:rsidP="00172DF2">
      <w:pPr>
        <w:spacing w:after="200" w:line="276" w:lineRule="auto"/>
        <w:ind w:right="74"/>
        <w:jc w:val="both"/>
        <w:rPr>
          <w:rFonts w:ascii="Arial" w:eastAsia="Arial" w:hAnsi="Arial" w:cs="Arial"/>
          <w:b/>
          <w:bCs/>
          <w:sz w:val="22"/>
          <w:szCs w:val="22"/>
        </w:rPr>
      </w:pPr>
      <w:r w:rsidRPr="00172DF2">
        <w:rPr>
          <w:rFonts w:ascii="Arial" w:eastAsia="Arial" w:hAnsi="Arial" w:cs="Arial"/>
          <w:b/>
          <w:bCs/>
          <w:sz w:val="22"/>
          <w:szCs w:val="22"/>
        </w:rPr>
        <w:t xml:space="preserve">NOTE </w:t>
      </w:r>
      <w:r w:rsidR="00247116" w:rsidRPr="00172DF2">
        <w:rPr>
          <w:rFonts w:ascii="Arial" w:eastAsia="Arial" w:hAnsi="Arial" w:cs="Arial"/>
          <w:b/>
          <w:bCs/>
          <w:sz w:val="22"/>
          <w:szCs w:val="22"/>
        </w:rPr>
        <w:t>2</w:t>
      </w:r>
      <w:r w:rsidR="00247116">
        <w:rPr>
          <w:rFonts w:ascii="Arial" w:eastAsia="Arial" w:hAnsi="Arial" w:cs="Arial"/>
          <w:b/>
          <w:bCs/>
          <w:sz w:val="22"/>
          <w:szCs w:val="22"/>
        </w:rPr>
        <w:t>2</w:t>
      </w:r>
      <w:r w:rsidRPr="00172DF2">
        <w:rPr>
          <w:rFonts w:ascii="Arial" w:eastAsia="Arial" w:hAnsi="Arial" w:cs="Arial"/>
          <w:b/>
          <w:bCs/>
          <w:sz w:val="22"/>
          <w:szCs w:val="22"/>
        </w:rPr>
        <w:t>: CONTINGENT LIABILITIES AND CONTRACTUAL COMMITMENTS</w:t>
      </w:r>
    </w:p>
    <w:p w14:paraId="100FD9E6" w14:textId="7D6B425B" w:rsidR="009C7422" w:rsidRPr="00172DF2" w:rsidRDefault="001706EB" w:rsidP="00172DF2">
      <w:pPr>
        <w:spacing w:after="200" w:line="276" w:lineRule="auto"/>
        <w:ind w:right="74"/>
        <w:jc w:val="both"/>
        <w:rPr>
          <w:rFonts w:ascii="Arial" w:eastAsia="Arial" w:hAnsi="Arial" w:cs="Arial"/>
          <w:b/>
          <w:bCs/>
          <w:sz w:val="22"/>
          <w:szCs w:val="22"/>
        </w:rPr>
      </w:pPr>
      <w:r w:rsidRPr="00172DF2">
        <w:rPr>
          <w:rFonts w:ascii="Arial" w:eastAsia="Arial" w:hAnsi="Arial" w:cs="Arial"/>
          <w:b/>
          <w:bCs/>
          <w:sz w:val="22"/>
          <w:szCs w:val="22"/>
        </w:rPr>
        <w:t>Infrastructure funds</w:t>
      </w:r>
    </w:p>
    <w:p w14:paraId="4B2706EC" w14:textId="38469947" w:rsidR="009C7422" w:rsidRPr="00172DF2" w:rsidRDefault="001706EB" w:rsidP="00172DF2">
      <w:pPr>
        <w:spacing w:after="200" w:line="276" w:lineRule="auto"/>
        <w:ind w:right="74"/>
        <w:jc w:val="both"/>
        <w:rPr>
          <w:rFonts w:ascii="Arial" w:eastAsia="Arial" w:hAnsi="Arial" w:cs="Arial"/>
          <w:sz w:val="22"/>
          <w:szCs w:val="22"/>
          <w:lang w:val="en-GB"/>
        </w:rPr>
      </w:pPr>
      <w:r w:rsidRPr="00172DF2">
        <w:rPr>
          <w:rFonts w:ascii="Arial" w:eastAsia="Arial" w:hAnsi="Arial" w:cs="Arial"/>
          <w:sz w:val="22"/>
          <w:szCs w:val="22"/>
          <w:lang w:val="en-GB"/>
        </w:rPr>
        <w:t>The fund has outstanding commitments in relation to its three infrastructure funds and a Social Impact Fund. As at 31 March 20</w:t>
      </w:r>
      <w:r w:rsidR="00DD4886">
        <w:rPr>
          <w:rFonts w:ascii="Arial" w:eastAsia="Arial" w:hAnsi="Arial" w:cs="Arial"/>
          <w:sz w:val="22"/>
          <w:szCs w:val="22"/>
          <w:lang w:val="en-GB"/>
        </w:rPr>
        <w:t>20</w:t>
      </w:r>
      <w:r w:rsidRPr="00172DF2">
        <w:rPr>
          <w:rFonts w:ascii="Arial" w:eastAsia="Arial" w:hAnsi="Arial" w:cs="Arial"/>
          <w:sz w:val="22"/>
          <w:szCs w:val="22"/>
          <w:lang w:val="en-GB"/>
        </w:rPr>
        <w:t xml:space="preserve"> there were £11.</w:t>
      </w:r>
      <w:r w:rsidR="00DD4886">
        <w:rPr>
          <w:rFonts w:ascii="Arial" w:eastAsia="Arial" w:hAnsi="Arial" w:cs="Arial"/>
          <w:sz w:val="22"/>
          <w:szCs w:val="22"/>
          <w:lang w:val="en-GB"/>
        </w:rPr>
        <w:t>098</w:t>
      </w:r>
      <w:r w:rsidR="00DD4886" w:rsidRPr="00172DF2">
        <w:rPr>
          <w:rFonts w:ascii="Arial" w:eastAsia="Arial" w:hAnsi="Arial" w:cs="Arial"/>
          <w:sz w:val="22"/>
          <w:szCs w:val="22"/>
          <w:lang w:val="en-GB"/>
        </w:rPr>
        <w:t xml:space="preserve"> </w:t>
      </w:r>
      <w:r w:rsidRPr="00172DF2">
        <w:rPr>
          <w:rFonts w:ascii="Arial" w:eastAsia="Arial" w:hAnsi="Arial" w:cs="Arial"/>
          <w:sz w:val="22"/>
          <w:szCs w:val="22"/>
          <w:lang w:val="en-GB"/>
        </w:rPr>
        <w:t>million of infrastructure commitments outstanding (£</w:t>
      </w:r>
      <w:r w:rsidR="00DD4886" w:rsidRPr="00DD4886">
        <w:rPr>
          <w:rFonts w:ascii="Arial" w:eastAsia="Arial" w:hAnsi="Arial" w:cs="Arial"/>
          <w:sz w:val="22"/>
          <w:szCs w:val="22"/>
          <w:lang w:val="en-GB"/>
        </w:rPr>
        <w:t xml:space="preserve">11.962 </w:t>
      </w:r>
      <w:r w:rsidRPr="00172DF2">
        <w:rPr>
          <w:rFonts w:ascii="Arial" w:eastAsia="Arial" w:hAnsi="Arial" w:cs="Arial"/>
          <w:sz w:val="22"/>
          <w:szCs w:val="22"/>
          <w:lang w:val="en-GB"/>
        </w:rPr>
        <w:t xml:space="preserve">million as at 31 March </w:t>
      </w:r>
      <w:r w:rsidR="00DD4886" w:rsidRPr="00172DF2">
        <w:rPr>
          <w:rFonts w:ascii="Arial" w:eastAsia="Arial" w:hAnsi="Arial" w:cs="Arial"/>
          <w:sz w:val="22"/>
          <w:szCs w:val="22"/>
          <w:lang w:val="en-GB"/>
        </w:rPr>
        <w:t>201</w:t>
      </w:r>
      <w:r w:rsidR="00DD4886">
        <w:rPr>
          <w:rFonts w:ascii="Arial" w:eastAsia="Arial" w:hAnsi="Arial" w:cs="Arial"/>
          <w:sz w:val="22"/>
          <w:szCs w:val="22"/>
          <w:lang w:val="en-GB"/>
        </w:rPr>
        <w:t>9</w:t>
      </w:r>
      <w:r w:rsidRPr="00172DF2">
        <w:rPr>
          <w:rFonts w:ascii="Arial" w:eastAsia="Arial" w:hAnsi="Arial" w:cs="Arial"/>
          <w:sz w:val="22"/>
          <w:szCs w:val="22"/>
          <w:lang w:val="en-GB"/>
        </w:rPr>
        <w:t xml:space="preserve">). </w:t>
      </w:r>
      <w:commentRangeStart w:id="21"/>
      <w:r w:rsidRPr="00172DF2">
        <w:rPr>
          <w:rFonts w:ascii="Arial" w:eastAsia="Arial" w:hAnsi="Arial" w:cs="Arial"/>
          <w:sz w:val="22"/>
          <w:szCs w:val="22"/>
          <w:lang w:val="en-GB"/>
        </w:rPr>
        <w:t>The Social Impact fund had outstanding commitments of £</w:t>
      </w:r>
      <w:r w:rsidR="00DD4886">
        <w:rPr>
          <w:rFonts w:ascii="Arial" w:eastAsia="Arial" w:hAnsi="Arial" w:cs="Arial"/>
          <w:sz w:val="22"/>
          <w:szCs w:val="22"/>
          <w:lang w:val="en-GB"/>
        </w:rPr>
        <w:t>0.5</w:t>
      </w:r>
      <w:r w:rsidRPr="00172DF2">
        <w:rPr>
          <w:rFonts w:ascii="Arial" w:eastAsia="Arial" w:hAnsi="Arial" w:cs="Arial"/>
          <w:sz w:val="22"/>
          <w:szCs w:val="22"/>
          <w:lang w:val="en-GB"/>
        </w:rPr>
        <w:t xml:space="preserve"> million as at 31 March </w:t>
      </w:r>
      <w:r w:rsidR="00DD4886" w:rsidRPr="00172DF2">
        <w:rPr>
          <w:rFonts w:ascii="Arial" w:eastAsia="Arial" w:hAnsi="Arial" w:cs="Arial"/>
          <w:sz w:val="22"/>
          <w:szCs w:val="22"/>
          <w:lang w:val="en-GB"/>
        </w:rPr>
        <w:t>20</w:t>
      </w:r>
      <w:r w:rsidR="00DD4886">
        <w:rPr>
          <w:rFonts w:ascii="Arial" w:eastAsia="Arial" w:hAnsi="Arial" w:cs="Arial"/>
          <w:sz w:val="22"/>
          <w:szCs w:val="22"/>
          <w:lang w:val="en-GB"/>
        </w:rPr>
        <w:t>20</w:t>
      </w:r>
      <w:r w:rsidR="00DD4886" w:rsidRPr="00172DF2">
        <w:rPr>
          <w:rFonts w:ascii="Arial" w:eastAsia="Arial" w:hAnsi="Arial" w:cs="Arial"/>
          <w:sz w:val="22"/>
          <w:szCs w:val="22"/>
          <w:lang w:val="en-GB"/>
        </w:rPr>
        <w:t xml:space="preserve"> </w:t>
      </w:r>
      <w:r w:rsidRPr="00172DF2">
        <w:rPr>
          <w:rFonts w:ascii="Arial" w:eastAsia="Arial" w:hAnsi="Arial" w:cs="Arial"/>
          <w:sz w:val="22"/>
          <w:szCs w:val="22"/>
          <w:lang w:val="en-GB"/>
        </w:rPr>
        <w:t>(£</w:t>
      </w:r>
      <w:r w:rsidR="00DD4886">
        <w:rPr>
          <w:rFonts w:ascii="Arial" w:eastAsia="Arial" w:hAnsi="Arial" w:cs="Arial"/>
          <w:sz w:val="22"/>
          <w:szCs w:val="22"/>
          <w:lang w:val="en-GB"/>
        </w:rPr>
        <w:t>1.4</w:t>
      </w:r>
      <w:r w:rsidRPr="00172DF2">
        <w:rPr>
          <w:rFonts w:ascii="Arial" w:eastAsia="Arial" w:hAnsi="Arial" w:cs="Arial"/>
          <w:sz w:val="22"/>
          <w:szCs w:val="22"/>
          <w:lang w:val="en-GB"/>
        </w:rPr>
        <w:t xml:space="preserve"> million as at 31 March </w:t>
      </w:r>
      <w:r w:rsidR="00DD4886" w:rsidRPr="00172DF2">
        <w:rPr>
          <w:rFonts w:ascii="Arial" w:eastAsia="Arial" w:hAnsi="Arial" w:cs="Arial"/>
          <w:sz w:val="22"/>
          <w:szCs w:val="22"/>
          <w:lang w:val="en-GB"/>
        </w:rPr>
        <w:t>201</w:t>
      </w:r>
      <w:r w:rsidR="00DD4886">
        <w:rPr>
          <w:rFonts w:ascii="Arial" w:eastAsia="Arial" w:hAnsi="Arial" w:cs="Arial"/>
          <w:sz w:val="22"/>
          <w:szCs w:val="22"/>
          <w:lang w:val="en-GB"/>
        </w:rPr>
        <w:t>9</w:t>
      </w:r>
      <w:commentRangeEnd w:id="21"/>
      <w:r w:rsidR="00DD4886">
        <w:rPr>
          <w:rStyle w:val="CommentReference"/>
        </w:rPr>
        <w:commentReference w:id="21"/>
      </w:r>
      <w:r w:rsidRPr="00172DF2">
        <w:rPr>
          <w:rFonts w:ascii="Arial" w:eastAsia="Arial" w:hAnsi="Arial" w:cs="Arial"/>
          <w:sz w:val="22"/>
          <w:szCs w:val="22"/>
          <w:lang w:val="en-GB"/>
        </w:rPr>
        <w:t xml:space="preserve">). These commitments are drawn down in tranches over time as and when the managers request them. All commitments to the </w:t>
      </w:r>
      <w:proofErr w:type="gramStart"/>
      <w:r w:rsidRPr="00172DF2">
        <w:rPr>
          <w:rFonts w:ascii="Arial" w:eastAsia="Arial" w:hAnsi="Arial" w:cs="Arial"/>
          <w:sz w:val="22"/>
          <w:szCs w:val="22"/>
          <w:lang w:val="en-GB"/>
        </w:rPr>
        <w:t>funds</w:t>
      </w:r>
      <w:proofErr w:type="gramEnd"/>
      <w:r w:rsidRPr="00172DF2">
        <w:rPr>
          <w:rFonts w:ascii="Arial" w:eastAsia="Arial" w:hAnsi="Arial" w:cs="Arial"/>
          <w:sz w:val="22"/>
          <w:szCs w:val="22"/>
          <w:lang w:val="en-GB"/>
        </w:rPr>
        <w:t xml:space="preserve"> property investments have been fully funded. These outstanding commitments are not required to be included in the Pension Fund accounts.</w:t>
      </w:r>
    </w:p>
    <w:p w14:paraId="71BF8918" w14:textId="6442A6A9" w:rsidR="009C7422" w:rsidRPr="00172DF2" w:rsidRDefault="001706EB" w:rsidP="00172DF2">
      <w:pPr>
        <w:spacing w:after="200" w:line="276" w:lineRule="auto"/>
        <w:ind w:right="74"/>
        <w:jc w:val="both"/>
        <w:rPr>
          <w:rFonts w:ascii="Arial" w:eastAsia="Arial" w:hAnsi="Arial" w:cs="Arial"/>
          <w:b/>
          <w:bCs/>
          <w:sz w:val="22"/>
          <w:szCs w:val="22"/>
        </w:rPr>
      </w:pPr>
      <w:r w:rsidRPr="00172DF2">
        <w:rPr>
          <w:rFonts w:ascii="Arial" w:eastAsia="Arial" w:hAnsi="Arial" w:cs="Arial"/>
          <w:b/>
          <w:bCs/>
          <w:sz w:val="22"/>
          <w:szCs w:val="22"/>
        </w:rPr>
        <w:t xml:space="preserve">NOTE </w:t>
      </w:r>
      <w:r w:rsidR="00DD4886" w:rsidRPr="00172DF2">
        <w:rPr>
          <w:rFonts w:ascii="Arial" w:eastAsia="Arial" w:hAnsi="Arial" w:cs="Arial"/>
          <w:b/>
          <w:bCs/>
          <w:sz w:val="22"/>
          <w:szCs w:val="22"/>
        </w:rPr>
        <w:t>2</w:t>
      </w:r>
      <w:r w:rsidR="00DD4886">
        <w:rPr>
          <w:rFonts w:ascii="Arial" w:eastAsia="Arial" w:hAnsi="Arial" w:cs="Arial"/>
          <w:b/>
          <w:bCs/>
          <w:sz w:val="22"/>
          <w:szCs w:val="22"/>
        </w:rPr>
        <w:t>3</w:t>
      </w:r>
      <w:r w:rsidRPr="00172DF2">
        <w:rPr>
          <w:rFonts w:ascii="Arial" w:eastAsia="Arial" w:hAnsi="Arial" w:cs="Arial"/>
          <w:b/>
          <w:bCs/>
          <w:sz w:val="22"/>
          <w:szCs w:val="22"/>
        </w:rPr>
        <w:t>: FURTHER INFORMATION</w:t>
      </w:r>
    </w:p>
    <w:p w14:paraId="7F3CD41A" w14:textId="48C854FF" w:rsidR="00172DF2" w:rsidRDefault="001706EB" w:rsidP="00172DF2">
      <w:pPr>
        <w:spacing w:after="200" w:line="276" w:lineRule="auto"/>
        <w:ind w:right="74"/>
        <w:jc w:val="both"/>
        <w:rPr>
          <w:rFonts w:ascii="Arial" w:eastAsia="Arial" w:hAnsi="Arial" w:cs="Arial"/>
          <w:sz w:val="22"/>
          <w:szCs w:val="22"/>
        </w:rPr>
      </w:pPr>
      <w:r w:rsidRPr="00BD17CA">
        <w:rPr>
          <w:rFonts w:ascii="Arial" w:eastAsia="Arial" w:hAnsi="Arial" w:cs="Arial"/>
          <w:sz w:val="22"/>
          <w:szCs w:val="22"/>
        </w:rPr>
        <w:t>Cop</w:t>
      </w:r>
      <w:r w:rsidRPr="00172DF2">
        <w:rPr>
          <w:rFonts w:ascii="Arial" w:eastAsia="Arial" w:hAnsi="Arial" w:cs="Arial"/>
          <w:sz w:val="22"/>
          <w:szCs w:val="22"/>
        </w:rPr>
        <w:t>i</w:t>
      </w:r>
      <w:r w:rsidRPr="00BD17CA">
        <w:rPr>
          <w:rFonts w:ascii="Arial" w:eastAsia="Arial" w:hAnsi="Arial" w:cs="Arial"/>
          <w:sz w:val="22"/>
          <w:szCs w:val="22"/>
        </w:rPr>
        <w:t>es</w:t>
      </w:r>
      <w:r w:rsidRPr="00172DF2">
        <w:rPr>
          <w:rFonts w:ascii="Arial" w:eastAsia="Arial" w:hAnsi="Arial" w:cs="Arial"/>
          <w:sz w:val="22"/>
          <w:szCs w:val="22"/>
        </w:rPr>
        <w:t xml:space="preserve"> </w:t>
      </w:r>
      <w:r w:rsidRPr="00BD17CA">
        <w:rPr>
          <w:rFonts w:ascii="Arial" w:eastAsia="Arial" w:hAnsi="Arial" w:cs="Arial"/>
          <w:sz w:val="22"/>
          <w:szCs w:val="22"/>
        </w:rPr>
        <w:t>of</w:t>
      </w:r>
      <w:r w:rsidRPr="00172DF2">
        <w:rPr>
          <w:rFonts w:ascii="Arial" w:eastAsia="Arial" w:hAnsi="Arial" w:cs="Arial"/>
          <w:sz w:val="22"/>
          <w:szCs w:val="22"/>
        </w:rPr>
        <w:t xml:space="preserve"> </w:t>
      </w:r>
      <w:r w:rsidRPr="00BD17CA">
        <w:rPr>
          <w:rFonts w:ascii="Arial" w:eastAsia="Arial" w:hAnsi="Arial" w:cs="Arial"/>
          <w:sz w:val="22"/>
          <w:szCs w:val="22"/>
        </w:rPr>
        <w:t>the</w:t>
      </w:r>
      <w:r w:rsidRPr="00172DF2">
        <w:rPr>
          <w:rFonts w:ascii="Arial" w:eastAsia="Arial" w:hAnsi="Arial" w:cs="Arial"/>
          <w:sz w:val="22"/>
          <w:szCs w:val="22"/>
        </w:rPr>
        <w:t xml:space="preserve"> P</w:t>
      </w:r>
      <w:r w:rsidRPr="00BD17CA">
        <w:rPr>
          <w:rFonts w:ascii="Arial" w:eastAsia="Arial" w:hAnsi="Arial" w:cs="Arial"/>
          <w:sz w:val="22"/>
          <w:szCs w:val="22"/>
        </w:rPr>
        <w:t>e</w:t>
      </w:r>
      <w:r w:rsidRPr="00172DF2">
        <w:rPr>
          <w:rFonts w:ascii="Arial" w:eastAsia="Arial" w:hAnsi="Arial" w:cs="Arial"/>
          <w:sz w:val="22"/>
          <w:szCs w:val="22"/>
        </w:rPr>
        <w:t>nsi</w:t>
      </w:r>
      <w:r w:rsidRPr="00BD17CA">
        <w:rPr>
          <w:rFonts w:ascii="Arial" w:eastAsia="Arial" w:hAnsi="Arial" w:cs="Arial"/>
          <w:sz w:val="22"/>
          <w:szCs w:val="22"/>
        </w:rPr>
        <w:t>on</w:t>
      </w:r>
      <w:r w:rsidRPr="00172DF2">
        <w:rPr>
          <w:rFonts w:ascii="Arial" w:eastAsia="Arial" w:hAnsi="Arial" w:cs="Arial"/>
          <w:sz w:val="22"/>
          <w:szCs w:val="22"/>
        </w:rPr>
        <w:t xml:space="preserve"> </w:t>
      </w:r>
      <w:r w:rsidRPr="00BD17CA">
        <w:rPr>
          <w:rFonts w:ascii="Arial" w:eastAsia="Arial" w:hAnsi="Arial" w:cs="Arial"/>
          <w:sz w:val="22"/>
          <w:szCs w:val="22"/>
        </w:rPr>
        <w:t>Fu</w:t>
      </w:r>
      <w:r w:rsidRPr="00172DF2">
        <w:rPr>
          <w:rFonts w:ascii="Arial" w:eastAsia="Arial" w:hAnsi="Arial" w:cs="Arial"/>
          <w:sz w:val="22"/>
          <w:szCs w:val="22"/>
        </w:rPr>
        <w:t>n</w:t>
      </w:r>
      <w:r w:rsidRPr="00BD17CA">
        <w:rPr>
          <w:rFonts w:ascii="Arial" w:eastAsia="Arial" w:hAnsi="Arial" w:cs="Arial"/>
          <w:sz w:val="22"/>
          <w:szCs w:val="22"/>
        </w:rPr>
        <w:t>d</w:t>
      </w:r>
      <w:r w:rsidRPr="00172DF2">
        <w:rPr>
          <w:rFonts w:ascii="Arial" w:eastAsia="Arial" w:hAnsi="Arial" w:cs="Arial"/>
          <w:sz w:val="22"/>
          <w:szCs w:val="22"/>
        </w:rPr>
        <w:t xml:space="preserve"> A</w:t>
      </w:r>
      <w:r w:rsidRPr="00BD17CA">
        <w:rPr>
          <w:rFonts w:ascii="Arial" w:eastAsia="Arial" w:hAnsi="Arial" w:cs="Arial"/>
          <w:sz w:val="22"/>
          <w:szCs w:val="22"/>
        </w:rPr>
        <w:t>n</w:t>
      </w:r>
      <w:r w:rsidRPr="00172DF2">
        <w:rPr>
          <w:rFonts w:ascii="Arial" w:eastAsia="Arial" w:hAnsi="Arial" w:cs="Arial"/>
          <w:sz w:val="22"/>
          <w:szCs w:val="22"/>
        </w:rPr>
        <w:t>nu</w:t>
      </w:r>
      <w:r w:rsidRPr="00BD17CA">
        <w:rPr>
          <w:rFonts w:ascii="Arial" w:eastAsia="Arial" w:hAnsi="Arial" w:cs="Arial"/>
          <w:sz w:val="22"/>
          <w:szCs w:val="22"/>
        </w:rPr>
        <w:t>al</w:t>
      </w:r>
      <w:r w:rsidRPr="00172DF2">
        <w:rPr>
          <w:rFonts w:ascii="Arial" w:eastAsia="Arial" w:hAnsi="Arial" w:cs="Arial"/>
          <w:sz w:val="22"/>
          <w:szCs w:val="22"/>
        </w:rPr>
        <w:t xml:space="preserve"> Acc</w:t>
      </w:r>
      <w:r w:rsidRPr="00BD17CA">
        <w:rPr>
          <w:rFonts w:ascii="Arial" w:eastAsia="Arial" w:hAnsi="Arial" w:cs="Arial"/>
          <w:sz w:val="22"/>
          <w:szCs w:val="22"/>
        </w:rPr>
        <w:t>o</w:t>
      </w:r>
      <w:r w:rsidRPr="00172DF2">
        <w:rPr>
          <w:rFonts w:ascii="Arial" w:eastAsia="Arial" w:hAnsi="Arial" w:cs="Arial"/>
          <w:sz w:val="22"/>
          <w:szCs w:val="22"/>
        </w:rPr>
        <w:t>u</w:t>
      </w:r>
      <w:r w:rsidRPr="00BD17CA">
        <w:rPr>
          <w:rFonts w:ascii="Arial" w:eastAsia="Arial" w:hAnsi="Arial" w:cs="Arial"/>
          <w:sz w:val="22"/>
          <w:szCs w:val="22"/>
        </w:rPr>
        <w:t>nts,</w:t>
      </w:r>
      <w:r w:rsidRPr="00172DF2">
        <w:rPr>
          <w:rFonts w:ascii="Arial" w:eastAsia="Arial" w:hAnsi="Arial" w:cs="Arial"/>
          <w:sz w:val="22"/>
          <w:szCs w:val="22"/>
        </w:rPr>
        <w:t xml:space="preserve"> An</w:t>
      </w:r>
      <w:r w:rsidRPr="00BD17CA">
        <w:rPr>
          <w:rFonts w:ascii="Arial" w:eastAsia="Arial" w:hAnsi="Arial" w:cs="Arial"/>
          <w:sz w:val="22"/>
          <w:szCs w:val="22"/>
        </w:rPr>
        <w:t>n</w:t>
      </w:r>
      <w:r w:rsidRPr="00172DF2">
        <w:rPr>
          <w:rFonts w:ascii="Arial" w:eastAsia="Arial" w:hAnsi="Arial" w:cs="Arial"/>
          <w:sz w:val="22"/>
          <w:szCs w:val="22"/>
        </w:rPr>
        <w:t>ua</w:t>
      </w:r>
      <w:r w:rsidRPr="00BD17CA">
        <w:rPr>
          <w:rFonts w:ascii="Arial" w:eastAsia="Arial" w:hAnsi="Arial" w:cs="Arial"/>
          <w:sz w:val="22"/>
          <w:szCs w:val="22"/>
        </w:rPr>
        <w:t>l</w:t>
      </w:r>
      <w:r w:rsidRPr="00172DF2">
        <w:rPr>
          <w:rFonts w:ascii="Arial" w:eastAsia="Arial" w:hAnsi="Arial" w:cs="Arial"/>
          <w:sz w:val="22"/>
          <w:szCs w:val="22"/>
        </w:rPr>
        <w:t xml:space="preserve"> R</w:t>
      </w:r>
      <w:r w:rsidRPr="00BD17CA">
        <w:rPr>
          <w:rFonts w:ascii="Arial" w:eastAsia="Arial" w:hAnsi="Arial" w:cs="Arial"/>
          <w:sz w:val="22"/>
          <w:szCs w:val="22"/>
        </w:rPr>
        <w:t>e</w:t>
      </w:r>
      <w:r w:rsidRPr="00172DF2">
        <w:rPr>
          <w:rFonts w:ascii="Arial" w:eastAsia="Arial" w:hAnsi="Arial" w:cs="Arial"/>
          <w:sz w:val="22"/>
          <w:szCs w:val="22"/>
        </w:rPr>
        <w:t>p</w:t>
      </w:r>
      <w:r w:rsidRPr="00BD17CA">
        <w:rPr>
          <w:rFonts w:ascii="Arial" w:eastAsia="Arial" w:hAnsi="Arial" w:cs="Arial"/>
          <w:sz w:val="22"/>
          <w:szCs w:val="22"/>
        </w:rPr>
        <w:t>ort,</w:t>
      </w:r>
      <w:r w:rsidRPr="00172DF2">
        <w:rPr>
          <w:rFonts w:ascii="Arial" w:eastAsia="Arial" w:hAnsi="Arial" w:cs="Arial"/>
          <w:sz w:val="22"/>
          <w:szCs w:val="22"/>
        </w:rPr>
        <w:t xml:space="preserve"> </w:t>
      </w:r>
      <w:r w:rsidRPr="00BD17CA">
        <w:rPr>
          <w:rFonts w:ascii="Arial" w:eastAsia="Arial" w:hAnsi="Arial" w:cs="Arial"/>
          <w:sz w:val="22"/>
          <w:szCs w:val="22"/>
        </w:rPr>
        <w:t>I</w:t>
      </w:r>
      <w:r w:rsidRPr="00172DF2">
        <w:rPr>
          <w:rFonts w:ascii="Arial" w:eastAsia="Arial" w:hAnsi="Arial" w:cs="Arial"/>
          <w:sz w:val="22"/>
          <w:szCs w:val="22"/>
        </w:rPr>
        <w:t>nv</w:t>
      </w:r>
      <w:r w:rsidRPr="00BD17CA">
        <w:rPr>
          <w:rFonts w:ascii="Arial" w:eastAsia="Arial" w:hAnsi="Arial" w:cs="Arial"/>
          <w:sz w:val="22"/>
          <w:szCs w:val="22"/>
        </w:rPr>
        <w:t>e</w:t>
      </w:r>
      <w:r w:rsidRPr="00172DF2">
        <w:rPr>
          <w:rFonts w:ascii="Arial" w:eastAsia="Arial" w:hAnsi="Arial" w:cs="Arial"/>
          <w:sz w:val="22"/>
          <w:szCs w:val="22"/>
        </w:rPr>
        <w:t>s</w:t>
      </w:r>
      <w:r w:rsidRPr="00BD17CA">
        <w:rPr>
          <w:rFonts w:ascii="Arial" w:eastAsia="Arial" w:hAnsi="Arial" w:cs="Arial"/>
          <w:sz w:val="22"/>
          <w:szCs w:val="22"/>
        </w:rPr>
        <w:t>t</w:t>
      </w:r>
      <w:r w:rsidRPr="00172DF2">
        <w:rPr>
          <w:rFonts w:ascii="Arial" w:eastAsia="Arial" w:hAnsi="Arial" w:cs="Arial"/>
          <w:sz w:val="22"/>
          <w:szCs w:val="22"/>
        </w:rPr>
        <w:t>m</w:t>
      </w:r>
      <w:r w:rsidRPr="00BD17CA">
        <w:rPr>
          <w:rFonts w:ascii="Arial" w:eastAsia="Arial" w:hAnsi="Arial" w:cs="Arial"/>
          <w:sz w:val="22"/>
          <w:szCs w:val="22"/>
        </w:rPr>
        <w:t>e</w:t>
      </w:r>
      <w:r w:rsidRPr="00172DF2">
        <w:rPr>
          <w:rFonts w:ascii="Arial" w:eastAsia="Arial" w:hAnsi="Arial" w:cs="Arial"/>
          <w:sz w:val="22"/>
          <w:szCs w:val="22"/>
        </w:rPr>
        <w:t>n</w:t>
      </w:r>
      <w:r w:rsidRPr="00BD17CA">
        <w:rPr>
          <w:rFonts w:ascii="Arial" w:eastAsia="Arial" w:hAnsi="Arial" w:cs="Arial"/>
          <w:sz w:val="22"/>
          <w:szCs w:val="22"/>
        </w:rPr>
        <w:t>t</w:t>
      </w:r>
      <w:r w:rsidRPr="00172DF2">
        <w:rPr>
          <w:rFonts w:ascii="Arial" w:eastAsia="Arial" w:hAnsi="Arial" w:cs="Arial"/>
          <w:sz w:val="22"/>
          <w:szCs w:val="22"/>
        </w:rPr>
        <w:t xml:space="preserve"> S</w:t>
      </w:r>
      <w:r w:rsidRPr="00BD17CA">
        <w:rPr>
          <w:rFonts w:ascii="Arial" w:eastAsia="Arial" w:hAnsi="Arial" w:cs="Arial"/>
          <w:sz w:val="22"/>
          <w:szCs w:val="22"/>
        </w:rPr>
        <w:t>trat</w:t>
      </w:r>
      <w:r w:rsidRPr="00172DF2">
        <w:rPr>
          <w:rFonts w:ascii="Arial" w:eastAsia="Arial" w:hAnsi="Arial" w:cs="Arial"/>
          <w:sz w:val="22"/>
          <w:szCs w:val="22"/>
        </w:rPr>
        <w:t>eg</w:t>
      </w:r>
      <w:r w:rsidRPr="00BD17CA">
        <w:rPr>
          <w:rFonts w:ascii="Arial" w:eastAsia="Arial" w:hAnsi="Arial" w:cs="Arial"/>
          <w:sz w:val="22"/>
          <w:szCs w:val="22"/>
        </w:rPr>
        <w:t>y</w:t>
      </w:r>
      <w:r w:rsidRPr="00172DF2">
        <w:rPr>
          <w:rFonts w:ascii="Arial" w:eastAsia="Arial" w:hAnsi="Arial" w:cs="Arial"/>
          <w:sz w:val="22"/>
          <w:szCs w:val="22"/>
        </w:rPr>
        <w:t xml:space="preserve"> S</w:t>
      </w:r>
      <w:r w:rsidRPr="00BD17CA">
        <w:rPr>
          <w:rFonts w:ascii="Arial" w:eastAsia="Arial" w:hAnsi="Arial" w:cs="Arial"/>
          <w:sz w:val="22"/>
          <w:szCs w:val="22"/>
        </w:rPr>
        <w:t>ta</w:t>
      </w:r>
      <w:r w:rsidRPr="00172DF2">
        <w:rPr>
          <w:rFonts w:ascii="Arial" w:eastAsia="Arial" w:hAnsi="Arial" w:cs="Arial"/>
          <w:sz w:val="22"/>
          <w:szCs w:val="22"/>
        </w:rPr>
        <w:t>t</w:t>
      </w:r>
      <w:r w:rsidRPr="00BD17CA">
        <w:rPr>
          <w:rFonts w:ascii="Arial" w:eastAsia="Arial" w:hAnsi="Arial" w:cs="Arial"/>
          <w:sz w:val="22"/>
          <w:szCs w:val="22"/>
        </w:rPr>
        <w:t>e</w:t>
      </w:r>
      <w:r w:rsidRPr="00172DF2">
        <w:rPr>
          <w:rFonts w:ascii="Arial" w:eastAsia="Arial" w:hAnsi="Arial" w:cs="Arial"/>
          <w:sz w:val="22"/>
          <w:szCs w:val="22"/>
        </w:rPr>
        <w:t>m</w:t>
      </w:r>
      <w:r w:rsidRPr="00BD17CA">
        <w:rPr>
          <w:rFonts w:ascii="Arial" w:eastAsia="Arial" w:hAnsi="Arial" w:cs="Arial"/>
          <w:sz w:val="22"/>
          <w:szCs w:val="22"/>
        </w:rPr>
        <w:t>e</w:t>
      </w:r>
      <w:r w:rsidRPr="00172DF2">
        <w:rPr>
          <w:rFonts w:ascii="Arial" w:eastAsia="Arial" w:hAnsi="Arial" w:cs="Arial"/>
          <w:sz w:val="22"/>
          <w:szCs w:val="22"/>
        </w:rPr>
        <w:t>n</w:t>
      </w:r>
      <w:r w:rsidRPr="00BD17CA">
        <w:rPr>
          <w:rFonts w:ascii="Arial" w:eastAsia="Arial" w:hAnsi="Arial" w:cs="Arial"/>
          <w:sz w:val="22"/>
          <w:szCs w:val="22"/>
        </w:rPr>
        <w:t>t,</w:t>
      </w:r>
      <w:r w:rsidRPr="00172DF2">
        <w:rPr>
          <w:rFonts w:ascii="Arial" w:eastAsia="Arial" w:hAnsi="Arial" w:cs="Arial"/>
          <w:sz w:val="22"/>
          <w:szCs w:val="22"/>
        </w:rPr>
        <w:t xml:space="preserve"> </w:t>
      </w:r>
      <w:r w:rsidRPr="00BD17CA">
        <w:rPr>
          <w:rFonts w:ascii="Arial" w:eastAsia="Arial" w:hAnsi="Arial" w:cs="Arial"/>
          <w:sz w:val="22"/>
          <w:szCs w:val="22"/>
        </w:rPr>
        <w:t>Fu</w:t>
      </w:r>
      <w:r w:rsidRPr="00172DF2">
        <w:rPr>
          <w:rFonts w:ascii="Arial" w:eastAsia="Arial" w:hAnsi="Arial" w:cs="Arial"/>
          <w:sz w:val="22"/>
          <w:szCs w:val="22"/>
        </w:rPr>
        <w:t>n</w:t>
      </w:r>
      <w:r w:rsidRPr="00BD17CA">
        <w:rPr>
          <w:rFonts w:ascii="Arial" w:eastAsia="Arial" w:hAnsi="Arial" w:cs="Arial"/>
          <w:sz w:val="22"/>
          <w:szCs w:val="22"/>
        </w:rPr>
        <w:t>d</w:t>
      </w:r>
      <w:r w:rsidRPr="00172DF2">
        <w:rPr>
          <w:rFonts w:ascii="Arial" w:eastAsia="Arial" w:hAnsi="Arial" w:cs="Arial"/>
          <w:sz w:val="22"/>
          <w:szCs w:val="22"/>
        </w:rPr>
        <w:t>i</w:t>
      </w:r>
      <w:r w:rsidRPr="00BD17CA">
        <w:rPr>
          <w:rFonts w:ascii="Arial" w:eastAsia="Arial" w:hAnsi="Arial" w:cs="Arial"/>
          <w:sz w:val="22"/>
          <w:szCs w:val="22"/>
        </w:rPr>
        <w:t>ng</w:t>
      </w:r>
      <w:r w:rsidRPr="00172DF2">
        <w:rPr>
          <w:rFonts w:ascii="Arial" w:eastAsia="Arial" w:hAnsi="Arial" w:cs="Arial"/>
          <w:sz w:val="22"/>
          <w:szCs w:val="22"/>
        </w:rPr>
        <w:t xml:space="preserve"> S</w:t>
      </w:r>
      <w:r w:rsidRPr="00BD17CA">
        <w:rPr>
          <w:rFonts w:ascii="Arial" w:eastAsia="Arial" w:hAnsi="Arial" w:cs="Arial"/>
          <w:sz w:val="22"/>
          <w:szCs w:val="22"/>
        </w:rPr>
        <w:t>tr</w:t>
      </w:r>
      <w:r w:rsidRPr="00172DF2">
        <w:rPr>
          <w:rFonts w:ascii="Arial" w:eastAsia="Arial" w:hAnsi="Arial" w:cs="Arial"/>
          <w:sz w:val="22"/>
          <w:szCs w:val="22"/>
        </w:rPr>
        <w:t>a</w:t>
      </w:r>
      <w:r w:rsidRPr="00BD17CA">
        <w:rPr>
          <w:rFonts w:ascii="Arial" w:eastAsia="Arial" w:hAnsi="Arial" w:cs="Arial"/>
          <w:sz w:val="22"/>
          <w:szCs w:val="22"/>
        </w:rPr>
        <w:t>te</w:t>
      </w:r>
      <w:r w:rsidRPr="00172DF2">
        <w:rPr>
          <w:rFonts w:ascii="Arial" w:eastAsia="Arial" w:hAnsi="Arial" w:cs="Arial"/>
          <w:sz w:val="22"/>
          <w:szCs w:val="22"/>
        </w:rPr>
        <w:t>g</w:t>
      </w:r>
      <w:r w:rsidRPr="00BD17CA">
        <w:rPr>
          <w:rFonts w:ascii="Arial" w:eastAsia="Arial" w:hAnsi="Arial" w:cs="Arial"/>
          <w:sz w:val="22"/>
          <w:szCs w:val="22"/>
        </w:rPr>
        <w:t>y</w:t>
      </w:r>
      <w:r w:rsidR="00172DF2">
        <w:rPr>
          <w:rFonts w:ascii="Arial" w:eastAsia="Arial" w:hAnsi="Arial" w:cs="Arial"/>
          <w:sz w:val="22"/>
          <w:szCs w:val="22"/>
        </w:rPr>
        <w:t xml:space="preserve"> </w:t>
      </w:r>
      <w:r w:rsidRPr="00172DF2">
        <w:rPr>
          <w:rFonts w:ascii="Arial" w:eastAsia="Arial" w:hAnsi="Arial" w:cs="Arial"/>
          <w:sz w:val="22"/>
          <w:szCs w:val="22"/>
        </w:rPr>
        <w:t>S</w:t>
      </w:r>
      <w:r w:rsidRPr="00BD17CA">
        <w:rPr>
          <w:rFonts w:ascii="Arial" w:eastAsia="Arial" w:hAnsi="Arial" w:cs="Arial"/>
          <w:sz w:val="22"/>
          <w:szCs w:val="22"/>
        </w:rPr>
        <w:t>ta</w:t>
      </w:r>
      <w:r w:rsidRPr="00172DF2">
        <w:rPr>
          <w:rFonts w:ascii="Arial" w:eastAsia="Arial" w:hAnsi="Arial" w:cs="Arial"/>
          <w:sz w:val="22"/>
          <w:szCs w:val="22"/>
        </w:rPr>
        <w:t>t</w:t>
      </w:r>
      <w:r w:rsidRPr="00BD17CA">
        <w:rPr>
          <w:rFonts w:ascii="Arial" w:eastAsia="Arial" w:hAnsi="Arial" w:cs="Arial"/>
          <w:sz w:val="22"/>
          <w:szCs w:val="22"/>
        </w:rPr>
        <w:t>e</w:t>
      </w:r>
      <w:r w:rsidRPr="00172DF2">
        <w:rPr>
          <w:rFonts w:ascii="Arial" w:eastAsia="Arial" w:hAnsi="Arial" w:cs="Arial"/>
          <w:sz w:val="22"/>
          <w:szCs w:val="22"/>
        </w:rPr>
        <w:t>m</w:t>
      </w:r>
      <w:r w:rsidRPr="00BD17CA">
        <w:rPr>
          <w:rFonts w:ascii="Arial" w:eastAsia="Arial" w:hAnsi="Arial" w:cs="Arial"/>
          <w:sz w:val="22"/>
          <w:szCs w:val="22"/>
        </w:rPr>
        <w:t>e</w:t>
      </w:r>
      <w:r w:rsidRPr="00172DF2">
        <w:rPr>
          <w:rFonts w:ascii="Arial" w:eastAsia="Arial" w:hAnsi="Arial" w:cs="Arial"/>
          <w:sz w:val="22"/>
          <w:szCs w:val="22"/>
        </w:rPr>
        <w:t>n</w:t>
      </w:r>
      <w:r w:rsidRPr="00BD17CA">
        <w:rPr>
          <w:rFonts w:ascii="Arial" w:eastAsia="Arial" w:hAnsi="Arial" w:cs="Arial"/>
          <w:sz w:val="22"/>
          <w:szCs w:val="22"/>
        </w:rPr>
        <w:t>t,</w:t>
      </w:r>
      <w:r w:rsidRPr="00172DF2">
        <w:rPr>
          <w:rFonts w:ascii="Arial" w:eastAsia="Arial" w:hAnsi="Arial" w:cs="Arial"/>
          <w:sz w:val="22"/>
          <w:szCs w:val="22"/>
        </w:rPr>
        <w:t xml:space="preserve"> P</w:t>
      </w:r>
      <w:r w:rsidRPr="00BD17CA">
        <w:rPr>
          <w:rFonts w:ascii="Arial" w:eastAsia="Arial" w:hAnsi="Arial" w:cs="Arial"/>
          <w:sz w:val="22"/>
          <w:szCs w:val="22"/>
        </w:rPr>
        <w:t>e</w:t>
      </w:r>
      <w:r w:rsidRPr="00172DF2">
        <w:rPr>
          <w:rFonts w:ascii="Arial" w:eastAsia="Arial" w:hAnsi="Arial" w:cs="Arial"/>
          <w:sz w:val="22"/>
          <w:szCs w:val="22"/>
        </w:rPr>
        <w:t>nsi</w:t>
      </w:r>
      <w:r w:rsidRPr="00BD17CA">
        <w:rPr>
          <w:rFonts w:ascii="Arial" w:eastAsia="Arial" w:hAnsi="Arial" w:cs="Arial"/>
          <w:sz w:val="22"/>
          <w:szCs w:val="22"/>
        </w:rPr>
        <w:t>on</w:t>
      </w:r>
      <w:r w:rsidRPr="00172DF2">
        <w:rPr>
          <w:rFonts w:ascii="Arial" w:eastAsia="Arial" w:hAnsi="Arial" w:cs="Arial"/>
          <w:sz w:val="22"/>
          <w:szCs w:val="22"/>
        </w:rPr>
        <w:t xml:space="preserve"> </w:t>
      </w:r>
      <w:r w:rsidRPr="00BD17CA">
        <w:rPr>
          <w:rFonts w:ascii="Arial" w:eastAsia="Arial" w:hAnsi="Arial" w:cs="Arial"/>
          <w:sz w:val="22"/>
          <w:szCs w:val="22"/>
        </w:rPr>
        <w:t>Fund</w:t>
      </w:r>
      <w:r w:rsidRPr="00172DF2">
        <w:rPr>
          <w:rFonts w:ascii="Arial" w:eastAsia="Arial" w:hAnsi="Arial" w:cs="Arial"/>
          <w:sz w:val="22"/>
          <w:szCs w:val="22"/>
        </w:rPr>
        <w:t xml:space="preserve"> V</w:t>
      </w:r>
      <w:r w:rsidRPr="00BD17CA">
        <w:rPr>
          <w:rFonts w:ascii="Arial" w:eastAsia="Arial" w:hAnsi="Arial" w:cs="Arial"/>
          <w:sz w:val="22"/>
          <w:szCs w:val="22"/>
        </w:rPr>
        <w:t>a</w:t>
      </w:r>
      <w:r w:rsidRPr="00172DF2">
        <w:rPr>
          <w:rFonts w:ascii="Arial" w:eastAsia="Arial" w:hAnsi="Arial" w:cs="Arial"/>
          <w:sz w:val="22"/>
          <w:szCs w:val="22"/>
        </w:rPr>
        <w:t>lu</w:t>
      </w:r>
      <w:r w:rsidRPr="00BD17CA">
        <w:rPr>
          <w:rFonts w:ascii="Arial" w:eastAsia="Arial" w:hAnsi="Arial" w:cs="Arial"/>
          <w:sz w:val="22"/>
          <w:szCs w:val="22"/>
        </w:rPr>
        <w:t>at</w:t>
      </w:r>
      <w:r w:rsidRPr="00172DF2">
        <w:rPr>
          <w:rFonts w:ascii="Arial" w:eastAsia="Arial" w:hAnsi="Arial" w:cs="Arial"/>
          <w:sz w:val="22"/>
          <w:szCs w:val="22"/>
        </w:rPr>
        <w:t>i</w:t>
      </w:r>
      <w:r w:rsidRPr="00BD17CA">
        <w:rPr>
          <w:rFonts w:ascii="Arial" w:eastAsia="Arial" w:hAnsi="Arial" w:cs="Arial"/>
          <w:sz w:val="22"/>
          <w:szCs w:val="22"/>
        </w:rPr>
        <w:t>on</w:t>
      </w:r>
      <w:r w:rsidRPr="00172DF2">
        <w:rPr>
          <w:rFonts w:ascii="Arial" w:eastAsia="Arial" w:hAnsi="Arial" w:cs="Arial"/>
          <w:sz w:val="22"/>
          <w:szCs w:val="22"/>
        </w:rPr>
        <w:t xml:space="preserve"> </w:t>
      </w:r>
      <w:r w:rsidR="00893EEB" w:rsidRPr="00172DF2">
        <w:rPr>
          <w:rFonts w:ascii="Arial" w:eastAsia="Arial" w:hAnsi="Arial" w:cs="Arial"/>
          <w:sz w:val="22"/>
          <w:szCs w:val="22"/>
        </w:rPr>
        <w:t>2</w:t>
      </w:r>
      <w:r w:rsidR="00893EEB" w:rsidRPr="00BD17CA">
        <w:rPr>
          <w:rFonts w:ascii="Arial" w:eastAsia="Arial" w:hAnsi="Arial" w:cs="Arial"/>
          <w:sz w:val="22"/>
          <w:szCs w:val="22"/>
        </w:rPr>
        <w:t>0</w:t>
      </w:r>
      <w:r w:rsidR="00893EEB" w:rsidRPr="00172DF2">
        <w:rPr>
          <w:rFonts w:ascii="Arial" w:eastAsia="Arial" w:hAnsi="Arial" w:cs="Arial"/>
          <w:sz w:val="22"/>
          <w:szCs w:val="22"/>
        </w:rPr>
        <w:t>1</w:t>
      </w:r>
      <w:r w:rsidR="00893EEB">
        <w:rPr>
          <w:rFonts w:ascii="Arial" w:eastAsia="Arial" w:hAnsi="Arial" w:cs="Arial"/>
          <w:sz w:val="22"/>
          <w:szCs w:val="22"/>
        </w:rPr>
        <w:t>9</w:t>
      </w:r>
      <w:r w:rsidR="00893EEB" w:rsidRPr="00172DF2">
        <w:rPr>
          <w:rFonts w:ascii="Arial" w:eastAsia="Arial" w:hAnsi="Arial" w:cs="Arial"/>
          <w:sz w:val="22"/>
          <w:szCs w:val="22"/>
        </w:rPr>
        <w:t xml:space="preserve"> </w:t>
      </w:r>
      <w:r w:rsidRPr="00BD17CA">
        <w:rPr>
          <w:rFonts w:ascii="Arial" w:eastAsia="Arial" w:hAnsi="Arial" w:cs="Arial"/>
          <w:sz w:val="22"/>
          <w:szCs w:val="22"/>
        </w:rPr>
        <w:t>are</w:t>
      </w:r>
      <w:r w:rsidRPr="00172DF2">
        <w:rPr>
          <w:rFonts w:ascii="Arial" w:eastAsia="Arial" w:hAnsi="Arial" w:cs="Arial"/>
          <w:sz w:val="22"/>
          <w:szCs w:val="22"/>
        </w:rPr>
        <w:t xml:space="preserve"> </w:t>
      </w:r>
      <w:r w:rsidRPr="00BD17CA">
        <w:rPr>
          <w:rFonts w:ascii="Arial" w:eastAsia="Arial" w:hAnsi="Arial" w:cs="Arial"/>
          <w:sz w:val="22"/>
          <w:szCs w:val="22"/>
        </w:rPr>
        <w:t>p</w:t>
      </w:r>
      <w:r w:rsidRPr="00172DF2">
        <w:rPr>
          <w:rFonts w:ascii="Arial" w:eastAsia="Arial" w:hAnsi="Arial" w:cs="Arial"/>
          <w:sz w:val="22"/>
          <w:szCs w:val="22"/>
        </w:rPr>
        <w:t>ublishe</w:t>
      </w:r>
      <w:r w:rsidRPr="00BD17CA">
        <w:rPr>
          <w:rFonts w:ascii="Arial" w:eastAsia="Arial" w:hAnsi="Arial" w:cs="Arial"/>
          <w:sz w:val="22"/>
          <w:szCs w:val="22"/>
        </w:rPr>
        <w:t>d</w:t>
      </w:r>
      <w:r w:rsidRPr="00172DF2">
        <w:rPr>
          <w:rFonts w:ascii="Arial" w:eastAsia="Arial" w:hAnsi="Arial" w:cs="Arial"/>
          <w:sz w:val="22"/>
          <w:szCs w:val="22"/>
        </w:rPr>
        <w:t xml:space="preserve"> o</w:t>
      </w:r>
      <w:r w:rsidRPr="00BD17CA">
        <w:rPr>
          <w:rFonts w:ascii="Arial" w:eastAsia="Arial" w:hAnsi="Arial" w:cs="Arial"/>
          <w:sz w:val="22"/>
          <w:szCs w:val="22"/>
        </w:rPr>
        <w:t>n the</w:t>
      </w:r>
      <w:r w:rsidRPr="00172DF2">
        <w:rPr>
          <w:rFonts w:ascii="Arial" w:eastAsia="Arial" w:hAnsi="Arial" w:cs="Arial"/>
          <w:sz w:val="22"/>
          <w:szCs w:val="22"/>
        </w:rPr>
        <w:t xml:space="preserve"> </w:t>
      </w:r>
      <w:r w:rsidRPr="00BD17CA">
        <w:rPr>
          <w:rFonts w:ascii="Arial" w:eastAsia="Arial" w:hAnsi="Arial" w:cs="Arial"/>
          <w:sz w:val="22"/>
          <w:szCs w:val="22"/>
        </w:rPr>
        <w:t>Co</w:t>
      </w:r>
      <w:r w:rsidRPr="00172DF2">
        <w:rPr>
          <w:rFonts w:ascii="Arial" w:eastAsia="Arial" w:hAnsi="Arial" w:cs="Arial"/>
          <w:sz w:val="22"/>
          <w:szCs w:val="22"/>
        </w:rPr>
        <w:t>u</w:t>
      </w:r>
      <w:r w:rsidRPr="00BD17CA">
        <w:rPr>
          <w:rFonts w:ascii="Arial" w:eastAsia="Arial" w:hAnsi="Arial" w:cs="Arial"/>
          <w:sz w:val="22"/>
          <w:szCs w:val="22"/>
        </w:rPr>
        <w:t>n</w:t>
      </w:r>
      <w:r w:rsidRPr="00172DF2">
        <w:rPr>
          <w:rFonts w:ascii="Arial" w:eastAsia="Arial" w:hAnsi="Arial" w:cs="Arial"/>
          <w:sz w:val="22"/>
          <w:szCs w:val="22"/>
        </w:rPr>
        <w:t>cil</w:t>
      </w:r>
      <w:r w:rsidRPr="00BD17CA">
        <w:rPr>
          <w:rFonts w:ascii="Arial" w:eastAsia="Arial" w:hAnsi="Arial" w:cs="Arial"/>
          <w:sz w:val="22"/>
          <w:szCs w:val="22"/>
        </w:rPr>
        <w:t>'s</w:t>
      </w:r>
      <w:r w:rsidRPr="00172DF2">
        <w:rPr>
          <w:rFonts w:ascii="Arial" w:eastAsia="Arial" w:hAnsi="Arial" w:cs="Arial"/>
          <w:sz w:val="22"/>
          <w:szCs w:val="22"/>
        </w:rPr>
        <w:t xml:space="preserve"> </w:t>
      </w:r>
      <w:r w:rsidRPr="00BD17CA">
        <w:rPr>
          <w:rFonts w:ascii="Arial" w:eastAsia="Arial" w:hAnsi="Arial" w:cs="Arial"/>
          <w:sz w:val="22"/>
          <w:szCs w:val="22"/>
        </w:rPr>
        <w:t>webs</w:t>
      </w:r>
      <w:r w:rsidRPr="00172DF2">
        <w:rPr>
          <w:rFonts w:ascii="Arial" w:eastAsia="Arial" w:hAnsi="Arial" w:cs="Arial"/>
          <w:sz w:val="22"/>
          <w:szCs w:val="22"/>
        </w:rPr>
        <w:t>it</w:t>
      </w:r>
      <w:r w:rsidRPr="00BD17CA">
        <w:rPr>
          <w:rFonts w:ascii="Arial" w:eastAsia="Arial" w:hAnsi="Arial" w:cs="Arial"/>
          <w:sz w:val="22"/>
          <w:szCs w:val="22"/>
        </w:rPr>
        <w:t>e:</w:t>
      </w:r>
      <w:r w:rsidRPr="00172DF2">
        <w:rPr>
          <w:rFonts w:ascii="Arial" w:eastAsia="Arial" w:hAnsi="Arial" w:cs="Arial"/>
          <w:sz w:val="22"/>
          <w:szCs w:val="22"/>
        </w:rPr>
        <w:t xml:space="preserve"> </w:t>
      </w:r>
      <w:commentRangeStart w:id="22"/>
      <w:r w:rsidR="00893EEB">
        <w:fldChar w:fldCharType="begin"/>
      </w:r>
      <w:r w:rsidR="00893EEB">
        <w:instrText xml:space="preserve"> HYPERLINK "http://www.walthamforest.gov.uk" \h </w:instrText>
      </w:r>
      <w:r w:rsidR="00893EEB">
        <w:fldChar w:fldCharType="separate"/>
      </w:r>
      <w:r w:rsidRPr="00172DF2">
        <w:rPr>
          <w:rFonts w:ascii="Arial" w:eastAsia="Arial" w:hAnsi="Arial" w:cs="Arial"/>
          <w:color w:val="00B0F0"/>
          <w:sz w:val="22"/>
          <w:szCs w:val="22"/>
          <w:u w:val="single"/>
        </w:rPr>
        <w:t>www.walthamforest.gov.uk</w:t>
      </w:r>
      <w:r w:rsidR="00893EEB">
        <w:rPr>
          <w:rFonts w:ascii="Arial" w:eastAsia="Arial" w:hAnsi="Arial" w:cs="Arial"/>
          <w:color w:val="00B0F0"/>
          <w:sz w:val="22"/>
          <w:szCs w:val="22"/>
          <w:u w:val="single"/>
        </w:rPr>
        <w:fldChar w:fldCharType="end"/>
      </w:r>
      <w:r w:rsidR="00172DF2">
        <w:rPr>
          <w:rFonts w:ascii="Arial" w:eastAsia="Arial" w:hAnsi="Arial" w:cs="Arial"/>
          <w:sz w:val="22"/>
          <w:szCs w:val="22"/>
        </w:rPr>
        <w:t>.</w:t>
      </w:r>
      <w:commentRangeEnd w:id="22"/>
      <w:r w:rsidR="00893EEB">
        <w:rPr>
          <w:rStyle w:val="CommentReference"/>
        </w:rPr>
        <w:commentReference w:id="22"/>
      </w:r>
    </w:p>
    <w:p w14:paraId="1071D503" w14:textId="77777777" w:rsidR="00172DF2" w:rsidRDefault="00172DF2" w:rsidP="00172DF2">
      <w:pPr>
        <w:spacing w:after="200" w:line="276" w:lineRule="auto"/>
        <w:ind w:right="74"/>
        <w:jc w:val="both"/>
        <w:rPr>
          <w:rFonts w:ascii="Arial" w:eastAsia="Arial" w:hAnsi="Arial" w:cs="Arial"/>
          <w:sz w:val="22"/>
          <w:szCs w:val="22"/>
        </w:rPr>
      </w:pPr>
    </w:p>
    <w:p w14:paraId="7E825005" w14:textId="77777777" w:rsidR="001706EB" w:rsidRPr="00BD17CA" w:rsidRDefault="001706EB">
      <w:pPr>
        <w:rPr>
          <w:rFonts w:ascii="Arial" w:hAnsi="Arial" w:cs="Arial"/>
          <w:sz w:val="22"/>
          <w:szCs w:val="22"/>
        </w:rPr>
      </w:pPr>
    </w:p>
    <w:sectPr w:rsidR="001706EB" w:rsidRPr="00BD17CA">
      <w:headerReference w:type="default" r:id="rId26"/>
      <w:pgSz w:w="11940" w:h="16860"/>
      <w:pgMar w:top="1360" w:right="840" w:bottom="280" w:left="96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eter Worth" w:date="2020-11-06T16:48:00Z" w:initials="PW">
    <w:p w14:paraId="1159F615" w14:textId="1283893F" w:rsidR="005162D5" w:rsidRDefault="005162D5">
      <w:pPr>
        <w:pStyle w:val="CommentText"/>
      </w:pPr>
      <w:r>
        <w:rPr>
          <w:rStyle w:val="CommentReference"/>
        </w:rPr>
        <w:annotationRef/>
      </w:r>
      <w:r>
        <w:t>Lowest rate is for May Gurney</w:t>
      </w:r>
    </w:p>
  </w:comment>
  <w:comment w:id="1" w:author="Peter Worth" w:date="2020-11-06T16:45:00Z" w:initials="PW">
    <w:p w14:paraId="60F4AB1E" w14:textId="4D19CF2C" w:rsidR="005162D5" w:rsidRDefault="005162D5">
      <w:pPr>
        <w:pStyle w:val="CommentText"/>
      </w:pPr>
      <w:r>
        <w:rPr>
          <w:rStyle w:val="CommentReference"/>
        </w:rPr>
        <w:annotationRef/>
      </w:r>
      <w:r>
        <w:t>Highest rate is for Schools and Academies Group</w:t>
      </w:r>
    </w:p>
  </w:comment>
  <w:comment w:id="2" w:author="Peter Worth" w:date="2020-11-06T17:23:00Z" w:initials="PW">
    <w:p w14:paraId="629F7B28" w14:textId="6291D92B" w:rsidR="005162D5" w:rsidRDefault="005162D5">
      <w:pPr>
        <w:pStyle w:val="CommentText"/>
      </w:pPr>
      <w:bookmarkStart w:id="3" w:name="_GoBack"/>
      <w:r>
        <w:rPr>
          <w:rStyle w:val="CommentReference"/>
        </w:rPr>
        <w:annotationRef/>
      </w:r>
      <w:r>
        <w:t>Deleted as the fund is not using segregated derivatives.</w:t>
      </w:r>
      <w:bookmarkEnd w:id="3"/>
    </w:p>
  </w:comment>
  <w:comment w:id="4" w:author="Peter Worth" w:date="2020-11-06T17:56:00Z" w:initials="PW">
    <w:p w14:paraId="3807A51E" w14:textId="4446E8EC" w:rsidR="005162D5" w:rsidRDefault="005162D5">
      <w:pPr>
        <w:pStyle w:val="CommentText"/>
      </w:pPr>
      <w:r>
        <w:rPr>
          <w:rStyle w:val="CommentReference"/>
        </w:rPr>
        <w:annotationRef/>
      </w:r>
      <w:r>
        <w:t>The wording will need updating to reflect the pricing uncertainty and how the fund has mitigated this.</w:t>
      </w:r>
    </w:p>
  </w:comment>
  <w:comment w:id="5" w:author="Peter Worth" w:date="2020-11-06T17:30:00Z" w:initials="PW">
    <w:p w14:paraId="3C9EB78B" w14:textId="67B68577" w:rsidR="005162D5" w:rsidRDefault="005162D5">
      <w:pPr>
        <w:pStyle w:val="CommentText"/>
      </w:pPr>
      <w:r>
        <w:rPr>
          <w:rStyle w:val="CommentReference"/>
        </w:rPr>
        <w:annotationRef/>
      </w:r>
      <w:r>
        <w:t>Figures will need updating for 2019/20 IAS26 report</w:t>
      </w:r>
    </w:p>
  </w:comment>
  <w:comment w:id="6" w:author="Peter Worth" w:date="2020-11-06T17:58:00Z" w:initials="PW">
    <w:p w14:paraId="5608DE18" w14:textId="52AF5D1A" w:rsidR="005162D5" w:rsidRDefault="005162D5">
      <w:pPr>
        <w:pStyle w:val="CommentText"/>
      </w:pPr>
      <w:r>
        <w:rPr>
          <w:rStyle w:val="CommentReference"/>
        </w:rPr>
        <w:annotationRef/>
      </w:r>
      <w:r>
        <w:t>This will need updating for any post balance sheet event impact</w:t>
      </w:r>
    </w:p>
  </w:comment>
  <w:comment w:id="7" w:author="Peter Worth" w:date="2020-11-06T18:01:00Z" w:initials="PW">
    <w:p w14:paraId="748EC623" w14:textId="77777777" w:rsidR="005162D5" w:rsidRDefault="005162D5">
      <w:pPr>
        <w:pStyle w:val="CommentText"/>
      </w:pPr>
      <w:r>
        <w:rPr>
          <w:rStyle w:val="CommentReference"/>
        </w:rPr>
        <w:annotationRef/>
      </w:r>
      <w:r>
        <w:t>Update for 2019/20 note.</w:t>
      </w:r>
    </w:p>
    <w:p w14:paraId="2C938417" w14:textId="02EDC851" w:rsidR="005162D5" w:rsidRDefault="005162D5">
      <w:pPr>
        <w:pStyle w:val="CommentText"/>
      </w:pPr>
      <w:r>
        <w:t>Include a sub-total for employers contributions as done in 2018/19</w:t>
      </w:r>
    </w:p>
  </w:comment>
  <w:comment w:id="8" w:author="Peter Worth" w:date="2020-11-06T14:33:00Z" w:initials="PW">
    <w:p w14:paraId="0B8A8BB3" w14:textId="54318DCF" w:rsidR="005162D5" w:rsidRDefault="005162D5">
      <w:pPr>
        <w:pStyle w:val="CommentText"/>
      </w:pPr>
      <w:r>
        <w:rPr>
          <w:rStyle w:val="CommentReference"/>
        </w:rPr>
        <w:annotationRef/>
      </w:r>
      <w:r>
        <w:t>Deleted Note because this duplicates the narrative at the foot of Note 11.</w:t>
      </w:r>
    </w:p>
  </w:comment>
  <w:comment w:id="9" w:author="Peter Worth" w:date="2020-11-06T18:34:00Z" w:initials="PW">
    <w:p w14:paraId="7FB238D3" w14:textId="25BF40A2" w:rsidR="005162D5" w:rsidRDefault="005162D5">
      <w:pPr>
        <w:pStyle w:val="CommentText"/>
      </w:pPr>
      <w:r>
        <w:rPr>
          <w:rStyle w:val="CommentReference"/>
        </w:rPr>
        <w:annotationRef/>
      </w:r>
      <w:r>
        <w:t>This is a combination of Note 14b plus the detail in Notes 14d to 14g</w:t>
      </w:r>
    </w:p>
  </w:comment>
  <w:comment w:id="11" w:author="Peter Worth" w:date="2020-11-06T21:56:00Z" w:initials="PW">
    <w:p w14:paraId="2CE8D203" w14:textId="797CEFC1" w:rsidR="005162D5" w:rsidRDefault="005162D5">
      <w:pPr>
        <w:pStyle w:val="CommentText"/>
      </w:pPr>
      <w:r>
        <w:rPr>
          <w:rStyle w:val="CommentReference"/>
        </w:rPr>
        <w:annotationRef/>
      </w:r>
      <w:r>
        <w:t>Figure needs updating for 2020</w:t>
      </w:r>
    </w:p>
  </w:comment>
  <w:comment w:id="12" w:author="Peter Worth" w:date="2020-11-06T21:58:00Z" w:initials="PW">
    <w:p w14:paraId="2B147583" w14:textId="10B6F2E8" w:rsidR="005162D5" w:rsidRDefault="005162D5">
      <w:pPr>
        <w:pStyle w:val="CommentText"/>
      </w:pPr>
      <w:r>
        <w:rPr>
          <w:rStyle w:val="CommentReference"/>
        </w:rPr>
        <w:annotationRef/>
      </w:r>
      <w:r>
        <w:t>Figures need updating for 2020</w:t>
      </w:r>
    </w:p>
  </w:comment>
  <w:comment w:id="13" w:author="Peter Worth" w:date="2020-11-06T22:40:00Z" w:initials="PW">
    <w:p w14:paraId="1FD0B9D7" w14:textId="787E42CD" w:rsidR="005162D5" w:rsidRDefault="005162D5">
      <w:pPr>
        <w:pStyle w:val="CommentText"/>
      </w:pPr>
      <w:r>
        <w:rPr>
          <w:rStyle w:val="CommentReference"/>
        </w:rPr>
        <w:annotationRef/>
      </w:r>
      <w:r>
        <w:t>The order of the paragraphs in this section needs to be checked against the actuary’s original report</w:t>
      </w:r>
    </w:p>
  </w:comment>
  <w:comment w:id="14" w:author="Peter Worth" w:date="2020-11-06T22:26:00Z" w:initials="PW">
    <w:p w14:paraId="63BAE241" w14:textId="5B080A08" w:rsidR="005162D5" w:rsidRDefault="005162D5">
      <w:pPr>
        <w:pStyle w:val="CommentText"/>
      </w:pPr>
      <w:r>
        <w:rPr>
          <w:rStyle w:val="CommentReference"/>
        </w:rPr>
        <w:annotationRef/>
      </w:r>
      <w:r>
        <w:t>Updated debtors note to be inserted</w:t>
      </w:r>
    </w:p>
  </w:comment>
  <w:comment w:id="15" w:author="Peter Worth" w:date="2020-11-06T22:27:00Z" w:initials="PW">
    <w:p w14:paraId="29CE0DF0" w14:textId="35C09C17" w:rsidR="005162D5" w:rsidRDefault="005162D5">
      <w:pPr>
        <w:pStyle w:val="CommentText"/>
      </w:pPr>
      <w:r>
        <w:rPr>
          <w:rStyle w:val="CommentReference"/>
        </w:rPr>
        <w:annotationRef/>
      </w:r>
      <w:r>
        <w:t>If the analysis of the 2018/19 creditors has altered we should reflect this in the 2018/19 a/cs</w:t>
      </w:r>
    </w:p>
  </w:comment>
  <w:comment w:id="18" w:author="Peter Worth" w:date="2020-11-06T14:36:00Z" w:initials="PW">
    <w:p w14:paraId="7D071443" w14:textId="553DA79F" w:rsidR="005162D5" w:rsidRDefault="005162D5">
      <w:pPr>
        <w:pStyle w:val="CommentText"/>
      </w:pPr>
      <w:r>
        <w:rPr>
          <w:rStyle w:val="CommentReference"/>
        </w:rPr>
        <w:annotationRef/>
      </w:r>
      <w:r>
        <w:t>Note deleted because this is not an agency service.</w:t>
      </w:r>
    </w:p>
  </w:comment>
  <w:comment w:id="21" w:author="Peter Worth" w:date="2020-11-06T22:34:00Z" w:initials="PW">
    <w:p w14:paraId="70755D23" w14:textId="7E0786C7" w:rsidR="005162D5" w:rsidRDefault="005162D5">
      <w:pPr>
        <w:pStyle w:val="CommentText"/>
      </w:pPr>
      <w:r>
        <w:rPr>
          <w:rStyle w:val="CommentReference"/>
        </w:rPr>
        <w:annotationRef/>
      </w:r>
      <w:r>
        <w:t>These numbers need checking because they appeared to be the wrong way round in the excel workbook</w:t>
      </w:r>
    </w:p>
  </w:comment>
  <w:comment w:id="22" w:author="Peter Worth" w:date="2020-11-06T23:09:00Z" w:initials="PW">
    <w:p w14:paraId="5C2F84CA" w14:textId="50BADFAD" w:rsidR="005162D5" w:rsidRDefault="005162D5">
      <w:pPr>
        <w:pStyle w:val="CommentText"/>
      </w:pPr>
      <w:r>
        <w:rPr>
          <w:rStyle w:val="CommentReference"/>
        </w:rPr>
        <w:annotationRef/>
      </w:r>
      <w:r>
        <w:t>I could find the 2019 valuation , but not the other documents – are these located on pension fund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59F615" w15:done="1"/>
  <w15:commentEx w15:paraId="60F4AB1E" w15:done="1"/>
  <w15:commentEx w15:paraId="629F7B28" w15:done="1"/>
  <w15:commentEx w15:paraId="3807A51E" w15:done="1"/>
  <w15:commentEx w15:paraId="3C9EB78B" w15:done="1"/>
  <w15:commentEx w15:paraId="5608DE18" w15:done="1"/>
  <w15:commentEx w15:paraId="2C938417" w15:done="1"/>
  <w15:commentEx w15:paraId="0B8A8BB3" w15:done="1"/>
  <w15:commentEx w15:paraId="7FB238D3" w15:done="1"/>
  <w15:commentEx w15:paraId="2CE8D203" w15:done="1"/>
  <w15:commentEx w15:paraId="2B147583" w15:done="1"/>
  <w15:commentEx w15:paraId="1FD0B9D7" w15:done="1"/>
  <w15:commentEx w15:paraId="63BAE241" w15:done="1"/>
  <w15:commentEx w15:paraId="29CE0DF0" w15:done="1"/>
  <w15:commentEx w15:paraId="7D071443" w15:done="1"/>
  <w15:commentEx w15:paraId="70755D23" w15:done="1"/>
  <w15:commentEx w15:paraId="5C2F84C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9F615" w16cid:durableId="234FFCE4"/>
  <w16cid:commentId w16cid:paraId="60F4AB1E" w16cid:durableId="234FFC35"/>
  <w16cid:commentId w16cid:paraId="629F7B28" w16cid:durableId="23500517"/>
  <w16cid:commentId w16cid:paraId="3807A51E" w16cid:durableId="23500CC5"/>
  <w16cid:commentId w16cid:paraId="3C9EB78B" w16cid:durableId="235006A8"/>
  <w16cid:commentId w16cid:paraId="5608DE18" w16cid:durableId="23500D62"/>
  <w16cid:commentId w16cid:paraId="2C938417" w16cid:durableId="23500DDF"/>
  <w16cid:commentId w16cid:paraId="0B8A8BB3" w16cid:durableId="234FDD52"/>
  <w16cid:commentId w16cid:paraId="7FB238D3" w16cid:durableId="2350159A"/>
  <w16cid:commentId w16cid:paraId="2CE8D203" w16cid:durableId="2350452A"/>
  <w16cid:commentId w16cid:paraId="2B147583" w16cid:durableId="2350457D"/>
  <w16cid:commentId w16cid:paraId="1FD0B9D7" w16cid:durableId="23504F4E"/>
  <w16cid:commentId w16cid:paraId="63BAE241" w16cid:durableId="23504C10"/>
  <w16cid:commentId w16cid:paraId="29CE0DF0" w16cid:durableId="23504C62"/>
  <w16cid:commentId w16cid:paraId="7D071443" w16cid:durableId="234FDDD2"/>
  <w16cid:commentId w16cid:paraId="70755D23" w16cid:durableId="23504E03"/>
  <w16cid:commentId w16cid:paraId="5C2F84CA" w16cid:durableId="235056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6517" w14:textId="77777777" w:rsidR="005162D5" w:rsidRDefault="005162D5">
      <w:r>
        <w:separator/>
      </w:r>
    </w:p>
  </w:endnote>
  <w:endnote w:type="continuationSeparator" w:id="0">
    <w:p w14:paraId="74C0ED23" w14:textId="77777777" w:rsidR="005162D5" w:rsidRDefault="0051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te">
    <w:altName w:val="Calibri"/>
    <w:panose1 w:val="00000000000000000000"/>
    <w:charset w:val="00"/>
    <w:family w:val="modern"/>
    <w:notTrueType/>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C1B94" w14:textId="77777777" w:rsidR="005162D5" w:rsidRDefault="005162D5">
      <w:r>
        <w:separator/>
      </w:r>
    </w:p>
  </w:footnote>
  <w:footnote w:type="continuationSeparator" w:id="0">
    <w:p w14:paraId="7276CB12" w14:textId="77777777" w:rsidR="005162D5" w:rsidRDefault="0051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4D9E" w14:textId="77777777" w:rsidR="005162D5" w:rsidRDefault="005162D5">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DC25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973F68"/>
    <w:multiLevelType w:val="hybridMultilevel"/>
    <w:tmpl w:val="DF462EAA"/>
    <w:lvl w:ilvl="0" w:tplc="C82CDD4A">
      <w:start w:val="201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70807"/>
    <w:multiLevelType w:val="hybridMultilevel"/>
    <w:tmpl w:val="C854CF6C"/>
    <w:lvl w:ilvl="0" w:tplc="1CFAECB0">
      <w:start w:val="1"/>
      <w:numFmt w:val="lowerRoman"/>
      <w:lvlText w:val="(%1)"/>
      <w:lvlJc w:val="left"/>
      <w:pPr>
        <w:ind w:left="1340" w:hanging="9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3348D"/>
    <w:multiLevelType w:val="multilevel"/>
    <w:tmpl w:val="7116D182"/>
    <w:name w:val="SectionStar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CC0244"/>
    <w:multiLevelType w:val="hybridMultilevel"/>
    <w:tmpl w:val="4904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35CE7"/>
    <w:multiLevelType w:val="hybridMultilevel"/>
    <w:tmpl w:val="96D4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761E3"/>
    <w:multiLevelType w:val="hybridMultilevel"/>
    <w:tmpl w:val="994C9C0E"/>
    <w:lvl w:ilvl="0" w:tplc="4AF29D3C">
      <w:start w:val="2014"/>
      <w:numFmt w:val="bullet"/>
      <w:lvlText w:val="•"/>
      <w:lvlJc w:val="left"/>
      <w:pPr>
        <w:ind w:left="628" w:hanging="510"/>
      </w:pPr>
      <w:rPr>
        <w:rFonts w:ascii="Arial" w:eastAsia="Times New Roman" w:hAnsi="Arial" w:cs="Arial" w:hint="default"/>
        <w:w w:val="130"/>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7" w15:restartNumberingAfterBreak="0">
    <w:nsid w:val="2EDF6BF2"/>
    <w:multiLevelType w:val="hybridMultilevel"/>
    <w:tmpl w:val="C36A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3610C"/>
    <w:multiLevelType w:val="hybridMultilevel"/>
    <w:tmpl w:val="98DE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061A5"/>
    <w:multiLevelType w:val="hybridMultilevel"/>
    <w:tmpl w:val="900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45E7C"/>
    <w:multiLevelType w:val="hybridMultilevel"/>
    <w:tmpl w:val="F81C0E00"/>
    <w:lvl w:ilvl="0" w:tplc="FA1E06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D3631"/>
    <w:multiLevelType w:val="multilevel"/>
    <w:tmpl w:val="893AE6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573E2D3E"/>
    <w:multiLevelType w:val="hybridMultilevel"/>
    <w:tmpl w:val="AE5224AC"/>
    <w:lvl w:ilvl="0" w:tplc="52F63500">
      <w:start w:val="2014"/>
      <w:numFmt w:val="bullet"/>
      <w:lvlText w:val="•"/>
      <w:lvlJc w:val="left"/>
      <w:pPr>
        <w:ind w:left="668" w:hanging="550"/>
      </w:pPr>
      <w:rPr>
        <w:rFonts w:ascii="Arial" w:eastAsia="Times New Roman" w:hAnsi="Arial" w:cs="Arial" w:hint="default"/>
        <w:w w:val="130"/>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num w:numId="1">
    <w:abstractNumId w:val="11"/>
  </w:num>
  <w:num w:numId="2">
    <w:abstractNumId w:val="4"/>
  </w:num>
  <w:num w:numId="3">
    <w:abstractNumId w:val="6"/>
  </w:num>
  <w:num w:numId="4">
    <w:abstractNumId w:val="8"/>
  </w:num>
  <w:num w:numId="5">
    <w:abstractNumId w:val="12"/>
  </w:num>
  <w:num w:numId="6">
    <w:abstractNumId w:val="5"/>
  </w:num>
  <w:num w:numId="7">
    <w:abstractNumId w:val="9"/>
  </w:num>
  <w:num w:numId="8">
    <w:abstractNumId w:val="1"/>
  </w:num>
  <w:num w:numId="9">
    <w:abstractNumId w:val="1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Worth">
    <w15:presenceInfo w15:providerId="AD" w15:userId="S::Peter.Worth@walthamforest.gov.uk::b4b9a010-a913-477f-a71b-1fa1e2efc5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22"/>
    <w:rsid w:val="00010B35"/>
    <w:rsid w:val="00017AB8"/>
    <w:rsid w:val="000209C3"/>
    <w:rsid w:val="00035F58"/>
    <w:rsid w:val="00094814"/>
    <w:rsid w:val="000A2D2C"/>
    <w:rsid w:val="000C0998"/>
    <w:rsid w:val="000C5B88"/>
    <w:rsid w:val="000D2C58"/>
    <w:rsid w:val="00116F3E"/>
    <w:rsid w:val="00151519"/>
    <w:rsid w:val="00157331"/>
    <w:rsid w:val="001630D9"/>
    <w:rsid w:val="001706EB"/>
    <w:rsid w:val="00172DF2"/>
    <w:rsid w:val="002027C0"/>
    <w:rsid w:val="00247116"/>
    <w:rsid w:val="00251DA8"/>
    <w:rsid w:val="0025435A"/>
    <w:rsid w:val="002B538C"/>
    <w:rsid w:val="002D4F4D"/>
    <w:rsid w:val="00362A2E"/>
    <w:rsid w:val="00396456"/>
    <w:rsid w:val="003A178D"/>
    <w:rsid w:val="003D447D"/>
    <w:rsid w:val="00404B27"/>
    <w:rsid w:val="0046695E"/>
    <w:rsid w:val="00472BB8"/>
    <w:rsid w:val="004A044A"/>
    <w:rsid w:val="004B5E80"/>
    <w:rsid w:val="004C23DA"/>
    <w:rsid w:val="005162D5"/>
    <w:rsid w:val="00521147"/>
    <w:rsid w:val="00524ED8"/>
    <w:rsid w:val="00526BCE"/>
    <w:rsid w:val="0056227B"/>
    <w:rsid w:val="005A4D7C"/>
    <w:rsid w:val="005A6CB3"/>
    <w:rsid w:val="005B53A7"/>
    <w:rsid w:val="005F5E71"/>
    <w:rsid w:val="006F3D5E"/>
    <w:rsid w:val="006F6496"/>
    <w:rsid w:val="00716307"/>
    <w:rsid w:val="00754DB5"/>
    <w:rsid w:val="0075725F"/>
    <w:rsid w:val="007745A7"/>
    <w:rsid w:val="0079221D"/>
    <w:rsid w:val="0080644C"/>
    <w:rsid w:val="00821C31"/>
    <w:rsid w:val="008463BF"/>
    <w:rsid w:val="00893EEB"/>
    <w:rsid w:val="008A6C22"/>
    <w:rsid w:val="00933FA8"/>
    <w:rsid w:val="00942374"/>
    <w:rsid w:val="00990685"/>
    <w:rsid w:val="00991D54"/>
    <w:rsid w:val="00995691"/>
    <w:rsid w:val="009A2FE4"/>
    <w:rsid w:val="009B2E3F"/>
    <w:rsid w:val="009C7422"/>
    <w:rsid w:val="009E4D57"/>
    <w:rsid w:val="009F1E5D"/>
    <w:rsid w:val="009F4ADE"/>
    <w:rsid w:val="00A039E1"/>
    <w:rsid w:val="00A15DB1"/>
    <w:rsid w:val="00A50060"/>
    <w:rsid w:val="00A80CAD"/>
    <w:rsid w:val="00A83A4F"/>
    <w:rsid w:val="00AC08E7"/>
    <w:rsid w:val="00AD0F2A"/>
    <w:rsid w:val="00AF1D79"/>
    <w:rsid w:val="00AF525B"/>
    <w:rsid w:val="00B13795"/>
    <w:rsid w:val="00B5648B"/>
    <w:rsid w:val="00BD17CA"/>
    <w:rsid w:val="00BF33DA"/>
    <w:rsid w:val="00C216CD"/>
    <w:rsid w:val="00C65F3C"/>
    <w:rsid w:val="00D01566"/>
    <w:rsid w:val="00D23754"/>
    <w:rsid w:val="00D30FC4"/>
    <w:rsid w:val="00D713E7"/>
    <w:rsid w:val="00D85E3D"/>
    <w:rsid w:val="00DC2844"/>
    <w:rsid w:val="00DC7292"/>
    <w:rsid w:val="00DD4886"/>
    <w:rsid w:val="00DE0017"/>
    <w:rsid w:val="00DF31BA"/>
    <w:rsid w:val="00E14006"/>
    <w:rsid w:val="00E22A3B"/>
    <w:rsid w:val="00E41E57"/>
    <w:rsid w:val="00E548C4"/>
    <w:rsid w:val="00E54B30"/>
    <w:rsid w:val="00E63CDF"/>
    <w:rsid w:val="00E64E96"/>
    <w:rsid w:val="00EC45C6"/>
    <w:rsid w:val="00EC6D52"/>
    <w:rsid w:val="00EE32C9"/>
    <w:rsid w:val="00F02DF9"/>
    <w:rsid w:val="00F309E4"/>
    <w:rsid w:val="00F3572E"/>
    <w:rsid w:val="00FA3B7D"/>
    <w:rsid w:val="00FA4208"/>
    <w:rsid w:val="00FB0C09"/>
    <w:rsid w:val="00FB39C3"/>
    <w:rsid w:val="00FD4375"/>
    <w:rsid w:val="00FF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3B0C8"/>
  <w15:docId w15:val="{0200F574-1E0E-4D59-AF05-A421F590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1706EB"/>
    <w:rPr>
      <w:sz w:val="16"/>
      <w:szCs w:val="16"/>
    </w:rPr>
  </w:style>
  <w:style w:type="paragraph" w:styleId="CommentText">
    <w:name w:val="annotation text"/>
    <w:basedOn w:val="Normal"/>
    <w:link w:val="CommentTextChar"/>
    <w:uiPriority w:val="99"/>
    <w:semiHidden/>
    <w:unhideWhenUsed/>
    <w:rsid w:val="001706EB"/>
  </w:style>
  <w:style w:type="character" w:customStyle="1" w:styleId="CommentTextChar">
    <w:name w:val="Comment Text Char"/>
    <w:basedOn w:val="DefaultParagraphFont"/>
    <w:link w:val="CommentText"/>
    <w:uiPriority w:val="99"/>
    <w:semiHidden/>
    <w:rsid w:val="001706EB"/>
  </w:style>
  <w:style w:type="paragraph" w:styleId="CommentSubject">
    <w:name w:val="annotation subject"/>
    <w:basedOn w:val="CommentText"/>
    <w:next w:val="CommentText"/>
    <w:link w:val="CommentSubjectChar"/>
    <w:uiPriority w:val="99"/>
    <w:semiHidden/>
    <w:unhideWhenUsed/>
    <w:rsid w:val="001706EB"/>
    <w:rPr>
      <w:b/>
      <w:bCs/>
    </w:rPr>
  </w:style>
  <w:style w:type="character" w:customStyle="1" w:styleId="CommentSubjectChar">
    <w:name w:val="Comment Subject Char"/>
    <w:basedOn w:val="CommentTextChar"/>
    <w:link w:val="CommentSubject"/>
    <w:uiPriority w:val="99"/>
    <w:semiHidden/>
    <w:rsid w:val="001706EB"/>
    <w:rPr>
      <w:b/>
      <w:bCs/>
    </w:rPr>
  </w:style>
  <w:style w:type="paragraph" w:styleId="BalloonText">
    <w:name w:val="Balloon Text"/>
    <w:basedOn w:val="Normal"/>
    <w:link w:val="BalloonTextChar"/>
    <w:uiPriority w:val="99"/>
    <w:semiHidden/>
    <w:unhideWhenUsed/>
    <w:rsid w:val="0017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EB"/>
    <w:rPr>
      <w:rFonts w:ascii="Segoe UI" w:hAnsi="Segoe UI" w:cs="Segoe UI"/>
      <w:sz w:val="18"/>
      <w:szCs w:val="18"/>
    </w:rPr>
  </w:style>
  <w:style w:type="paragraph" w:styleId="ListParagraph">
    <w:name w:val="List Paragraph"/>
    <w:basedOn w:val="Normal"/>
    <w:uiPriority w:val="34"/>
    <w:qFormat/>
    <w:rsid w:val="00FA3B7D"/>
    <w:pPr>
      <w:ind w:left="720"/>
      <w:contextualSpacing/>
    </w:pPr>
  </w:style>
  <w:style w:type="paragraph" w:styleId="Header">
    <w:name w:val="header"/>
    <w:basedOn w:val="Normal"/>
    <w:link w:val="HeaderChar"/>
    <w:uiPriority w:val="99"/>
    <w:unhideWhenUsed/>
    <w:rsid w:val="0046695E"/>
    <w:pPr>
      <w:tabs>
        <w:tab w:val="center" w:pos="4513"/>
        <w:tab w:val="right" w:pos="9026"/>
      </w:tabs>
    </w:pPr>
  </w:style>
  <w:style w:type="character" w:customStyle="1" w:styleId="HeaderChar">
    <w:name w:val="Header Char"/>
    <w:basedOn w:val="DefaultParagraphFont"/>
    <w:link w:val="Header"/>
    <w:uiPriority w:val="99"/>
    <w:rsid w:val="0046695E"/>
  </w:style>
  <w:style w:type="paragraph" w:styleId="Footer">
    <w:name w:val="footer"/>
    <w:basedOn w:val="Normal"/>
    <w:link w:val="FooterChar"/>
    <w:uiPriority w:val="99"/>
    <w:unhideWhenUsed/>
    <w:rsid w:val="0046695E"/>
    <w:pPr>
      <w:tabs>
        <w:tab w:val="center" w:pos="4513"/>
        <w:tab w:val="right" w:pos="9026"/>
      </w:tabs>
    </w:pPr>
  </w:style>
  <w:style w:type="character" w:customStyle="1" w:styleId="FooterChar">
    <w:name w:val="Footer Char"/>
    <w:basedOn w:val="DefaultParagraphFont"/>
    <w:link w:val="Footer"/>
    <w:uiPriority w:val="99"/>
    <w:rsid w:val="0046695E"/>
  </w:style>
  <w:style w:type="table" w:styleId="TableGrid">
    <w:name w:val="Table Grid"/>
    <w:basedOn w:val="TableNormal"/>
    <w:uiPriority w:val="59"/>
    <w:rsid w:val="0082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1846">
      <w:bodyDiv w:val="1"/>
      <w:marLeft w:val="0"/>
      <w:marRight w:val="0"/>
      <w:marTop w:val="0"/>
      <w:marBottom w:val="0"/>
      <w:divBdr>
        <w:top w:val="none" w:sz="0" w:space="0" w:color="auto"/>
        <w:left w:val="none" w:sz="0" w:space="0" w:color="auto"/>
        <w:bottom w:val="none" w:sz="0" w:space="0" w:color="auto"/>
        <w:right w:val="none" w:sz="0" w:space="0" w:color="auto"/>
      </w:divBdr>
    </w:div>
    <w:div w:id="58867603">
      <w:bodyDiv w:val="1"/>
      <w:marLeft w:val="0"/>
      <w:marRight w:val="0"/>
      <w:marTop w:val="0"/>
      <w:marBottom w:val="0"/>
      <w:divBdr>
        <w:top w:val="none" w:sz="0" w:space="0" w:color="auto"/>
        <w:left w:val="none" w:sz="0" w:space="0" w:color="auto"/>
        <w:bottom w:val="none" w:sz="0" w:space="0" w:color="auto"/>
        <w:right w:val="none" w:sz="0" w:space="0" w:color="auto"/>
      </w:divBdr>
    </w:div>
    <w:div w:id="65539137">
      <w:bodyDiv w:val="1"/>
      <w:marLeft w:val="0"/>
      <w:marRight w:val="0"/>
      <w:marTop w:val="0"/>
      <w:marBottom w:val="0"/>
      <w:divBdr>
        <w:top w:val="none" w:sz="0" w:space="0" w:color="auto"/>
        <w:left w:val="none" w:sz="0" w:space="0" w:color="auto"/>
        <w:bottom w:val="none" w:sz="0" w:space="0" w:color="auto"/>
        <w:right w:val="none" w:sz="0" w:space="0" w:color="auto"/>
      </w:divBdr>
    </w:div>
    <w:div w:id="238565986">
      <w:bodyDiv w:val="1"/>
      <w:marLeft w:val="0"/>
      <w:marRight w:val="0"/>
      <w:marTop w:val="0"/>
      <w:marBottom w:val="0"/>
      <w:divBdr>
        <w:top w:val="none" w:sz="0" w:space="0" w:color="auto"/>
        <w:left w:val="none" w:sz="0" w:space="0" w:color="auto"/>
        <w:bottom w:val="none" w:sz="0" w:space="0" w:color="auto"/>
        <w:right w:val="none" w:sz="0" w:space="0" w:color="auto"/>
      </w:divBdr>
    </w:div>
    <w:div w:id="454179987">
      <w:bodyDiv w:val="1"/>
      <w:marLeft w:val="0"/>
      <w:marRight w:val="0"/>
      <w:marTop w:val="0"/>
      <w:marBottom w:val="0"/>
      <w:divBdr>
        <w:top w:val="none" w:sz="0" w:space="0" w:color="auto"/>
        <w:left w:val="none" w:sz="0" w:space="0" w:color="auto"/>
        <w:bottom w:val="none" w:sz="0" w:space="0" w:color="auto"/>
        <w:right w:val="none" w:sz="0" w:space="0" w:color="auto"/>
      </w:divBdr>
    </w:div>
    <w:div w:id="471824700">
      <w:bodyDiv w:val="1"/>
      <w:marLeft w:val="0"/>
      <w:marRight w:val="0"/>
      <w:marTop w:val="0"/>
      <w:marBottom w:val="0"/>
      <w:divBdr>
        <w:top w:val="none" w:sz="0" w:space="0" w:color="auto"/>
        <w:left w:val="none" w:sz="0" w:space="0" w:color="auto"/>
        <w:bottom w:val="none" w:sz="0" w:space="0" w:color="auto"/>
        <w:right w:val="none" w:sz="0" w:space="0" w:color="auto"/>
      </w:divBdr>
    </w:div>
    <w:div w:id="508787710">
      <w:bodyDiv w:val="1"/>
      <w:marLeft w:val="0"/>
      <w:marRight w:val="0"/>
      <w:marTop w:val="0"/>
      <w:marBottom w:val="0"/>
      <w:divBdr>
        <w:top w:val="none" w:sz="0" w:space="0" w:color="auto"/>
        <w:left w:val="none" w:sz="0" w:space="0" w:color="auto"/>
        <w:bottom w:val="none" w:sz="0" w:space="0" w:color="auto"/>
        <w:right w:val="none" w:sz="0" w:space="0" w:color="auto"/>
      </w:divBdr>
    </w:div>
    <w:div w:id="759257138">
      <w:bodyDiv w:val="1"/>
      <w:marLeft w:val="0"/>
      <w:marRight w:val="0"/>
      <w:marTop w:val="0"/>
      <w:marBottom w:val="0"/>
      <w:divBdr>
        <w:top w:val="none" w:sz="0" w:space="0" w:color="auto"/>
        <w:left w:val="none" w:sz="0" w:space="0" w:color="auto"/>
        <w:bottom w:val="none" w:sz="0" w:space="0" w:color="auto"/>
        <w:right w:val="none" w:sz="0" w:space="0" w:color="auto"/>
      </w:divBdr>
    </w:div>
    <w:div w:id="776289970">
      <w:bodyDiv w:val="1"/>
      <w:marLeft w:val="0"/>
      <w:marRight w:val="0"/>
      <w:marTop w:val="0"/>
      <w:marBottom w:val="0"/>
      <w:divBdr>
        <w:top w:val="none" w:sz="0" w:space="0" w:color="auto"/>
        <w:left w:val="none" w:sz="0" w:space="0" w:color="auto"/>
        <w:bottom w:val="none" w:sz="0" w:space="0" w:color="auto"/>
        <w:right w:val="none" w:sz="0" w:space="0" w:color="auto"/>
      </w:divBdr>
    </w:div>
    <w:div w:id="800347727">
      <w:bodyDiv w:val="1"/>
      <w:marLeft w:val="0"/>
      <w:marRight w:val="0"/>
      <w:marTop w:val="0"/>
      <w:marBottom w:val="0"/>
      <w:divBdr>
        <w:top w:val="none" w:sz="0" w:space="0" w:color="auto"/>
        <w:left w:val="none" w:sz="0" w:space="0" w:color="auto"/>
        <w:bottom w:val="none" w:sz="0" w:space="0" w:color="auto"/>
        <w:right w:val="none" w:sz="0" w:space="0" w:color="auto"/>
      </w:divBdr>
    </w:div>
    <w:div w:id="808471331">
      <w:bodyDiv w:val="1"/>
      <w:marLeft w:val="0"/>
      <w:marRight w:val="0"/>
      <w:marTop w:val="0"/>
      <w:marBottom w:val="0"/>
      <w:divBdr>
        <w:top w:val="none" w:sz="0" w:space="0" w:color="auto"/>
        <w:left w:val="none" w:sz="0" w:space="0" w:color="auto"/>
        <w:bottom w:val="none" w:sz="0" w:space="0" w:color="auto"/>
        <w:right w:val="none" w:sz="0" w:space="0" w:color="auto"/>
      </w:divBdr>
    </w:div>
    <w:div w:id="857427152">
      <w:bodyDiv w:val="1"/>
      <w:marLeft w:val="0"/>
      <w:marRight w:val="0"/>
      <w:marTop w:val="0"/>
      <w:marBottom w:val="0"/>
      <w:divBdr>
        <w:top w:val="none" w:sz="0" w:space="0" w:color="auto"/>
        <w:left w:val="none" w:sz="0" w:space="0" w:color="auto"/>
        <w:bottom w:val="none" w:sz="0" w:space="0" w:color="auto"/>
        <w:right w:val="none" w:sz="0" w:space="0" w:color="auto"/>
      </w:divBdr>
    </w:div>
    <w:div w:id="881599497">
      <w:bodyDiv w:val="1"/>
      <w:marLeft w:val="0"/>
      <w:marRight w:val="0"/>
      <w:marTop w:val="0"/>
      <w:marBottom w:val="0"/>
      <w:divBdr>
        <w:top w:val="none" w:sz="0" w:space="0" w:color="auto"/>
        <w:left w:val="none" w:sz="0" w:space="0" w:color="auto"/>
        <w:bottom w:val="none" w:sz="0" w:space="0" w:color="auto"/>
        <w:right w:val="none" w:sz="0" w:space="0" w:color="auto"/>
      </w:divBdr>
    </w:div>
    <w:div w:id="960692908">
      <w:bodyDiv w:val="1"/>
      <w:marLeft w:val="0"/>
      <w:marRight w:val="0"/>
      <w:marTop w:val="0"/>
      <w:marBottom w:val="0"/>
      <w:divBdr>
        <w:top w:val="none" w:sz="0" w:space="0" w:color="auto"/>
        <w:left w:val="none" w:sz="0" w:space="0" w:color="auto"/>
        <w:bottom w:val="none" w:sz="0" w:space="0" w:color="auto"/>
        <w:right w:val="none" w:sz="0" w:space="0" w:color="auto"/>
      </w:divBdr>
    </w:div>
    <w:div w:id="1015612857">
      <w:bodyDiv w:val="1"/>
      <w:marLeft w:val="0"/>
      <w:marRight w:val="0"/>
      <w:marTop w:val="0"/>
      <w:marBottom w:val="0"/>
      <w:divBdr>
        <w:top w:val="none" w:sz="0" w:space="0" w:color="auto"/>
        <w:left w:val="none" w:sz="0" w:space="0" w:color="auto"/>
        <w:bottom w:val="none" w:sz="0" w:space="0" w:color="auto"/>
        <w:right w:val="none" w:sz="0" w:space="0" w:color="auto"/>
      </w:divBdr>
    </w:div>
    <w:div w:id="1051923100">
      <w:bodyDiv w:val="1"/>
      <w:marLeft w:val="0"/>
      <w:marRight w:val="0"/>
      <w:marTop w:val="0"/>
      <w:marBottom w:val="0"/>
      <w:divBdr>
        <w:top w:val="none" w:sz="0" w:space="0" w:color="auto"/>
        <w:left w:val="none" w:sz="0" w:space="0" w:color="auto"/>
        <w:bottom w:val="none" w:sz="0" w:space="0" w:color="auto"/>
        <w:right w:val="none" w:sz="0" w:space="0" w:color="auto"/>
      </w:divBdr>
    </w:div>
    <w:div w:id="1055617748">
      <w:bodyDiv w:val="1"/>
      <w:marLeft w:val="0"/>
      <w:marRight w:val="0"/>
      <w:marTop w:val="0"/>
      <w:marBottom w:val="0"/>
      <w:divBdr>
        <w:top w:val="none" w:sz="0" w:space="0" w:color="auto"/>
        <w:left w:val="none" w:sz="0" w:space="0" w:color="auto"/>
        <w:bottom w:val="none" w:sz="0" w:space="0" w:color="auto"/>
        <w:right w:val="none" w:sz="0" w:space="0" w:color="auto"/>
      </w:divBdr>
    </w:div>
    <w:div w:id="1092705068">
      <w:bodyDiv w:val="1"/>
      <w:marLeft w:val="0"/>
      <w:marRight w:val="0"/>
      <w:marTop w:val="0"/>
      <w:marBottom w:val="0"/>
      <w:divBdr>
        <w:top w:val="none" w:sz="0" w:space="0" w:color="auto"/>
        <w:left w:val="none" w:sz="0" w:space="0" w:color="auto"/>
        <w:bottom w:val="none" w:sz="0" w:space="0" w:color="auto"/>
        <w:right w:val="none" w:sz="0" w:space="0" w:color="auto"/>
      </w:divBdr>
    </w:div>
    <w:div w:id="1134983555">
      <w:bodyDiv w:val="1"/>
      <w:marLeft w:val="0"/>
      <w:marRight w:val="0"/>
      <w:marTop w:val="0"/>
      <w:marBottom w:val="0"/>
      <w:divBdr>
        <w:top w:val="none" w:sz="0" w:space="0" w:color="auto"/>
        <w:left w:val="none" w:sz="0" w:space="0" w:color="auto"/>
        <w:bottom w:val="none" w:sz="0" w:space="0" w:color="auto"/>
        <w:right w:val="none" w:sz="0" w:space="0" w:color="auto"/>
      </w:divBdr>
    </w:div>
    <w:div w:id="1393623629">
      <w:bodyDiv w:val="1"/>
      <w:marLeft w:val="0"/>
      <w:marRight w:val="0"/>
      <w:marTop w:val="0"/>
      <w:marBottom w:val="0"/>
      <w:divBdr>
        <w:top w:val="none" w:sz="0" w:space="0" w:color="auto"/>
        <w:left w:val="none" w:sz="0" w:space="0" w:color="auto"/>
        <w:bottom w:val="none" w:sz="0" w:space="0" w:color="auto"/>
        <w:right w:val="none" w:sz="0" w:space="0" w:color="auto"/>
      </w:divBdr>
    </w:div>
    <w:div w:id="1573663310">
      <w:bodyDiv w:val="1"/>
      <w:marLeft w:val="0"/>
      <w:marRight w:val="0"/>
      <w:marTop w:val="0"/>
      <w:marBottom w:val="0"/>
      <w:divBdr>
        <w:top w:val="none" w:sz="0" w:space="0" w:color="auto"/>
        <w:left w:val="none" w:sz="0" w:space="0" w:color="auto"/>
        <w:bottom w:val="none" w:sz="0" w:space="0" w:color="auto"/>
        <w:right w:val="none" w:sz="0" w:space="0" w:color="auto"/>
      </w:divBdr>
    </w:div>
    <w:div w:id="1764258879">
      <w:bodyDiv w:val="1"/>
      <w:marLeft w:val="0"/>
      <w:marRight w:val="0"/>
      <w:marTop w:val="0"/>
      <w:marBottom w:val="0"/>
      <w:divBdr>
        <w:top w:val="none" w:sz="0" w:space="0" w:color="auto"/>
        <w:left w:val="none" w:sz="0" w:space="0" w:color="auto"/>
        <w:bottom w:val="none" w:sz="0" w:space="0" w:color="auto"/>
        <w:right w:val="none" w:sz="0" w:space="0" w:color="auto"/>
      </w:divBdr>
    </w:div>
    <w:div w:id="1823422574">
      <w:bodyDiv w:val="1"/>
      <w:marLeft w:val="0"/>
      <w:marRight w:val="0"/>
      <w:marTop w:val="0"/>
      <w:marBottom w:val="0"/>
      <w:divBdr>
        <w:top w:val="none" w:sz="0" w:space="0" w:color="auto"/>
        <w:left w:val="none" w:sz="0" w:space="0" w:color="auto"/>
        <w:bottom w:val="none" w:sz="0" w:space="0" w:color="auto"/>
        <w:right w:val="none" w:sz="0" w:space="0" w:color="auto"/>
      </w:divBdr>
    </w:div>
    <w:div w:id="1926722959">
      <w:bodyDiv w:val="1"/>
      <w:marLeft w:val="0"/>
      <w:marRight w:val="0"/>
      <w:marTop w:val="0"/>
      <w:marBottom w:val="0"/>
      <w:divBdr>
        <w:top w:val="none" w:sz="0" w:space="0" w:color="auto"/>
        <w:left w:val="none" w:sz="0" w:space="0" w:color="auto"/>
        <w:bottom w:val="none" w:sz="0" w:space="0" w:color="auto"/>
        <w:right w:val="none" w:sz="0" w:space="0" w:color="auto"/>
      </w:divBdr>
    </w:div>
    <w:div w:id="1938558624">
      <w:bodyDiv w:val="1"/>
      <w:marLeft w:val="0"/>
      <w:marRight w:val="0"/>
      <w:marTop w:val="0"/>
      <w:marBottom w:val="0"/>
      <w:divBdr>
        <w:top w:val="none" w:sz="0" w:space="0" w:color="auto"/>
        <w:left w:val="none" w:sz="0" w:space="0" w:color="auto"/>
        <w:bottom w:val="none" w:sz="0" w:space="0" w:color="auto"/>
        <w:right w:val="none" w:sz="0" w:space="0" w:color="auto"/>
      </w:divBdr>
    </w:div>
    <w:div w:id="1962880415">
      <w:bodyDiv w:val="1"/>
      <w:marLeft w:val="0"/>
      <w:marRight w:val="0"/>
      <w:marTop w:val="0"/>
      <w:marBottom w:val="0"/>
      <w:divBdr>
        <w:top w:val="none" w:sz="0" w:space="0" w:color="auto"/>
        <w:left w:val="none" w:sz="0" w:space="0" w:color="auto"/>
        <w:bottom w:val="none" w:sz="0" w:space="0" w:color="auto"/>
        <w:right w:val="none" w:sz="0" w:space="0" w:color="auto"/>
      </w:divBdr>
    </w:div>
    <w:div w:id="2082941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psmember.org/"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8.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rgbClr val="009DE0"/>
                </a:solidFill>
              </a:defRPr>
            </a:pPr>
            <a:r>
              <a:rPr lang="en-US"/>
              <a:t>80%</a:t>
            </a:r>
          </a:p>
          <a:p>
            <a:pPr>
              <a:defRPr>
                <a:solidFill>
                  <a:srgbClr val="009DE0"/>
                </a:solidFill>
              </a:defRPr>
            </a:pPr>
            <a:r>
              <a:rPr lang="en-US"/>
              <a:t>Funded</a:t>
            </a:r>
          </a:p>
        </c:rich>
      </c:tx>
      <c:layout>
        <c:manualLayout>
          <c:xMode val="edge"/>
          <c:yMode val="edge"/>
          <c:x val="0.7991554339605853"/>
          <c:y val="0.37962962962962965"/>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472492844210827"/>
          <c:y val="5.1400554097404488E-2"/>
          <c:w val="0.64485522993700384"/>
          <c:h val="0.79982830271216099"/>
        </c:manualLayout>
      </c:layout>
      <c:bar3DChart>
        <c:barDir val="col"/>
        <c:grouping val="clustered"/>
        <c:varyColors val="0"/>
        <c:ser>
          <c:idx val="0"/>
          <c:order val="0"/>
          <c:invertIfNegative val="0"/>
          <c:dPt>
            <c:idx val="0"/>
            <c:invertIfNegative val="0"/>
            <c:bubble3D val="0"/>
            <c:spPr>
              <a:solidFill>
                <a:srgbClr val="009DE0"/>
              </a:solidFill>
            </c:spPr>
            <c:extLst>
              <c:ext xmlns:c16="http://schemas.microsoft.com/office/drawing/2014/chart" uri="{C3380CC4-5D6E-409C-BE32-E72D297353CC}">
                <c16:uniqueId val="{00000001-7648-4E0E-A83B-4DF96002A462}"/>
              </c:ext>
            </c:extLst>
          </c:dPt>
          <c:dPt>
            <c:idx val="1"/>
            <c:invertIfNegative val="0"/>
            <c:bubble3D val="0"/>
            <c:spPr>
              <a:solidFill>
                <a:srgbClr val="B2025B"/>
              </a:solidFill>
            </c:spPr>
            <c:extLst>
              <c:ext xmlns:c16="http://schemas.microsoft.com/office/drawing/2014/chart" uri="{C3380CC4-5D6E-409C-BE32-E72D297353CC}">
                <c16:uniqueId val="{00000003-7648-4E0E-A83B-4DF96002A462}"/>
              </c:ext>
            </c:extLst>
          </c:dPt>
          <c:dPt>
            <c:idx val="2"/>
            <c:invertIfNegative val="0"/>
            <c:bubble3D val="0"/>
            <c:spPr>
              <a:solidFill>
                <a:srgbClr val="00AC41"/>
              </a:solidFill>
            </c:spPr>
            <c:extLst>
              <c:ext xmlns:c16="http://schemas.microsoft.com/office/drawing/2014/chart" uri="{C3380CC4-5D6E-409C-BE32-E72D297353CC}">
                <c16:uniqueId val="{00000005-7648-4E0E-A83B-4DF96002A462}"/>
              </c:ext>
            </c:extLst>
          </c:dPt>
          <c:dLbls>
            <c:dLbl>
              <c:idx val="0"/>
              <c:layout>
                <c:manualLayout>
                  <c:x val="2.1294191824330771E-2"/>
                  <c:y val="-5.0925925925925923E-2"/>
                </c:manualLayout>
              </c:layout>
              <c:tx>
                <c:rich>
                  <a:bodyPr/>
                  <a:lstStyle/>
                  <a:p>
                    <a:r>
                      <a:rPr lang="en-US"/>
                      <a:t> </a:t>
                    </a:r>
                    <a:r>
                      <a:rPr lang="en-US" b="1"/>
                      <a:t>£924m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48-4E0E-A83B-4DF96002A462}"/>
                </c:ext>
              </c:extLst>
            </c:dLbl>
            <c:dLbl>
              <c:idx val="1"/>
              <c:layout>
                <c:manualLayout>
                  <c:x val="2.6539313962629374E-2"/>
                  <c:y val="-3.7037037037037035E-2"/>
                </c:manualLayout>
              </c:layout>
              <c:tx>
                <c:rich>
                  <a:bodyPr/>
                  <a:lstStyle/>
                  <a:p>
                    <a:r>
                      <a:rPr lang="en-US"/>
                      <a:t> </a:t>
                    </a:r>
                    <a:r>
                      <a:rPr lang="en-US" b="1"/>
                      <a:t>£1,158m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48-4E0E-A83B-4DF96002A462}"/>
                </c:ext>
              </c:extLst>
            </c:dLbl>
            <c:dLbl>
              <c:idx val="2"/>
              <c:layout>
                <c:manualLayout>
                  <c:x val="2.8933086731294019E-2"/>
                  <c:y val="-3.2407407407407406E-2"/>
                </c:manualLayout>
              </c:layout>
              <c:tx>
                <c:rich>
                  <a:bodyPr/>
                  <a:lstStyle/>
                  <a:p>
                    <a:r>
                      <a:rPr lang="en-US"/>
                      <a:t> </a:t>
                    </a:r>
                    <a:r>
                      <a:rPr lang="en-US" b="1"/>
                      <a:t>£234m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48-4E0E-A83B-4DF96002A46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'[ExS_SFL_001_Generate charts for actuary''s statement (003).xlsx]Sheet1'!$B$26:$B$28</c:f>
              <c:strCache>
                <c:ptCount val="3"/>
                <c:pt idx="0">
                  <c:v>Assets</c:v>
                </c:pt>
                <c:pt idx="1">
                  <c:v>Liabilities</c:v>
                </c:pt>
                <c:pt idx="2">
                  <c:v>Deficit</c:v>
                </c:pt>
              </c:strCache>
            </c:strRef>
          </c:cat>
          <c:val>
            <c:numRef>
              <c:f>'[ExS_SFL_001_Generate charts for actuary''s statement (003).xlsx]Sheet1'!$C$26:$C$28</c:f>
              <c:numCache>
                <c:formatCode>_-* #,##0_-;\-* #,##0_-;_-*0??_-;_-@_-</c:formatCode>
                <c:ptCount val="3"/>
                <c:pt idx="0">
                  <c:v>924</c:v>
                </c:pt>
                <c:pt idx="1">
                  <c:v>1157</c:v>
                </c:pt>
                <c:pt idx="2" formatCode="_-* #,##0.0_-;\-* #,##0.0_-;_-*0??_-;_-@_-">
                  <c:v>233</c:v>
                </c:pt>
              </c:numCache>
            </c:numRef>
          </c:val>
          <c:extLst>
            <c:ext xmlns:c16="http://schemas.microsoft.com/office/drawing/2014/chart" uri="{C3380CC4-5D6E-409C-BE32-E72D297353CC}">
              <c16:uniqueId val="{00000006-7648-4E0E-A83B-4DF96002A462}"/>
            </c:ext>
          </c:extLst>
        </c:ser>
        <c:dLbls>
          <c:showLegendKey val="0"/>
          <c:showVal val="1"/>
          <c:showCatName val="0"/>
          <c:showSerName val="0"/>
          <c:showPercent val="0"/>
          <c:showBubbleSize val="0"/>
        </c:dLbls>
        <c:gapWidth val="75"/>
        <c:shape val="box"/>
        <c:axId val="407476864"/>
        <c:axId val="407615744"/>
        <c:axId val="0"/>
      </c:bar3DChart>
      <c:catAx>
        <c:axId val="407476864"/>
        <c:scaling>
          <c:orientation val="minMax"/>
        </c:scaling>
        <c:delete val="0"/>
        <c:axPos val="b"/>
        <c:numFmt formatCode="General" sourceLinked="0"/>
        <c:majorTickMark val="none"/>
        <c:minorTickMark val="none"/>
        <c:tickLblPos val="nextTo"/>
        <c:crossAx val="407615744"/>
        <c:crosses val="autoZero"/>
        <c:auto val="1"/>
        <c:lblAlgn val="ctr"/>
        <c:lblOffset val="100"/>
        <c:noMultiLvlLbl val="0"/>
      </c:catAx>
      <c:valAx>
        <c:axId val="407615744"/>
        <c:scaling>
          <c:orientation val="minMax"/>
        </c:scaling>
        <c:delete val="0"/>
        <c:axPos val="l"/>
        <c:title>
          <c:tx>
            <c:rich>
              <a:bodyPr rot="0" vert="horz"/>
              <a:lstStyle/>
              <a:p>
                <a:pPr>
                  <a:defRPr/>
                </a:pPr>
                <a:r>
                  <a:rPr lang="en-GB"/>
                  <a:t>(£m)</a:t>
                </a:r>
              </a:p>
            </c:rich>
          </c:tx>
          <c:layout>
            <c:manualLayout>
              <c:xMode val="edge"/>
              <c:yMode val="edge"/>
              <c:x val="7.0338983050847468E-3"/>
              <c:y val="0.4332691746864975"/>
            </c:manualLayout>
          </c:layout>
          <c:overlay val="0"/>
        </c:title>
        <c:numFmt formatCode="_-* #,##0_-;\-* #,##0_-;_-*0??_-;_-@_-" sourceLinked="1"/>
        <c:majorTickMark val="none"/>
        <c:minorTickMark val="none"/>
        <c:tickLblPos val="nextTo"/>
        <c:crossAx val="407476864"/>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7335-DD54-4560-8FED-DD5EB863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7025</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Worth</dc:creator>
  <cp:lastModifiedBy>Debbie Drew</cp:lastModifiedBy>
  <cp:revision>2</cp:revision>
  <cp:lastPrinted>2020-04-10T21:16:00Z</cp:lastPrinted>
  <dcterms:created xsi:type="dcterms:W3CDTF">2020-11-30T15:40:00Z</dcterms:created>
  <dcterms:modified xsi:type="dcterms:W3CDTF">2020-11-30T15:40:00Z</dcterms:modified>
</cp:coreProperties>
</file>