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920D" w14:textId="77777777" w:rsidR="000671DC" w:rsidRPr="000671DC" w:rsidRDefault="000671DC" w:rsidP="000671DC">
      <w:pPr>
        <w:spacing w:after="200" w:line="276" w:lineRule="auto"/>
        <w:jc w:val="center"/>
        <w:rPr>
          <w:rFonts w:ascii="Verdana" w:eastAsia="Calibri" w:hAnsi="Verdana" w:cs="Times New Roman"/>
          <w:b/>
          <w:sz w:val="32"/>
          <w:szCs w:val="32"/>
        </w:rPr>
      </w:pPr>
      <w:r w:rsidRPr="000671DC">
        <w:rPr>
          <w:rFonts w:ascii="Verdana" w:eastAsia="Calibri" w:hAnsi="Verdana" w:cs="Times New Roman"/>
          <w:b/>
          <w:sz w:val="32"/>
          <w:szCs w:val="32"/>
        </w:rPr>
        <w:t xml:space="preserve">Waltham Forest Local Plan LP1 </w:t>
      </w:r>
    </w:p>
    <w:p w14:paraId="0D0CD524" w14:textId="6632F740" w:rsidR="000671DC" w:rsidRPr="000671DC" w:rsidRDefault="000671DC" w:rsidP="000671DC">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 xml:space="preserve">Examination Hearing Day </w:t>
      </w:r>
      <w:r w:rsidR="00C8007A">
        <w:rPr>
          <w:rFonts w:ascii="Verdana" w:eastAsia="Calibri" w:hAnsi="Verdana" w:cs="Times New Roman"/>
          <w:b/>
          <w:sz w:val="24"/>
          <w:szCs w:val="24"/>
        </w:rPr>
        <w:t>4</w:t>
      </w:r>
      <w:r w:rsidRPr="000671DC">
        <w:rPr>
          <w:rFonts w:ascii="Verdana" w:eastAsia="Calibri" w:hAnsi="Verdana" w:cs="Times New Roman"/>
          <w:b/>
          <w:sz w:val="24"/>
          <w:szCs w:val="24"/>
        </w:rPr>
        <w:t xml:space="preserve"> </w:t>
      </w:r>
      <w:r w:rsidR="00C8007A">
        <w:rPr>
          <w:rFonts w:ascii="Verdana" w:eastAsia="Calibri" w:hAnsi="Verdana" w:cs="Times New Roman"/>
          <w:b/>
          <w:sz w:val="24"/>
          <w:szCs w:val="24"/>
        </w:rPr>
        <w:t>–</w:t>
      </w:r>
      <w:r w:rsidRPr="000671DC">
        <w:rPr>
          <w:rFonts w:ascii="Verdana" w:eastAsia="Calibri" w:hAnsi="Verdana" w:cs="Times New Roman"/>
          <w:b/>
          <w:sz w:val="24"/>
          <w:szCs w:val="24"/>
        </w:rPr>
        <w:t xml:space="preserve"> </w:t>
      </w:r>
      <w:r w:rsidR="00BA0B3B">
        <w:rPr>
          <w:rFonts w:ascii="Verdana" w:eastAsia="Calibri" w:hAnsi="Verdana" w:cs="Times New Roman"/>
          <w:b/>
          <w:sz w:val="24"/>
          <w:szCs w:val="24"/>
        </w:rPr>
        <w:t xml:space="preserve">Matter 5 </w:t>
      </w:r>
    </w:p>
    <w:p w14:paraId="40598671" w14:textId="7356571A" w:rsidR="000671DC" w:rsidRPr="000671DC" w:rsidRDefault="000671DC" w:rsidP="000671DC">
      <w:pPr>
        <w:spacing w:after="200" w:line="276" w:lineRule="auto"/>
        <w:jc w:val="center"/>
        <w:rPr>
          <w:rFonts w:ascii="Verdana" w:eastAsia="Calibri" w:hAnsi="Verdana" w:cs="Times New Roman"/>
          <w:sz w:val="24"/>
          <w:szCs w:val="24"/>
        </w:rPr>
      </w:pPr>
      <w:r w:rsidRPr="000671DC">
        <w:rPr>
          <w:rFonts w:ascii="Verdana" w:eastAsia="Calibri" w:hAnsi="Verdana" w:cs="Times New Roman"/>
          <w:sz w:val="24"/>
          <w:szCs w:val="24"/>
        </w:rPr>
        <w:t>T</w:t>
      </w:r>
      <w:r w:rsidR="003A34FB">
        <w:rPr>
          <w:rFonts w:ascii="Verdana" w:eastAsia="Calibri" w:hAnsi="Verdana" w:cs="Times New Roman"/>
          <w:sz w:val="24"/>
          <w:szCs w:val="24"/>
        </w:rPr>
        <w:t>uesday 22</w:t>
      </w:r>
      <w:r w:rsidRPr="000671DC">
        <w:rPr>
          <w:rFonts w:ascii="Verdana" w:eastAsia="Calibri" w:hAnsi="Verdana" w:cs="Times New Roman"/>
          <w:sz w:val="24"/>
          <w:szCs w:val="24"/>
        </w:rPr>
        <w:t xml:space="preserve"> March 2022 starting at 2.00pm</w:t>
      </w:r>
    </w:p>
    <w:p w14:paraId="710A7879" w14:textId="7CC229A1" w:rsidR="003A34FB" w:rsidRPr="000671DC" w:rsidRDefault="000671DC" w:rsidP="00395A4A">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Agenda</w:t>
      </w:r>
    </w:p>
    <w:tbl>
      <w:tblPr>
        <w:tblStyle w:val="TableGrid"/>
        <w:tblW w:w="0" w:type="auto"/>
        <w:tblLook w:val="04A0" w:firstRow="1" w:lastRow="0" w:firstColumn="1" w:lastColumn="0" w:noHBand="0" w:noVBand="1"/>
      </w:tblPr>
      <w:tblGrid>
        <w:gridCol w:w="9016"/>
      </w:tblGrid>
      <w:tr w:rsidR="000671DC" w:rsidRPr="000671DC" w14:paraId="37D40D57" w14:textId="77777777" w:rsidTr="530A90E4">
        <w:tc>
          <w:tcPr>
            <w:tcW w:w="9016" w:type="dxa"/>
          </w:tcPr>
          <w:p w14:paraId="7913F88F" w14:textId="77777777" w:rsidR="000671DC" w:rsidRPr="000671DC" w:rsidRDefault="000671DC" w:rsidP="530A90E4">
            <w:pPr>
              <w:rPr>
                <w:rFonts w:eastAsia="Calibri" w:cs="Times New Roman"/>
                <w:sz w:val="24"/>
                <w:szCs w:val="24"/>
              </w:rPr>
            </w:pPr>
            <w:r w:rsidRPr="530A90E4">
              <w:rPr>
                <w:rFonts w:eastAsia="Calibri" w:cs="Times New Roman"/>
                <w:sz w:val="24"/>
                <w:szCs w:val="24"/>
              </w:rPr>
              <w:t>Please Note:</w:t>
            </w:r>
          </w:p>
          <w:p w14:paraId="0E336E41" w14:textId="77777777" w:rsidR="000671DC" w:rsidRPr="000671DC" w:rsidRDefault="000671DC" w:rsidP="530A90E4">
            <w:pPr>
              <w:rPr>
                <w:rFonts w:eastAsia="Calibri" w:cs="Times New Roman"/>
                <w:sz w:val="24"/>
                <w:szCs w:val="24"/>
              </w:rPr>
            </w:pPr>
          </w:p>
          <w:p w14:paraId="66196118" w14:textId="77777777" w:rsidR="000671DC" w:rsidRPr="000671DC" w:rsidRDefault="000671DC" w:rsidP="530A90E4">
            <w:pPr>
              <w:numPr>
                <w:ilvl w:val="0"/>
                <w:numId w:val="5"/>
              </w:numPr>
              <w:contextualSpacing/>
              <w:rPr>
                <w:rFonts w:eastAsia="Calibri" w:cs="Times New Roman"/>
                <w:sz w:val="24"/>
                <w:szCs w:val="24"/>
              </w:rPr>
            </w:pPr>
            <w:r w:rsidRPr="530A90E4">
              <w:rPr>
                <w:rFonts w:eastAsia="Calibri" w:cs="Times New Roman"/>
                <w:sz w:val="24"/>
                <w:szCs w:val="24"/>
              </w:rPr>
              <w:t>All participants are encouraged to familiarise themselves with the Hearing Statements (and any relevant evidence) produced by the Council and other parties in respect of the matters addressed at this session.  These are available on the examination website.</w:t>
            </w:r>
          </w:p>
          <w:p w14:paraId="76AEB95F" w14:textId="77777777" w:rsidR="000671DC" w:rsidRPr="000671DC" w:rsidRDefault="000671DC" w:rsidP="530A90E4">
            <w:pPr>
              <w:ind w:left="360"/>
              <w:contextualSpacing/>
              <w:rPr>
                <w:rFonts w:eastAsia="Calibri" w:cs="Times New Roman"/>
                <w:sz w:val="24"/>
                <w:szCs w:val="24"/>
              </w:rPr>
            </w:pPr>
          </w:p>
          <w:p w14:paraId="280A61AE" w14:textId="460CB706" w:rsidR="000671DC" w:rsidRPr="000671DC" w:rsidRDefault="05DEB825" w:rsidP="530A90E4">
            <w:pPr>
              <w:numPr>
                <w:ilvl w:val="0"/>
                <w:numId w:val="5"/>
              </w:numPr>
              <w:contextualSpacing/>
              <w:rPr>
                <w:rFonts w:eastAsia="Calibri" w:cs="Times New Roman"/>
                <w:sz w:val="24"/>
                <w:szCs w:val="24"/>
              </w:rPr>
            </w:pPr>
            <w:r w:rsidRPr="530A90E4">
              <w:rPr>
                <w:rFonts w:eastAsia="Calibri" w:cs="Times New Roman"/>
                <w:sz w:val="24"/>
                <w:szCs w:val="24"/>
              </w:rPr>
              <w:t>The Matters, Issues and Questions are attached for ease of reference.</w:t>
            </w:r>
            <w:r w:rsidR="000671DC" w:rsidRPr="530A90E4">
              <w:rPr>
                <w:rFonts w:eastAsia="Calibri" w:cs="Times New Roman"/>
                <w:sz w:val="24"/>
                <w:szCs w:val="24"/>
              </w:rPr>
              <w:t xml:space="preserve">  The areas for discussion relate to points on which the Inspectors require further information or clarification.</w:t>
            </w:r>
          </w:p>
          <w:p w14:paraId="315226E7" w14:textId="77777777" w:rsidR="000671DC" w:rsidRPr="000671DC" w:rsidRDefault="000671DC" w:rsidP="530A90E4">
            <w:pPr>
              <w:ind w:left="720"/>
              <w:contextualSpacing/>
              <w:rPr>
                <w:rFonts w:eastAsia="Calibri" w:cs="Times New Roman"/>
                <w:sz w:val="24"/>
                <w:szCs w:val="24"/>
              </w:rPr>
            </w:pPr>
          </w:p>
          <w:p w14:paraId="4188CAAC" w14:textId="42FE7B89" w:rsidR="000671DC" w:rsidRPr="00C05B66" w:rsidRDefault="000671DC" w:rsidP="000671DC">
            <w:pPr>
              <w:numPr>
                <w:ilvl w:val="0"/>
                <w:numId w:val="5"/>
              </w:numPr>
              <w:contextualSpacing/>
              <w:rPr>
                <w:rFonts w:eastAsia="Calibri" w:cs="Times New Roman"/>
              </w:rPr>
            </w:pPr>
            <w:r w:rsidRPr="530A90E4">
              <w:rPr>
                <w:rFonts w:eastAsia="Calibri" w:cs="Times New Roman"/>
                <w:sz w:val="24"/>
                <w:szCs w:val="24"/>
              </w:rPr>
              <w:t>The afternoon hearing session will finish by 5pm, including a mid-afternoon break.</w:t>
            </w:r>
            <w:r w:rsidRPr="530A90E4">
              <w:rPr>
                <w:rFonts w:eastAsia="Calibri" w:cs="Times New Roman"/>
              </w:rPr>
              <w:t xml:space="preserve"> </w:t>
            </w:r>
          </w:p>
        </w:tc>
      </w:tr>
    </w:tbl>
    <w:p w14:paraId="75B5D5C1" w14:textId="77777777" w:rsidR="004B3FD1" w:rsidRPr="004B3FD1" w:rsidRDefault="004B3FD1" w:rsidP="003A34FB">
      <w:pPr>
        <w:spacing w:after="200" w:line="276" w:lineRule="auto"/>
        <w:rPr>
          <w:rFonts w:ascii="Verdana" w:eastAsia="Calibri" w:hAnsi="Verdana" w:cs="Times New Roman"/>
          <w:b/>
          <w:bCs/>
        </w:rPr>
      </w:pPr>
    </w:p>
    <w:p w14:paraId="525ED0EA" w14:textId="1A817E39" w:rsidR="000671DC" w:rsidRDefault="000671DC" w:rsidP="530A90E4">
      <w:pPr>
        <w:numPr>
          <w:ilvl w:val="0"/>
          <w:numId w:val="6"/>
        </w:numPr>
        <w:spacing w:after="200" w:line="276" w:lineRule="auto"/>
        <w:contextualSpacing/>
        <w:rPr>
          <w:rFonts w:ascii="Verdana" w:eastAsia="Calibri" w:hAnsi="Verdana" w:cs="Times New Roman"/>
          <w:b/>
          <w:bCs/>
          <w:sz w:val="24"/>
          <w:szCs w:val="24"/>
        </w:rPr>
      </w:pPr>
      <w:r w:rsidRPr="530A90E4">
        <w:rPr>
          <w:rFonts w:ascii="Verdana" w:eastAsia="Calibri" w:hAnsi="Verdana" w:cs="Times New Roman"/>
          <w:b/>
          <w:bCs/>
          <w:sz w:val="24"/>
          <w:szCs w:val="24"/>
        </w:rPr>
        <w:t>Inspectors’ Welcome and Introductions (5-10 minutes)</w:t>
      </w:r>
    </w:p>
    <w:p w14:paraId="74D402AE" w14:textId="77777777" w:rsidR="000671DC" w:rsidRDefault="000671DC" w:rsidP="530A90E4">
      <w:pPr>
        <w:spacing w:after="200" w:line="276" w:lineRule="auto"/>
        <w:ind w:left="360"/>
        <w:contextualSpacing/>
        <w:rPr>
          <w:rFonts w:ascii="Verdana" w:eastAsia="Calibri" w:hAnsi="Verdana" w:cs="Times New Roman"/>
          <w:b/>
          <w:bCs/>
          <w:sz w:val="24"/>
          <w:szCs w:val="24"/>
        </w:rPr>
      </w:pPr>
    </w:p>
    <w:p w14:paraId="1EA93C69" w14:textId="17D35062" w:rsidR="003A34FB" w:rsidRDefault="003A34FB" w:rsidP="530A90E4">
      <w:pPr>
        <w:numPr>
          <w:ilvl w:val="0"/>
          <w:numId w:val="6"/>
        </w:numPr>
        <w:spacing w:after="0" w:line="240" w:lineRule="auto"/>
        <w:rPr>
          <w:rFonts w:ascii="Verdana" w:eastAsia="Calibri" w:hAnsi="Verdana" w:cs="Times New Roman"/>
          <w:b/>
          <w:bCs/>
          <w:sz w:val="24"/>
          <w:szCs w:val="24"/>
        </w:rPr>
      </w:pPr>
      <w:r w:rsidRPr="530A90E4">
        <w:rPr>
          <w:rFonts w:ascii="Verdana" w:eastAsia="Calibri" w:hAnsi="Verdana" w:cs="Times New Roman"/>
          <w:b/>
          <w:bCs/>
          <w:sz w:val="24"/>
          <w:szCs w:val="24"/>
        </w:rPr>
        <w:t>Matter 5: The Environment, Climate Change, Flood Risk, Pollution, and Waste Management</w:t>
      </w:r>
    </w:p>
    <w:p w14:paraId="7BADDDCC" w14:textId="3E474697" w:rsidR="7473B9AB" w:rsidRDefault="7473B9AB" w:rsidP="530A90E4">
      <w:pPr>
        <w:spacing w:after="0" w:line="240" w:lineRule="auto"/>
        <w:rPr>
          <w:rFonts w:ascii="Verdana" w:eastAsia="Calibri" w:hAnsi="Verdana" w:cs="Times New Roman"/>
          <w:b/>
          <w:bCs/>
          <w:sz w:val="24"/>
          <w:szCs w:val="24"/>
          <w:u w:val="single"/>
        </w:rPr>
      </w:pPr>
    </w:p>
    <w:p w14:paraId="7B0DCE70" w14:textId="7EB60DB1" w:rsidR="6D761630" w:rsidRDefault="6D761630" w:rsidP="530A90E4">
      <w:pPr>
        <w:spacing w:after="0" w:line="240" w:lineRule="auto"/>
        <w:rPr>
          <w:rFonts w:ascii="Verdana" w:eastAsia="Calibri" w:hAnsi="Verdana" w:cs="Times New Roman"/>
          <w:b/>
          <w:bCs/>
          <w:sz w:val="24"/>
          <w:szCs w:val="24"/>
        </w:rPr>
      </w:pPr>
      <w:r w:rsidRPr="530A90E4">
        <w:rPr>
          <w:rFonts w:ascii="Verdana" w:eastAsia="Calibri" w:hAnsi="Verdana" w:cs="Times New Roman"/>
          <w:b/>
          <w:bCs/>
          <w:sz w:val="24"/>
          <w:szCs w:val="24"/>
        </w:rPr>
        <w:t>Key Documents</w:t>
      </w:r>
    </w:p>
    <w:p w14:paraId="73FCC1D2" w14:textId="6A5C4354" w:rsidR="7473B9AB" w:rsidRDefault="7473B9AB" w:rsidP="530A90E4">
      <w:pPr>
        <w:spacing w:after="0" w:line="240" w:lineRule="auto"/>
        <w:rPr>
          <w:rFonts w:ascii="Verdana" w:eastAsia="Calibri" w:hAnsi="Verdana" w:cs="Times New Roman"/>
          <w:sz w:val="24"/>
          <w:szCs w:val="24"/>
        </w:rPr>
      </w:pPr>
    </w:p>
    <w:p w14:paraId="038F8352" w14:textId="3CC368EB" w:rsidR="63F68198" w:rsidRDefault="63F68198"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Habitats Regulation Assessment (KD5)</w:t>
      </w:r>
    </w:p>
    <w:p w14:paraId="5FF9A88D" w14:textId="716685E6" w:rsidR="3F861C4F" w:rsidRDefault="3F861C4F"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London Environment Strategy (EB8.3)</w:t>
      </w:r>
    </w:p>
    <w:p w14:paraId="6F588A5C" w14:textId="5E8725DE" w:rsidR="46DE78F6" w:rsidRDefault="46DE78F6"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Waltham Forest Open Space Needs Assessment (EB8.4)</w:t>
      </w:r>
    </w:p>
    <w:p w14:paraId="5C636414" w14:textId="1F133B59" w:rsidR="6DDC8CE3" w:rsidRDefault="6DDC8CE3"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Waltham Forest Green and Blue Infrastructure Strategy (EB</w:t>
      </w:r>
      <w:r w:rsidR="31FCD626" w:rsidRPr="530A90E4">
        <w:rPr>
          <w:rFonts w:ascii="Verdana" w:eastAsia="Calibri" w:hAnsi="Verdana" w:cs="Times New Roman"/>
          <w:sz w:val="24"/>
          <w:szCs w:val="24"/>
        </w:rPr>
        <w:t>8.10)</w:t>
      </w:r>
    </w:p>
    <w:p w14:paraId="4F2B345E" w14:textId="5CEF335A" w:rsidR="31FCD626" w:rsidRDefault="31FCD626"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 xml:space="preserve">Strategic Flood Risk Assessment </w:t>
      </w:r>
      <w:r w:rsidR="22CEC988" w:rsidRPr="530A90E4">
        <w:rPr>
          <w:rFonts w:ascii="Verdana" w:eastAsia="Calibri" w:hAnsi="Verdana" w:cs="Times New Roman"/>
          <w:sz w:val="24"/>
          <w:szCs w:val="24"/>
        </w:rPr>
        <w:t>L</w:t>
      </w:r>
      <w:r w:rsidRPr="530A90E4">
        <w:rPr>
          <w:rFonts w:ascii="Verdana" w:eastAsia="Calibri" w:hAnsi="Verdana" w:cs="Times New Roman"/>
          <w:sz w:val="24"/>
          <w:szCs w:val="24"/>
        </w:rPr>
        <w:t>evel 1 (EB</w:t>
      </w:r>
      <w:r w:rsidR="03C08392" w:rsidRPr="530A90E4">
        <w:rPr>
          <w:rFonts w:ascii="Verdana" w:eastAsia="Calibri" w:hAnsi="Verdana" w:cs="Times New Roman"/>
          <w:sz w:val="24"/>
          <w:szCs w:val="24"/>
        </w:rPr>
        <w:t>9)</w:t>
      </w:r>
    </w:p>
    <w:p w14:paraId="3D686DC1" w14:textId="2BD29480" w:rsidR="03C08392" w:rsidRDefault="03C08392"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 xml:space="preserve">Draft North London Waste Plan </w:t>
      </w:r>
      <w:r w:rsidR="5B7A9644" w:rsidRPr="530A90E4">
        <w:rPr>
          <w:rFonts w:ascii="Verdana" w:eastAsia="Calibri" w:hAnsi="Verdana" w:cs="Times New Roman"/>
          <w:sz w:val="24"/>
          <w:szCs w:val="24"/>
        </w:rPr>
        <w:t>(EB12.1)</w:t>
      </w:r>
    </w:p>
    <w:p w14:paraId="09A4E318" w14:textId="1E50B642" w:rsidR="5B7A9644" w:rsidRDefault="5B7A9644" w:rsidP="530A90E4">
      <w:pPr>
        <w:spacing w:after="0" w:line="240" w:lineRule="auto"/>
        <w:rPr>
          <w:rFonts w:ascii="Verdana" w:eastAsia="Calibri" w:hAnsi="Verdana" w:cs="Times New Roman"/>
          <w:sz w:val="24"/>
          <w:szCs w:val="24"/>
        </w:rPr>
      </w:pPr>
      <w:r w:rsidRPr="530A90E4">
        <w:rPr>
          <w:rFonts w:ascii="Verdana" w:eastAsia="Calibri" w:hAnsi="Verdana" w:cs="Times New Roman"/>
          <w:sz w:val="24"/>
          <w:szCs w:val="24"/>
        </w:rPr>
        <w:t>Air Quality Action Plan (EB13.9)</w:t>
      </w:r>
    </w:p>
    <w:p w14:paraId="0415415D" w14:textId="2DA2F5ED" w:rsidR="7473B9AB" w:rsidRDefault="7473B9AB" w:rsidP="530A90E4">
      <w:pPr>
        <w:spacing w:after="0" w:line="240" w:lineRule="auto"/>
        <w:rPr>
          <w:rFonts w:ascii="Verdana" w:eastAsia="Calibri" w:hAnsi="Verdana" w:cs="Times New Roman"/>
          <w:b/>
          <w:bCs/>
          <w:sz w:val="24"/>
          <w:szCs w:val="24"/>
        </w:rPr>
      </w:pPr>
    </w:p>
    <w:p w14:paraId="78FFAF1E" w14:textId="3033EB4F" w:rsidR="7473B9AB" w:rsidRDefault="7473B9AB" w:rsidP="7473B9AB">
      <w:pPr>
        <w:spacing w:after="0" w:line="240" w:lineRule="auto"/>
        <w:rPr>
          <w:rFonts w:ascii="Verdana" w:eastAsia="Calibri" w:hAnsi="Verdana" w:cs="Times New Roman"/>
          <w:b/>
          <w:bCs/>
        </w:rPr>
      </w:pPr>
    </w:p>
    <w:p w14:paraId="78797B17" w14:textId="1946C6C3" w:rsidR="000671DC" w:rsidRPr="000671DC" w:rsidRDefault="4E47148A" w:rsidP="530A90E4">
      <w:pPr>
        <w:spacing w:after="0" w:line="240" w:lineRule="auto"/>
        <w:contextualSpacing/>
        <w:rPr>
          <w:rFonts w:ascii="Verdana" w:eastAsia="Calibri" w:hAnsi="Verdana" w:cs="Times New Roman"/>
          <w:b/>
          <w:bCs/>
          <w:sz w:val="24"/>
          <w:szCs w:val="24"/>
        </w:rPr>
      </w:pPr>
      <w:r w:rsidRPr="530A90E4">
        <w:rPr>
          <w:rFonts w:ascii="Verdana" w:eastAsia="Calibri" w:hAnsi="Verdana" w:cs="Times New Roman"/>
          <w:b/>
          <w:bCs/>
          <w:sz w:val="24"/>
          <w:szCs w:val="24"/>
        </w:rPr>
        <w:t xml:space="preserve">Issue 1 - </w:t>
      </w:r>
      <w:r w:rsidR="7528E65D" w:rsidRPr="530A90E4">
        <w:rPr>
          <w:rFonts w:ascii="Verdana" w:eastAsia="Calibri" w:hAnsi="Verdana" w:cs="Times New Roman"/>
          <w:b/>
          <w:bCs/>
          <w:sz w:val="24"/>
          <w:szCs w:val="24"/>
        </w:rPr>
        <w:t>Whether the policies relating to the environment, climate change, flood risk, pollution, and waste management are positively prepared, justified, effective, consistent with national policy and in general conformity with the London Plan (Policies 79–95).</w:t>
      </w:r>
    </w:p>
    <w:p w14:paraId="36E35463" w14:textId="3E29B33D" w:rsidR="000671DC" w:rsidRDefault="000671DC" w:rsidP="530A90E4">
      <w:pPr>
        <w:spacing w:after="0" w:line="240" w:lineRule="auto"/>
        <w:rPr>
          <w:rFonts w:ascii="Verdana" w:eastAsia="Verdana" w:hAnsi="Verdana" w:cs="Verdana"/>
          <w:color w:val="FF0000"/>
          <w:sz w:val="24"/>
          <w:szCs w:val="24"/>
        </w:rPr>
      </w:pPr>
    </w:p>
    <w:p w14:paraId="698C46E9" w14:textId="77777777" w:rsidR="000671DC" w:rsidRPr="000671DC" w:rsidRDefault="000671DC" w:rsidP="530A90E4">
      <w:pPr>
        <w:spacing w:after="120" w:line="240" w:lineRule="auto"/>
        <w:rPr>
          <w:rFonts w:ascii="Verdana" w:eastAsia="Calibri" w:hAnsi="Verdana" w:cs="Times New Roman"/>
          <w:i/>
          <w:iCs/>
          <w:sz w:val="24"/>
          <w:szCs w:val="24"/>
        </w:rPr>
      </w:pPr>
      <w:bookmarkStart w:id="0" w:name="_Hlk96695674"/>
      <w:r w:rsidRPr="530A90E4">
        <w:rPr>
          <w:rFonts w:ascii="Verdana" w:eastAsia="Calibri" w:hAnsi="Verdana" w:cs="Times New Roman"/>
          <w:i/>
          <w:iCs/>
          <w:sz w:val="24"/>
          <w:szCs w:val="24"/>
        </w:rPr>
        <w:t>Key areas for discussion:</w:t>
      </w:r>
    </w:p>
    <w:p w14:paraId="458936E8" w14:textId="29B3B4A9" w:rsidR="000671DC" w:rsidRPr="004216A6" w:rsidRDefault="10F194D0"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lastRenderedPageBreak/>
        <w:t>S</w:t>
      </w:r>
      <w:r w:rsidR="6F73D60D" w:rsidRPr="530A90E4">
        <w:rPr>
          <w:rFonts w:ascii="Verdana" w:eastAsia="Calibri" w:hAnsi="Verdana" w:cs="Times New Roman"/>
          <w:sz w:val="24"/>
          <w:szCs w:val="24"/>
        </w:rPr>
        <w:t>afeguarding open space and recreation facilities (Policy 80)</w:t>
      </w:r>
      <w:r w:rsidR="4E47148A" w:rsidRPr="530A90E4">
        <w:rPr>
          <w:rFonts w:ascii="Verdana" w:eastAsia="Calibri" w:hAnsi="Verdana" w:cs="Times New Roman"/>
          <w:sz w:val="24"/>
          <w:szCs w:val="24"/>
        </w:rPr>
        <w:t xml:space="preserve"> (Question </w:t>
      </w:r>
      <w:r w:rsidR="09D995A0" w:rsidRPr="530A90E4">
        <w:rPr>
          <w:rFonts w:ascii="Verdana" w:eastAsia="Calibri" w:hAnsi="Verdana" w:cs="Times New Roman"/>
          <w:sz w:val="24"/>
          <w:szCs w:val="24"/>
        </w:rPr>
        <w:t>188</w:t>
      </w:r>
      <w:r w:rsidR="4E47148A" w:rsidRPr="530A90E4">
        <w:rPr>
          <w:rFonts w:ascii="Verdana" w:eastAsia="Calibri" w:hAnsi="Verdana" w:cs="Times New Roman"/>
          <w:sz w:val="24"/>
          <w:szCs w:val="24"/>
        </w:rPr>
        <w:t>)</w:t>
      </w:r>
    </w:p>
    <w:p w14:paraId="4C25617E" w14:textId="755BD0DB" w:rsidR="46DE78F6" w:rsidRDefault="46DE78F6" w:rsidP="530A90E4">
      <w:pPr>
        <w:spacing w:after="120" w:line="240" w:lineRule="auto"/>
        <w:ind w:left="360" w:hanging="360"/>
        <w:rPr>
          <w:rFonts w:ascii="Verdana" w:eastAsia="Verdana" w:hAnsi="Verdana" w:cs="Verdana"/>
          <w:b/>
          <w:bCs/>
          <w:color w:val="FF0000"/>
          <w:sz w:val="24"/>
          <w:szCs w:val="24"/>
        </w:rPr>
      </w:pPr>
    </w:p>
    <w:p w14:paraId="634E5955" w14:textId="7D983164" w:rsidR="46DE78F6" w:rsidRDefault="46DE78F6" w:rsidP="00C05B66">
      <w:pPr>
        <w:pStyle w:val="ListParagraph"/>
        <w:numPr>
          <w:ilvl w:val="0"/>
          <w:numId w:val="3"/>
        </w:numPr>
        <w:spacing w:after="120" w:line="240" w:lineRule="auto"/>
        <w:ind w:left="360"/>
        <w:rPr>
          <w:color w:val="000000" w:themeColor="text1"/>
          <w:sz w:val="24"/>
          <w:szCs w:val="24"/>
        </w:rPr>
      </w:pPr>
      <w:r w:rsidRPr="009BFE84">
        <w:rPr>
          <w:rFonts w:ascii="Verdana" w:eastAsia="Verdana" w:hAnsi="Verdana" w:cs="Verdana"/>
          <w:color w:val="000000" w:themeColor="text1"/>
          <w:sz w:val="24"/>
          <w:szCs w:val="24"/>
        </w:rPr>
        <w:t>The implications of the housing target for Habitats Sites (Question 105)</w:t>
      </w:r>
    </w:p>
    <w:p w14:paraId="18183751" w14:textId="279A89C3" w:rsidR="46DE78F6" w:rsidRDefault="46DE78F6" w:rsidP="530A90E4">
      <w:pPr>
        <w:spacing w:after="120" w:line="240" w:lineRule="auto"/>
        <w:ind w:left="360" w:hanging="360"/>
        <w:rPr>
          <w:rFonts w:ascii="Verdana" w:eastAsia="Verdana" w:hAnsi="Verdana" w:cs="Verdana"/>
          <w:color w:val="FF0000"/>
          <w:sz w:val="24"/>
          <w:szCs w:val="24"/>
        </w:rPr>
      </w:pPr>
    </w:p>
    <w:p w14:paraId="04AC6E55" w14:textId="5A3A8D4D" w:rsidR="46DE78F6" w:rsidRDefault="46DE78F6" w:rsidP="530A90E4">
      <w:pPr>
        <w:pStyle w:val="ListParagraph"/>
        <w:numPr>
          <w:ilvl w:val="0"/>
          <w:numId w:val="4"/>
        </w:numPr>
        <w:spacing w:after="120" w:line="240" w:lineRule="auto"/>
        <w:ind w:left="360"/>
        <w:rPr>
          <w:rFonts w:eastAsiaTheme="minorEastAsia"/>
          <w:sz w:val="24"/>
          <w:szCs w:val="24"/>
          <w:u w:val="single"/>
        </w:rPr>
      </w:pPr>
      <w:r w:rsidRPr="530A90E4">
        <w:rPr>
          <w:rFonts w:ascii="Verdana" w:eastAsia="Verdana" w:hAnsi="Verdana" w:cs="Verdana"/>
          <w:sz w:val="24"/>
          <w:szCs w:val="24"/>
        </w:rPr>
        <w:t>The approach to Biodiversity and Geodiversity (Policy 81) (Question 106)</w:t>
      </w:r>
    </w:p>
    <w:p w14:paraId="565ACDAA" w14:textId="1D5F66FB" w:rsidR="3FF6AC48" w:rsidRDefault="3FF6AC48" w:rsidP="530A90E4">
      <w:pPr>
        <w:spacing w:after="120" w:line="240" w:lineRule="auto"/>
        <w:ind w:left="360" w:hanging="360"/>
        <w:rPr>
          <w:rFonts w:ascii="Calibri" w:eastAsia="Calibri" w:hAnsi="Calibri" w:cs="Calibri"/>
          <w:color w:val="000000" w:themeColor="text1"/>
          <w:sz w:val="24"/>
          <w:szCs w:val="24"/>
        </w:rPr>
      </w:pPr>
    </w:p>
    <w:p w14:paraId="4CAB2639" w14:textId="79AA1E05" w:rsidR="46DE78F6" w:rsidRDefault="06157B1E" w:rsidP="530A90E4">
      <w:pPr>
        <w:pStyle w:val="ListParagraph"/>
        <w:numPr>
          <w:ilvl w:val="0"/>
          <w:numId w:val="2"/>
        </w:numPr>
        <w:spacing w:after="120" w:line="240" w:lineRule="auto"/>
        <w:ind w:left="360"/>
        <w:rPr>
          <w:rFonts w:eastAsiaTheme="minorEastAsia"/>
          <w:color w:val="000000" w:themeColor="text1"/>
          <w:sz w:val="24"/>
          <w:szCs w:val="24"/>
        </w:rPr>
      </w:pPr>
      <w:r w:rsidRPr="530A90E4">
        <w:rPr>
          <w:rFonts w:ascii="Verdana" w:eastAsia="Verdana" w:hAnsi="Verdana" w:cs="Verdana"/>
          <w:color w:val="000000" w:themeColor="text1"/>
          <w:sz w:val="24"/>
          <w:szCs w:val="24"/>
        </w:rPr>
        <w:t xml:space="preserve">Is Policy 82 (Trees) consistent with paragraph 131 of the NPPF in relation to the important contribution that trees make to urban environments? (Question 107) </w:t>
      </w:r>
    </w:p>
    <w:p w14:paraId="6080ACFA" w14:textId="1137D206" w:rsidR="009BFE84" w:rsidRDefault="009BFE84" w:rsidP="00C05B66">
      <w:pPr>
        <w:spacing w:after="120" w:line="240" w:lineRule="auto"/>
        <w:ind w:left="360" w:hanging="360"/>
        <w:rPr>
          <w:rFonts w:eastAsiaTheme="minorEastAsia"/>
          <w:color w:val="000000" w:themeColor="text1"/>
          <w:sz w:val="24"/>
          <w:szCs w:val="24"/>
        </w:rPr>
      </w:pPr>
    </w:p>
    <w:p w14:paraId="4CC57A05" w14:textId="120E3C0F" w:rsidR="3FF6AC48" w:rsidRDefault="06157B1E" w:rsidP="530A90E4">
      <w:pPr>
        <w:pStyle w:val="ListParagraph"/>
        <w:numPr>
          <w:ilvl w:val="0"/>
          <w:numId w:val="1"/>
        </w:numPr>
        <w:spacing w:after="120" w:line="240" w:lineRule="auto"/>
        <w:ind w:left="360"/>
        <w:rPr>
          <w:rFonts w:eastAsiaTheme="minorEastAsia"/>
          <w:color w:val="000000" w:themeColor="text1"/>
          <w:sz w:val="24"/>
          <w:szCs w:val="24"/>
        </w:rPr>
      </w:pPr>
      <w:r w:rsidRPr="530A90E4">
        <w:rPr>
          <w:rFonts w:ascii="Verdana" w:eastAsia="Verdana" w:hAnsi="Verdana" w:cs="Verdana"/>
          <w:color w:val="000000" w:themeColor="text1"/>
          <w:sz w:val="24"/>
          <w:szCs w:val="24"/>
        </w:rPr>
        <w:t>Allotments (Policy 86) (Question 108)</w:t>
      </w:r>
    </w:p>
    <w:p w14:paraId="58C676D7" w14:textId="1B3D30B1" w:rsidR="19595D3D" w:rsidRDefault="19595D3D" w:rsidP="530A90E4">
      <w:pPr>
        <w:spacing w:after="120" w:line="240" w:lineRule="auto"/>
        <w:ind w:left="360" w:hanging="360"/>
        <w:contextualSpacing/>
        <w:rPr>
          <w:rFonts w:ascii="Verdana" w:eastAsia="Calibri" w:hAnsi="Verdana" w:cs="Times New Roman"/>
          <w:sz w:val="24"/>
          <w:szCs w:val="24"/>
          <w:highlight w:val="yellow"/>
        </w:rPr>
      </w:pPr>
    </w:p>
    <w:p w14:paraId="22B377AC" w14:textId="5C15D8EF" w:rsidR="00B71F91" w:rsidRPr="00A1548B" w:rsidRDefault="004216A6"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t>Climate change (</w:t>
      </w:r>
      <w:r w:rsidR="000F65F7" w:rsidRPr="530A90E4">
        <w:rPr>
          <w:rFonts w:ascii="Verdana" w:eastAsia="Calibri" w:hAnsi="Verdana" w:cs="Times New Roman"/>
          <w:sz w:val="24"/>
          <w:szCs w:val="24"/>
        </w:rPr>
        <w:t xml:space="preserve">Focus on </w:t>
      </w:r>
      <w:r w:rsidRPr="530A90E4">
        <w:rPr>
          <w:rFonts w:ascii="Verdana" w:eastAsia="Calibri" w:hAnsi="Verdana" w:cs="Times New Roman"/>
          <w:sz w:val="24"/>
          <w:szCs w:val="24"/>
        </w:rPr>
        <w:t>Question</w:t>
      </w:r>
      <w:r w:rsidR="001228B1" w:rsidRPr="530A90E4">
        <w:rPr>
          <w:rFonts w:ascii="Verdana" w:eastAsia="Calibri" w:hAnsi="Verdana" w:cs="Times New Roman"/>
          <w:sz w:val="24"/>
          <w:szCs w:val="24"/>
        </w:rPr>
        <w:t>s</w:t>
      </w:r>
      <w:r w:rsidR="00050E3E" w:rsidRPr="530A90E4">
        <w:rPr>
          <w:rFonts w:ascii="Verdana" w:eastAsia="Calibri" w:hAnsi="Verdana" w:cs="Times New Roman"/>
          <w:sz w:val="24"/>
          <w:szCs w:val="24"/>
        </w:rPr>
        <w:t xml:space="preserve"> 109</w:t>
      </w:r>
      <w:r w:rsidR="000F65F7" w:rsidRPr="530A90E4">
        <w:rPr>
          <w:rFonts w:ascii="Verdana" w:eastAsia="Calibri" w:hAnsi="Verdana" w:cs="Times New Roman"/>
          <w:sz w:val="24"/>
          <w:szCs w:val="24"/>
        </w:rPr>
        <w:t>, 110</w:t>
      </w:r>
      <w:r w:rsidR="00FF39F1" w:rsidRPr="530A90E4">
        <w:rPr>
          <w:rFonts w:ascii="Verdana" w:eastAsia="Calibri" w:hAnsi="Verdana" w:cs="Times New Roman"/>
          <w:sz w:val="24"/>
          <w:szCs w:val="24"/>
        </w:rPr>
        <w:t>, 113</w:t>
      </w:r>
      <w:r w:rsidRPr="530A90E4">
        <w:rPr>
          <w:rFonts w:ascii="Verdana" w:eastAsia="Calibri" w:hAnsi="Verdana" w:cs="Times New Roman"/>
          <w:sz w:val="24"/>
          <w:szCs w:val="24"/>
        </w:rPr>
        <w:t>)</w:t>
      </w:r>
    </w:p>
    <w:p w14:paraId="7B1CB47F" w14:textId="77777777" w:rsidR="00B71F91" w:rsidRPr="00B71F91" w:rsidRDefault="00B71F91" w:rsidP="530A90E4">
      <w:pPr>
        <w:spacing w:after="120" w:line="240" w:lineRule="auto"/>
        <w:ind w:left="360" w:hanging="360"/>
        <w:contextualSpacing/>
        <w:rPr>
          <w:rFonts w:ascii="Verdana" w:eastAsia="Calibri" w:hAnsi="Verdana" w:cs="Times New Roman"/>
          <w:sz w:val="24"/>
          <w:szCs w:val="24"/>
        </w:rPr>
      </w:pPr>
    </w:p>
    <w:p w14:paraId="382A086F" w14:textId="050A4694" w:rsidR="004216A6" w:rsidRDefault="004216A6"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t xml:space="preserve">Flood risk (Question </w:t>
      </w:r>
      <w:r w:rsidR="00495F6F" w:rsidRPr="530A90E4">
        <w:rPr>
          <w:rFonts w:ascii="Verdana" w:eastAsia="Calibri" w:hAnsi="Verdana" w:cs="Times New Roman"/>
          <w:sz w:val="24"/>
          <w:szCs w:val="24"/>
        </w:rPr>
        <w:t>121</w:t>
      </w:r>
      <w:r w:rsidRPr="530A90E4">
        <w:rPr>
          <w:rFonts w:ascii="Verdana" w:eastAsia="Calibri" w:hAnsi="Verdana" w:cs="Times New Roman"/>
          <w:sz w:val="24"/>
          <w:szCs w:val="24"/>
        </w:rPr>
        <w:t>)</w:t>
      </w:r>
    </w:p>
    <w:p w14:paraId="038A1D75" w14:textId="77777777" w:rsidR="00FE3113" w:rsidRDefault="00FE3113" w:rsidP="530A90E4">
      <w:pPr>
        <w:spacing w:after="120" w:line="240" w:lineRule="auto"/>
        <w:ind w:left="360" w:hanging="360"/>
        <w:contextualSpacing/>
        <w:rPr>
          <w:rFonts w:ascii="Verdana" w:eastAsia="Calibri" w:hAnsi="Verdana" w:cs="Times New Roman"/>
          <w:sz w:val="24"/>
          <w:szCs w:val="24"/>
        </w:rPr>
      </w:pPr>
    </w:p>
    <w:p w14:paraId="74927887" w14:textId="77777777" w:rsidR="00FE3113" w:rsidRPr="00A67E7D" w:rsidRDefault="00FE3113" w:rsidP="530A90E4">
      <w:pPr>
        <w:spacing w:after="120" w:line="240" w:lineRule="auto"/>
        <w:ind w:left="360" w:hanging="360"/>
        <w:contextualSpacing/>
        <w:rPr>
          <w:rFonts w:ascii="Verdana" w:eastAsia="Calibri" w:hAnsi="Verdana" w:cs="Times New Roman"/>
          <w:sz w:val="24"/>
          <w:szCs w:val="24"/>
        </w:rPr>
      </w:pPr>
    </w:p>
    <w:p w14:paraId="4351FB48" w14:textId="6AF0F7CA" w:rsidR="004216A6" w:rsidRPr="004216A6" w:rsidRDefault="1399019D"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t xml:space="preserve">Air Pollution (Question 118) </w:t>
      </w:r>
    </w:p>
    <w:p w14:paraId="142BBB76" w14:textId="122A4EBD" w:rsidR="46DE78F6" w:rsidRDefault="46DE78F6" w:rsidP="530A90E4">
      <w:pPr>
        <w:spacing w:after="120" w:line="240" w:lineRule="auto"/>
        <w:ind w:left="360" w:hanging="360"/>
        <w:contextualSpacing/>
        <w:rPr>
          <w:rFonts w:ascii="Verdana" w:eastAsia="Calibri" w:hAnsi="Verdana" w:cs="Times New Roman"/>
          <w:sz w:val="24"/>
          <w:szCs w:val="24"/>
        </w:rPr>
      </w:pPr>
    </w:p>
    <w:p w14:paraId="488635FB" w14:textId="49739589" w:rsidR="46DE78F6" w:rsidRDefault="46DE78F6" w:rsidP="530A90E4">
      <w:pPr>
        <w:spacing w:after="120" w:line="240" w:lineRule="auto"/>
        <w:ind w:left="360" w:hanging="360"/>
        <w:contextualSpacing/>
        <w:rPr>
          <w:rFonts w:ascii="Verdana" w:eastAsia="Calibri" w:hAnsi="Verdana" w:cs="Times New Roman"/>
          <w:sz w:val="24"/>
          <w:szCs w:val="24"/>
        </w:rPr>
      </w:pPr>
    </w:p>
    <w:p w14:paraId="183144B2" w14:textId="1405128E" w:rsidR="004216A6" w:rsidRPr="000671DC" w:rsidRDefault="1399019D"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t>Water Quality and Water Resources (Question 119)</w:t>
      </w:r>
    </w:p>
    <w:bookmarkEnd w:id="0"/>
    <w:p w14:paraId="19C73992" w14:textId="6F078957" w:rsidR="000671DC" w:rsidRPr="000671DC" w:rsidRDefault="000671DC" w:rsidP="530A90E4">
      <w:pPr>
        <w:spacing w:after="120" w:line="240" w:lineRule="auto"/>
        <w:ind w:left="360" w:hanging="360"/>
        <w:contextualSpacing/>
        <w:rPr>
          <w:rFonts w:ascii="Verdana" w:eastAsia="Calibri" w:hAnsi="Verdana" w:cs="Times New Roman"/>
          <w:sz w:val="24"/>
          <w:szCs w:val="24"/>
        </w:rPr>
      </w:pPr>
    </w:p>
    <w:p w14:paraId="6E60A14D" w14:textId="24A4E0E0" w:rsidR="000671DC" w:rsidRPr="000671DC" w:rsidRDefault="000671DC" w:rsidP="530A90E4">
      <w:pPr>
        <w:spacing w:after="120" w:line="240" w:lineRule="auto"/>
        <w:ind w:left="360" w:hanging="360"/>
        <w:contextualSpacing/>
        <w:rPr>
          <w:rFonts w:ascii="Verdana" w:eastAsia="Calibri" w:hAnsi="Verdana" w:cs="Times New Roman"/>
          <w:color w:val="FF0000"/>
          <w:sz w:val="24"/>
          <w:szCs w:val="24"/>
        </w:rPr>
      </w:pPr>
    </w:p>
    <w:p w14:paraId="1B65B321" w14:textId="7B97B77A" w:rsidR="000671DC" w:rsidRPr="000671DC" w:rsidRDefault="46DE78F6" w:rsidP="530A90E4">
      <w:pPr>
        <w:numPr>
          <w:ilvl w:val="0"/>
          <w:numId w:val="7"/>
        </w:numPr>
        <w:spacing w:after="120" w:line="240" w:lineRule="auto"/>
        <w:contextualSpacing/>
        <w:rPr>
          <w:rFonts w:ascii="Verdana" w:eastAsia="Calibri" w:hAnsi="Verdana" w:cs="Times New Roman"/>
          <w:sz w:val="24"/>
          <w:szCs w:val="24"/>
        </w:rPr>
      </w:pPr>
      <w:r w:rsidRPr="530A90E4">
        <w:rPr>
          <w:rFonts w:ascii="Verdana" w:eastAsia="Calibri" w:hAnsi="Verdana" w:cs="Times New Roman"/>
          <w:sz w:val="24"/>
          <w:szCs w:val="24"/>
        </w:rPr>
        <w:t>Contaminated Land (Question 120)</w:t>
      </w:r>
    </w:p>
    <w:p w14:paraId="37393B1B" w14:textId="5D184D41" w:rsidR="000671DC" w:rsidRPr="000671DC" w:rsidRDefault="000671DC" w:rsidP="009BFE84">
      <w:pPr>
        <w:spacing w:after="200" w:line="276" w:lineRule="auto"/>
        <w:ind w:left="360" w:hanging="360"/>
        <w:contextualSpacing/>
        <w:rPr>
          <w:rFonts w:ascii="Verdana" w:eastAsia="Calibri" w:hAnsi="Verdana" w:cs="Times New Roman"/>
        </w:rPr>
      </w:pPr>
    </w:p>
    <w:p w14:paraId="16F64F4E" w14:textId="11F3D937" w:rsidR="000671DC" w:rsidRPr="000671DC" w:rsidRDefault="46DE78F6" w:rsidP="46DE78F6">
      <w:pPr>
        <w:spacing w:after="200" w:line="276" w:lineRule="auto"/>
        <w:contextualSpacing/>
        <w:rPr>
          <w:rFonts w:ascii="Verdana" w:eastAsia="Calibri" w:hAnsi="Verdana" w:cs="Times New Roman"/>
        </w:rPr>
      </w:pPr>
      <w:r w:rsidRPr="7473B9AB">
        <w:rPr>
          <w:rFonts w:ascii="Verdana" w:eastAsia="Calibri" w:hAnsi="Verdana" w:cs="Times New Roman"/>
        </w:rPr>
        <w:t xml:space="preserve"> </w:t>
      </w:r>
    </w:p>
    <w:p w14:paraId="4A25BF95" w14:textId="383BD05A" w:rsidR="7473B9AB" w:rsidRDefault="7473B9AB" w:rsidP="7473B9AB">
      <w:pPr>
        <w:spacing w:after="200" w:line="276" w:lineRule="auto"/>
        <w:contextualSpacing/>
      </w:pPr>
      <w:r w:rsidRPr="7473B9AB">
        <w:rPr>
          <w:rFonts w:ascii="Verdana" w:eastAsia="Calibri" w:hAnsi="Verdana" w:cs="Times New Roman"/>
          <w:b/>
          <w:bCs/>
        </w:rPr>
        <w:t>Review of Matter 5 main modifications necessary for the soundness of the plan</w:t>
      </w:r>
    </w:p>
    <w:p w14:paraId="791A4DC2" w14:textId="77777777" w:rsidR="00D01C9E" w:rsidRPr="00D01C9E" w:rsidRDefault="00D01C9E" w:rsidP="00D01C9E">
      <w:pPr>
        <w:spacing w:after="200" w:line="276" w:lineRule="auto"/>
        <w:ind w:left="360"/>
        <w:contextualSpacing/>
        <w:rPr>
          <w:rFonts w:ascii="Verdana" w:eastAsia="Calibri" w:hAnsi="Verdana" w:cs="Times New Roman"/>
          <w:b/>
        </w:rPr>
      </w:pPr>
    </w:p>
    <w:p w14:paraId="646AE479" w14:textId="7797DDD2" w:rsidR="000671DC" w:rsidRPr="000671DC" w:rsidRDefault="000671DC" w:rsidP="530A90E4">
      <w:pPr>
        <w:spacing w:after="200" w:line="276" w:lineRule="auto"/>
        <w:rPr>
          <w:rFonts w:ascii="Verdana" w:eastAsia="Calibri" w:hAnsi="Verdana" w:cs="Times New Roman"/>
          <w:i/>
          <w:iCs/>
          <w:sz w:val="24"/>
          <w:szCs w:val="24"/>
        </w:rPr>
      </w:pPr>
      <w:r w:rsidRPr="530A90E4">
        <w:rPr>
          <w:rFonts w:ascii="Verdana" w:eastAsia="Calibri" w:hAnsi="Verdana" w:cs="Times New Roman"/>
          <w:i/>
          <w:iCs/>
          <w:sz w:val="24"/>
          <w:szCs w:val="24"/>
        </w:rPr>
        <w:t>Key areas for discussion:</w:t>
      </w:r>
    </w:p>
    <w:p w14:paraId="73CBD2F1" w14:textId="1287BB7E" w:rsidR="000671DC" w:rsidRDefault="000671DC" w:rsidP="530A90E4">
      <w:pPr>
        <w:numPr>
          <w:ilvl w:val="0"/>
          <w:numId w:val="7"/>
        </w:numPr>
        <w:spacing w:after="200" w:line="276" w:lineRule="auto"/>
        <w:contextualSpacing/>
        <w:rPr>
          <w:rFonts w:ascii="Verdana" w:eastAsia="Calibri" w:hAnsi="Verdana" w:cs="Times New Roman"/>
          <w:sz w:val="24"/>
          <w:szCs w:val="24"/>
        </w:rPr>
      </w:pPr>
      <w:r w:rsidRPr="530A90E4">
        <w:rPr>
          <w:rFonts w:ascii="Verdana" w:eastAsia="Calibri" w:hAnsi="Verdana" w:cs="Times New Roman"/>
          <w:sz w:val="24"/>
          <w:szCs w:val="24"/>
        </w:rPr>
        <w:t xml:space="preserve">Any </w:t>
      </w:r>
      <w:r w:rsidR="00257FE8" w:rsidRPr="530A90E4">
        <w:rPr>
          <w:rFonts w:ascii="Verdana" w:eastAsia="Calibri" w:hAnsi="Verdana" w:cs="Times New Roman"/>
          <w:sz w:val="24"/>
          <w:szCs w:val="24"/>
        </w:rPr>
        <w:t xml:space="preserve">other </w:t>
      </w:r>
      <w:r w:rsidRPr="530A90E4">
        <w:rPr>
          <w:rFonts w:ascii="Verdana" w:eastAsia="Calibri" w:hAnsi="Verdana" w:cs="Times New Roman"/>
          <w:sz w:val="24"/>
          <w:szCs w:val="24"/>
        </w:rPr>
        <w:t xml:space="preserve">necessary main modifications to Policies </w:t>
      </w:r>
      <w:r w:rsidR="000D4738" w:rsidRPr="530A90E4">
        <w:rPr>
          <w:rFonts w:ascii="Verdana" w:eastAsia="Calibri" w:hAnsi="Verdana" w:cs="Times New Roman"/>
          <w:sz w:val="24"/>
          <w:szCs w:val="24"/>
        </w:rPr>
        <w:t>79</w:t>
      </w:r>
      <w:r w:rsidR="00D01C9E" w:rsidRPr="530A90E4">
        <w:rPr>
          <w:rFonts w:ascii="Verdana" w:eastAsia="Calibri" w:hAnsi="Verdana" w:cs="Times New Roman"/>
          <w:sz w:val="24"/>
          <w:szCs w:val="24"/>
        </w:rPr>
        <w:t xml:space="preserve"> </w:t>
      </w:r>
      <w:r w:rsidR="000D4738" w:rsidRPr="530A90E4">
        <w:rPr>
          <w:rFonts w:ascii="Verdana" w:eastAsia="Calibri" w:hAnsi="Verdana" w:cs="Times New Roman"/>
          <w:sz w:val="24"/>
          <w:szCs w:val="24"/>
        </w:rPr>
        <w:t>-</w:t>
      </w:r>
      <w:r w:rsidR="00D01C9E" w:rsidRPr="530A90E4">
        <w:rPr>
          <w:rFonts w:ascii="Verdana" w:eastAsia="Calibri" w:hAnsi="Verdana" w:cs="Times New Roman"/>
          <w:sz w:val="24"/>
          <w:szCs w:val="24"/>
        </w:rPr>
        <w:t xml:space="preserve"> 95</w:t>
      </w:r>
      <w:r w:rsidRPr="530A90E4">
        <w:rPr>
          <w:rFonts w:ascii="Verdana" w:eastAsia="Calibri" w:hAnsi="Verdana" w:cs="Times New Roman"/>
          <w:sz w:val="24"/>
          <w:szCs w:val="24"/>
        </w:rPr>
        <w:t xml:space="preserve"> (including Policy 85 Protecting and Enhancing Waterways and River Corridors)</w:t>
      </w:r>
    </w:p>
    <w:p w14:paraId="1AD7EE8A" w14:textId="3E40ABE8" w:rsidR="00525318" w:rsidRPr="00DF0280" w:rsidRDefault="00525318" w:rsidP="009BFE84">
      <w:pPr>
        <w:spacing w:after="200" w:line="276" w:lineRule="auto"/>
        <w:contextualSpacing/>
        <w:rPr>
          <w:rFonts w:ascii="Verdana" w:eastAsia="Calibri" w:hAnsi="Verdana" w:cs="Times New Roman"/>
        </w:rPr>
      </w:pPr>
    </w:p>
    <w:p w14:paraId="6D68685A" w14:textId="77777777" w:rsidR="000671DC" w:rsidRPr="000671DC" w:rsidRDefault="000671DC" w:rsidP="000671DC">
      <w:pPr>
        <w:spacing w:after="200" w:line="276" w:lineRule="auto"/>
        <w:ind w:left="360"/>
        <w:contextualSpacing/>
        <w:rPr>
          <w:rFonts w:ascii="Verdana" w:eastAsia="Calibri" w:hAnsi="Verdana" w:cs="Times New Roman"/>
          <w:bCs/>
        </w:rPr>
      </w:pPr>
    </w:p>
    <w:p w14:paraId="597827D3" w14:textId="354BAC30" w:rsidR="000671DC" w:rsidRPr="000671DC" w:rsidRDefault="000671DC" w:rsidP="530A90E4">
      <w:pPr>
        <w:numPr>
          <w:ilvl w:val="0"/>
          <w:numId w:val="6"/>
        </w:numPr>
        <w:spacing w:after="200" w:line="276" w:lineRule="auto"/>
        <w:contextualSpacing/>
        <w:rPr>
          <w:rFonts w:ascii="Verdana" w:eastAsia="Calibri" w:hAnsi="Verdana" w:cs="Times New Roman"/>
          <w:b/>
          <w:bCs/>
          <w:sz w:val="24"/>
          <w:szCs w:val="24"/>
          <w:u w:val="single"/>
        </w:rPr>
      </w:pPr>
      <w:r w:rsidRPr="530A90E4">
        <w:rPr>
          <w:rFonts w:ascii="Verdana" w:eastAsia="Calibri" w:hAnsi="Verdana" w:cs="Times New Roman"/>
          <w:b/>
          <w:bCs/>
          <w:sz w:val="24"/>
          <w:szCs w:val="24"/>
        </w:rPr>
        <w:t xml:space="preserve">Close by 5pm </w:t>
      </w:r>
    </w:p>
    <w:p w14:paraId="4E052D64" w14:textId="77777777" w:rsidR="00F2056F" w:rsidRDefault="00F2056F"/>
    <w:p w14:paraId="7BBE5251" w14:textId="5613A556" w:rsidR="00306A95" w:rsidRDefault="00B81E21">
      <w:r>
        <w:br w:type="page"/>
      </w:r>
    </w:p>
    <w:p w14:paraId="00DDB7ED" w14:textId="28BC63BF" w:rsidR="00306A95" w:rsidRDefault="00306A95" w:rsidP="530A90E4">
      <w:pPr>
        <w:jc w:val="center"/>
        <w:rPr>
          <w:rFonts w:ascii="Verdana" w:hAnsi="Verdana"/>
          <w:b/>
          <w:bCs/>
          <w:sz w:val="28"/>
          <w:szCs w:val="28"/>
        </w:rPr>
      </w:pPr>
      <w:r w:rsidRPr="530A90E4">
        <w:rPr>
          <w:rFonts w:ascii="Verdana" w:hAnsi="Verdana"/>
          <w:b/>
          <w:bCs/>
          <w:sz w:val="28"/>
          <w:szCs w:val="28"/>
        </w:rPr>
        <w:lastRenderedPageBreak/>
        <w:t>MATTERS ISSUES AND QUESTIONS</w:t>
      </w:r>
    </w:p>
    <w:p w14:paraId="5A79ED52" w14:textId="77777777" w:rsidR="00306A95" w:rsidRDefault="00306A95" w:rsidP="00306A95">
      <w:pPr>
        <w:jc w:val="center"/>
        <w:rPr>
          <w:rFonts w:ascii="Verdana" w:hAnsi="Verdana"/>
          <w:b/>
          <w:bCs/>
        </w:rPr>
      </w:pPr>
    </w:p>
    <w:tbl>
      <w:tblPr>
        <w:tblStyle w:val="TableGrid1"/>
        <w:tblW w:w="0" w:type="auto"/>
        <w:tblLook w:val="04A0" w:firstRow="1" w:lastRow="0" w:firstColumn="1" w:lastColumn="0" w:noHBand="0" w:noVBand="1"/>
      </w:tblPr>
      <w:tblGrid>
        <w:gridCol w:w="9016"/>
      </w:tblGrid>
      <w:tr w:rsidR="00B81E21" w:rsidRPr="00B81E21" w14:paraId="286537AD" w14:textId="77777777" w:rsidTr="00062208">
        <w:tc>
          <w:tcPr>
            <w:tcW w:w="9736" w:type="dxa"/>
            <w:shd w:val="clear" w:color="auto" w:fill="E7E6E6" w:themeFill="background2"/>
          </w:tcPr>
          <w:p w14:paraId="170B5269" w14:textId="77777777" w:rsidR="00B81E21" w:rsidRPr="00B81E21" w:rsidRDefault="00B81E21" w:rsidP="00B81E21">
            <w:pPr>
              <w:rPr>
                <w:rFonts w:ascii="Verdana" w:eastAsia="Calibri" w:hAnsi="Verdana" w:cs="Times New Roman"/>
                <w:b/>
                <w:bCs/>
                <w:sz w:val="24"/>
                <w:szCs w:val="24"/>
                <w:lang w:eastAsia="en-GB"/>
              </w:rPr>
            </w:pPr>
            <w:r w:rsidRPr="00B81E21">
              <w:rPr>
                <w:rFonts w:ascii="Verdana" w:eastAsia="Calibri" w:hAnsi="Verdana" w:cs="Times New Roman"/>
                <w:b/>
                <w:bCs/>
                <w:sz w:val="24"/>
                <w:szCs w:val="24"/>
                <w:lang w:eastAsia="en-GB"/>
              </w:rPr>
              <w:t>MATTER 5: THE ENVIRONMENT, CLIMATE CHANGE, FLOOD RISK, POLLUTION AND WASTE MANAGEMENT</w:t>
            </w:r>
          </w:p>
        </w:tc>
      </w:tr>
    </w:tbl>
    <w:p w14:paraId="4E159DCC" w14:textId="77777777" w:rsidR="00B81E21" w:rsidRPr="00B81E21" w:rsidRDefault="00B81E21" w:rsidP="00B81E21">
      <w:pPr>
        <w:spacing w:after="0" w:line="240" w:lineRule="auto"/>
        <w:ind w:left="907" w:hanging="907"/>
        <w:rPr>
          <w:rFonts w:ascii="Verdana" w:eastAsia="Calibri" w:hAnsi="Verdana" w:cs="Times New Roman"/>
          <w:b/>
          <w:bCs/>
          <w:sz w:val="24"/>
          <w:szCs w:val="24"/>
          <w:u w:val="single"/>
          <w:lang w:eastAsia="en-GB"/>
        </w:rPr>
      </w:pPr>
    </w:p>
    <w:p w14:paraId="2E536C8F" w14:textId="77777777" w:rsidR="00B81E21" w:rsidRPr="00B81E21" w:rsidRDefault="00B81E21" w:rsidP="00B81E21">
      <w:pPr>
        <w:spacing w:after="0" w:line="240" w:lineRule="auto"/>
        <w:rPr>
          <w:rFonts w:ascii="Verdana" w:eastAsia="Calibri" w:hAnsi="Verdana" w:cs="Times New Roman"/>
          <w:b/>
          <w:bCs/>
          <w:sz w:val="24"/>
          <w:szCs w:val="24"/>
          <w:lang w:eastAsia="en-GB"/>
        </w:rPr>
      </w:pPr>
      <w:r w:rsidRPr="00B81E21">
        <w:rPr>
          <w:rFonts w:ascii="Verdana" w:eastAsia="Verdana" w:hAnsi="Verdana" w:cs="Verdana"/>
          <w:b/>
          <w:bCs/>
          <w:sz w:val="24"/>
          <w:szCs w:val="24"/>
          <w:lang w:eastAsia="en-GB"/>
        </w:rPr>
        <w:t xml:space="preserve">Issue </w:t>
      </w:r>
      <w:r w:rsidRPr="00B81E21">
        <w:rPr>
          <w:rFonts w:ascii="Verdana" w:eastAsia="Verdana" w:hAnsi="Verdana" w:cs="Verdana"/>
          <w:b/>
          <w:bCs/>
          <w:sz w:val="24"/>
          <w:szCs w:val="24"/>
        </w:rPr>
        <w:t xml:space="preserve">1 - </w:t>
      </w:r>
      <w:r w:rsidRPr="00B81E21">
        <w:rPr>
          <w:rFonts w:ascii="Verdana" w:eastAsia="Calibri" w:hAnsi="Verdana" w:cs="Times New Roman"/>
          <w:b/>
          <w:bCs/>
          <w:sz w:val="24"/>
          <w:szCs w:val="24"/>
          <w:lang w:eastAsia="en-GB"/>
        </w:rPr>
        <w:t>Whether the policies relating to the environment, climate change, flood risk, pollution, and waste management are positively prepared, justified, effective, consistent with national policy and in general conformity with the London Plan (Policies 79–95).</w:t>
      </w:r>
    </w:p>
    <w:p w14:paraId="51786E6F" w14:textId="77777777" w:rsidR="00B81E21" w:rsidRPr="00B81E21" w:rsidRDefault="00B81E21" w:rsidP="00B81E21">
      <w:pPr>
        <w:spacing w:after="0" w:line="240" w:lineRule="auto"/>
        <w:ind w:left="907" w:hanging="907"/>
        <w:rPr>
          <w:rFonts w:ascii="Verdana" w:eastAsia="Verdana" w:hAnsi="Verdana" w:cs="Verdana"/>
          <w:sz w:val="24"/>
          <w:szCs w:val="24"/>
          <w:u w:val="single"/>
        </w:rPr>
      </w:pPr>
    </w:p>
    <w:p w14:paraId="036FF076" w14:textId="055368D5" w:rsidR="46DE78F6" w:rsidRDefault="46DE78F6" w:rsidP="46DE78F6">
      <w:pPr>
        <w:spacing w:after="0" w:line="240" w:lineRule="auto"/>
        <w:ind w:left="907" w:hanging="907"/>
        <w:rPr>
          <w:rFonts w:ascii="Verdana" w:eastAsia="Verdana" w:hAnsi="Verdana" w:cs="Verdana"/>
          <w:i/>
          <w:iCs/>
          <w:sz w:val="24"/>
          <w:szCs w:val="24"/>
        </w:rPr>
      </w:pPr>
      <w:r w:rsidRPr="46DE78F6">
        <w:rPr>
          <w:rFonts w:ascii="Verdana" w:eastAsia="Verdana" w:hAnsi="Verdana" w:cs="Verdana"/>
          <w:i/>
          <w:iCs/>
          <w:sz w:val="24"/>
          <w:szCs w:val="24"/>
        </w:rPr>
        <w:t xml:space="preserve">Parks, open </w:t>
      </w:r>
      <w:proofErr w:type="gramStart"/>
      <w:r w:rsidRPr="46DE78F6">
        <w:rPr>
          <w:rFonts w:ascii="Verdana" w:eastAsia="Verdana" w:hAnsi="Verdana" w:cs="Verdana"/>
          <w:i/>
          <w:iCs/>
          <w:sz w:val="24"/>
          <w:szCs w:val="24"/>
        </w:rPr>
        <w:t>space</w:t>
      </w:r>
      <w:proofErr w:type="gramEnd"/>
      <w:r w:rsidRPr="46DE78F6">
        <w:rPr>
          <w:rFonts w:ascii="Verdana" w:eastAsia="Verdana" w:hAnsi="Verdana" w:cs="Verdana"/>
          <w:i/>
          <w:iCs/>
          <w:sz w:val="24"/>
          <w:szCs w:val="24"/>
        </w:rPr>
        <w:t xml:space="preserve"> and recreation</w:t>
      </w:r>
    </w:p>
    <w:p w14:paraId="20E269FA" w14:textId="32783DAA" w:rsidR="46DE78F6" w:rsidRDefault="46DE78F6" w:rsidP="46DE78F6">
      <w:pPr>
        <w:spacing w:after="0" w:line="240" w:lineRule="auto"/>
        <w:rPr>
          <w:rFonts w:ascii="Verdana" w:eastAsia="Verdana" w:hAnsi="Verdana" w:cs="Verdana"/>
          <w:sz w:val="24"/>
          <w:szCs w:val="24"/>
          <w:u w:val="single"/>
        </w:rPr>
      </w:pPr>
    </w:p>
    <w:p w14:paraId="48F98D07" w14:textId="2E4C247D" w:rsidR="46DE78F6" w:rsidRDefault="46DE78F6" w:rsidP="46DE78F6">
      <w:pPr>
        <w:ind w:left="907" w:hanging="907"/>
      </w:pPr>
      <w:r w:rsidRPr="46DE78F6">
        <w:rPr>
          <w:rFonts w:ascii="Verdana" w:eastAsia="Verdana" w:hAnsi="Verdana" w:cs="Verdana"/>
        </w:rPr>
        <w:t>Q188</w:t>
      </w:r>
      <w:r>
        <w:tab/>
      </w:r>
      <w:r w:rsidRPr="46DE78F6">
        <w:rPr>
          <w:rFonts w:ascii="Verdana" w:eastAsia="Verdana" w:hAnsi="Verdana" w:cs="Verdana"/>
        </w:rPr>
        <w:t>Is Policy 80 consistent with the National Planning Policy Framework’s approach to safeguarding open space and recreation facilities and does it set out appropriate criteria to deal with development proposals that could result in the loss of such facilities?</w:t>
      </w:r>
    </w:p>
    <w:p w14:paraId="4C70A607" w14:textId="4E478F2F" w:rsidR="46DE78F6" w:rsidRDefault="46DE78F6" w:rsidP="46DE78F6">
      <w:pPr>
        <w:spacing w:after="0" w:line="240" w:lineRule="auto"/>
        <w:ind w:left="907" w:hanging="907"/>
        <w:rPr>
          <w:rFonts w:ascii="Verdana" w:eastAsia="Calibri" w:hAnsi="Verdana" w:cs="Times New Roman"/>
          <w:i/>
          <w:iCs/>
          <w:sz w:val="24"/>
          <w:szCs w:val="24"/>
        </w:rPr>
      </w:pPr>
    </w:p>
    <w:p w14:paraId="143172EA" w14:textId="77777777" w:rsidR="00B81E21" w:rsidRPr="00B81E21" w:rsidRDefault="00B81E21" w:rsidP="00B81E21">
      <w:pPr>
        <w:spacing w:after="0" w:line="240" w:lineRule="auto"/>
        <w:ind w:left="907" w:hanging="907"/>
        <w:rPr>
          <w:rFonts w:ascii="Verdana" w:eastAsia="Calibri" w:hAnsi="Verdana" w:cs="Times New Roman"/>
          <w:i/>
          <w:iCs/>
          <w:sz w:val="24"/>
          <w:szCs w:val="24"/>
        </w:rPr>
      </w:pPr>
      <w:r w:rsidRPr="00B81E21">
        <w:rPr>
          <w:rFonts w:ascii="Verdana" w:eastAsia="Calibri" w:hAnsi="Verdana" w:cs="Times New Roman"/>
          <w:i/>
          <w:iCs/>
          <w:sz w:val="24"/>
          <w:szCs w:val="24"/>
        </w:rPr>
        <w:t>Habitats Sites</w:t>
      </w:r>
    </w:p>
    <w:p w14:paraId="481245A3" w14:textId="77777777" w:rsidR="00B81E21" w:rsidRPr="00B81E21" w:rsidRDefault="00B81E21" w:rsidP="00B81E21">
      <w:pPr>
        <w:spacing w:after="0" w:line="240" w:lineRule="auto"/>
        <w:ind w:left="907" w:hanging="907"/>
        <w:rPr>
          <w:rFonts w:ascii="Calibri" w:eastAsia="Calibri" w:hAnsi="Calibri" w:cs="Times New Roman"/>
          <w:sz w:val="24"/>
          <w:szCs w:val="24"/>
        </w:rPr>
      </w:pPr>
    </w:p>
    <w:p w14:paraId="000654C3" w14:textId="77777777" w:rsidR="00B81E21" w:rsidRPr="00B81E21" w:rsidRDefault="00B81E21" w:rsidP="00B81E21">
      <w:pPr>
        <w:spacing w:after="0" w:line="240" w:lineRule="auto"/>
        <w:ind w:left="907" w:hanging="907"/>
        <w:rPr>
          <w:rFonts w:ascii="Verdana" w:eastAsia="Calibri" w:hAnsi="Verdana" w:cs="Times New Roman"/>
          <w:sz w:val="24"/>
          <w:szCs w:val="24"/>
        </w:rPr>
      </w:pPr>
      <w:r w:rsidRPr="00B81E21">
        <w:rPr>
          <w:rFonts w:ascii="Verdana" w:eastAsia="Calibri" w:hAnsi="Verdana" w:cs="Times New Roman"/>
          <w:sz w:val="24"/>
          <w:szCs w:val="24"/>
        </w:rPr>
        <w:t>Q105</w:t>
      </w:r>
      <w:r w:rsidRPr="00B81E21">
        <w:rPr>
          <w:rFonts w:ascii="Calibri" w:eastAsia="Calibri" w:hAnsi="Calibri" w:cs="Times New Roman"/>
        </w:rPr>
        <w:tab/>
      </w:r>
      <w:r w:rsidRPr="00B81E21">
        <w:rPr>
          <w:rFonts w:ascii="Verdana" w:eastAsia="Calibri" w:hAnsi="Verdana" w:cs="Times New Roman"/>
          <w:sz w:val="24"/>
          <w:szCs w:val="24"/>
        </w:rPr>
        <w:t>What, if any, are the implications for Habitats Sites of an annualised housing target of 1,800 homes per annum (based on the Plan’s proposed overall target of 27,000) compared to the annualised target ten-year for the Borough of 1,264 homes per annum set out in the London Plan?</w:t>
      </w:r>
    </w:p>
    <w:p w14:paraId="0DEE6874"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p>
    <w:p w14:paraId="0E29D2AE" w14:textId="77777777" w:rsidR="00B81E21" w:rsidRPr="00B81E21" w:rsidRDefault="00B81E21" w:rsidP="00B81E21">
      <w:pPr>
        <w:spacing w:after="0" w:line="240" w:lineRule="auto"/>
        <w:ind w:left="907" w:hanging="907"/>
        <w:rPr>
          <w:rFonts w:ascii="Verdana" w:eastAsia="Verdana" w:hAnsi="Verdana" w:cs="Verdana"/>
          <w:sz w:val="24"/>
          <w:szCs w:val="24"/>
          <w:lang w:eastAsia="en-GB"/>
        </w:rPr>
      </w:pPr>
      <w:r w:rsidRPr="00B81E21">
        <w:rPr>
          <w:rFonts w:ascii="Verdana" w:eastAsia="Verdana" w:hAnsi="Verdana" w:cs="Verdana"/>
          <w:i/>
          <w:iCs/>
          <w:sz w:val="24"/>
          <w:szCs w:val="24"/>
          <w:lang w:eastAsia="en-GB"/>
        </w:rPr>
        <w:t>Policy 81 - Biodiversity and Geodiversity</w:t>
      </w:r>
    </w:p>
    <w:p w14:paraId="7584289B"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6A16B052" w14:textId="77777777" w:rsidR="00B81E21" w:rsidRPr="00B81E21" w:rsidRDefault="00B81E21" w:rsidP="00B81E21">
      <w:pPr>
        <w:spacing w:after="0" w:line="240" w:lineRule="auto"/>
        <w:ind w:left="907" w:hanging="907"/>
        <w:rPr>
          <w:rFonts w:ascii="Verdana" w:eastAsia="Verdana" w:hAnsi="Verdana" w:cs="Verdana"/>
          <w:i/>
          <w:iCs/>
          <w:sz w:val="24"/>
          <w:szCs w:val="24"/>
          <w:lang w:eastAsia="en-GB"/>
        </w:rPr>
      </w:pPr>
      <w:r w:rsidRPr="00B81E21">
        <w:rPr>
          <w:rFonts w:ascii="Verdana" w:eastAsia="Verdana" w:hAnsi="Verdana" w:cs="Verdana"/>
          <w:sz w:val="24"/>
          <w:szCs w:val="24"/>
          <w:lang w:eastAsia="en-GB"/>
        </w:rPr>
        <w:t>Q106</w:t>
      </w:r>
      <w:r w:rsidRPr="00B81E21">
        <w:rPr>
          <w:rFonts w:ascii="Calibri" w:eastAsia="Calibri" w:hAnsi="Calibri" w:cs="Times New Roman"/>
        </w:rPr>
        <w:tab/>
      </w:r>
      <w:r w:rsidRPr="00B81E21">
        <w:rPr>
          <w:rFonts w:ascii="Verdana" w:eastAsia="Verdana" w:hAnsi="Verdana" w:cs="Verdana"/>
          <w:sz w:val="24"/>
          <w:szCs w:val="24"/>
          <w:lang w:eastAsia="en-GB"/>
        </w:rPr>
        <w:t>Is the policy consistent with national policy and would it secure a net gain in biodiversity as required by section 15 of the NPPF?</w:t>
      </w:r>
    </w:p>
    <w:p w14:paraId="037724B7"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0CC83BAD" w14:textId="77777777" w:rsidR="00B81E21" w:rsidRPr="00B81E21" w:rsidRDefault="00B81E21" w:rsidP="00B81E21">
      <w:pPr>
        <w:spacing w:after="0" w:line="240" w:lineRule="auto"/>
        <w:ind w:left="907" w:hanging="907"/>
        <w:rPr>
          <w:rFonts w:ascii="Verdana" w:eastAsia="Verdana" w:hAnsi="Verdana" w:cs="Verdana"/>
          <w:i/>
          <w:iCs/>
          <w:sz w:val="24"/>
          <w:szCs w:val="24"/>
          <w:lang w:eastAsia="en-GB"/>
        </w:rPr>
      </w:pPr>
      <w:r w:rsidRPr="00B81E21">
        <w:rPr>
          <w:rFonts w:ascii="Verdana" w:eastAsia="Verdana" w:hAnsi="Verdana" w:cs="Verdana"/>
          <w:i/>
          <w:iCs/>
          <w:sz w:val="24"/>
          <w:szCs w:val="24"/>
          <w:lang w:eastAsia="en-GB"/>
        </w:rPr>
        <w:t>Policy 82 – Trees</w:t>
      </w:r>
    </w:p>
    <w:p w14:paraId="78A6225A"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1880D3FA" w14:textId="77777777" w:rsidR="00B81E21" w:rsidRPr="00B81E21" w:rsidRDefault="00B81E21" w:rsidP="00B81E21">
      <w:pPr>
        <w:spacing w:after="0" w:line="240" w:lineRule="auto"/>
        <w:ind w:left="907" w:hanging="907"/>
        <w:rPr>
          <w:rFonts w:ascii="Verdana" w:eastAsia="Verdana" w:hAnsi="Verdana" w:cs="Verdana"/>
          <w:sz w:val="24"/>
          <w:szCs w:val="24"/>
          <w:lang w:eastAsia="en-GB"/>
        </w:rPr>
      </w:pPr>
      <w:r w:rsidRPr="00B81E21">
        <w:rPr>
          <w:rFonts w:ascii="Verdana" w:eastAsia="Verdana" w:hAnsi="Verdana" w:cs="Verdana"/>
          <w:sz w:val="24"/>
          <w:szCs w:val="24"/>
          <w:lang w:eastAsia="en-GB"/>
        </w:rPr>
        <w:t>Q107</w:t>
      </w:r>
      <w:r w:rsidRPr="00B81E21">
        <w:rPr>
          <w:rFonts w:ascii="Calibri" w:eastAsia="Calibri" w:hAnsi="Calibri" w:cs="Times New Roman"/>
        </w:rPr>
        <w:tab/>
      </w:r>
      <w:r w:rsidRPr="00B81E21">
        <w:rPr>
          <w:rFonts w:ascii="Verdana" w:eastAsia="Verdana" w:hAnsi="Verdana" w:cs="Verdana"/>
          <w:sz w:val="24"/>
          <w:szCs w:val="24"/>
          <w:lang w:eastAsia="en-GB"/>
        </w:rPr>
        <w:t xml:space="preserve">Is the policy consistent with paragraph 131 of the NPPF in relation to the important contribution that trees make to urban environments?  </w:t>
      </w:r>
    </w:p>
    <w:p w14:paraId="5F86E62F" w14:textId="77777777" w:rsidR="00B81E21" w:rsidRPr="00B81E21" w:rsidRDefault="00B81E21" w:rsidP="00B81E21">
      <w:pPr>
        <w:spacing w:after="0" w:line="240" w:lineRule="auto"/>
        <w:rPr>
          <w:rFonts w:ascii="Calibri" w:eastAsia="Calibri" w:hAnsi="Calibri" w:cs="Times New Roman"/>
          <w:sz w:val="24"/>
          <w:szCs w:val="24"/>
          <w:lang w:eastAsia="en-GB"/>
        </w:rPr>
      </w:pPr>
    </w:p>
    <w:p w14:paraId="55397B14" w14:textId="77777777" w:rsidR="00B81E21" w:rsidRPr="00B81E21" w:rsidRDefault="00B81E21" w:rsidP="00B81E21">
      <w:pPr>
        <w:spacing w:after="0" w:line="240" w:lineRule="auto"/>
        <w:ind w:left="907" w:hanging="907"/>
        <w:rPr>
          <w:rFonts w:ascii="Verdana" w:eastAsia="Verdana" w:hAnsi="Verdana" w:cs="Verdana"/>
          <w:i/>
          <w:iCs/>
          <w:sz w:val="24"/>
          <w:szCs w:val="24"/>
          <w:lang w:eastAsia="en-GB"/>
        </w:rPr>
      </w:pPr>
      <w:r w:rsidRPr="00B81E21">
        <w:rPr>
          <w:rFonts w:ascii="Verdana" w:eastAsia="Verdana" w:hAnsi="Verdana" w:cs="Verdana"/>
          <w:i/>
          <w:iCs/>
          <w:sz w:val="24"/>
          <w:szCs w:val="24"/>
          <w:lang w:eastAsia="en-GB"/>
        </w:rPr>
        <w:t>Policy 86 – Allotments</w:t>
      </w:r>
    </w:p>
    <w:p w14:paraId="19339E96"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6C579EAE" w14:textId="77777777" w:rsidR="00B81E21" w:rsidRPr="00B81E21" w:rsidRDefault="00B81E21" w:rsidP="00B81E21">
      <w:pPr>
        <w:spacing w:after="0" w:line="240" w:lineRule="auto"/>
        <w:ind w:left="907" w:hanging="907"/>
        <w:rPr>
          <w:rFonts w:ascii="Verdana" w:eastAsia="Verdana" w:hAnsi="Verdana" w:cs="Verdana"/>
          <w:sz w:val="24"/>
          <w:szCs w:val="24"/>
          <w:lang w:eastAsia="en-GB"/>
        </w:rPr>
      </w:pPr>
      <w:r w:rsidRPr="00B81E21">
        <w:rPr>
          <w:rFonts w:ascii="Verdana" w:eastAsia="Verdana" w:hAnsi="Verdana" w:cs="Verdana"/>
          <w:sz w:val="24"/>
          <w:szCs w:val="24"/>
          <w:lang w:eastAsia="en-GB"/>
        </w:rPr>
        <w:t>Q108</w:t>
      </w:r>
      <w:r w:rsidRPr="00B81E21">
        <w:rPr>
          <w:rFonts w:ascii="Calibri" w:eastAsia="Calibri" w:hAnsi="Calibri" w:cs="Times New Roman"/>
        </w:rPr>
        <w:tab/>
      </w:r>
      <w:r w:rsidRPr="00B81E21">
        <w:rPr>
          <w:rFonts w:ascii="Verdana" w:eastAsia="Verdana" w:hAnsi="Verdana" w:cs="Verdana"/>
          <w:sz w:val="24"/>
          <w:szCs w:val="24"/>
          <w:lang w:eastAsia="en-GB"/>
        </w:rPr>
        <w:t>Is the policy justified in requiring no net loss of allotment sites and is it sufficiently clear how any proposals affecting allotments would be assessed?</w:t>
      </w:r>
    </w:p>
    <w:p w14:paraId="786F7045"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p>
    <w:p w14:paraId="6632F908"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i/>
          <w:iCs/>
          <w:sz w:val="24"/>
          <w:szCs w:val="24"/>
          <w:lang w:eastAsia="en-GB"/>
        </w:rPr>
        <w:t>Policy 87 – A Zero Carbon Borough</w:t>
      </w:r>
    </w:p>
    <w:p w14:paraId="4C888C62"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i/>
          <w:iCs/>
          <w:sz w:val="24"/>
          <w:szCs w:val="24"/>
          <w:lang w:eastAsia="en-GB"/>
        </w:rPr>
        <w:t>Policy 88 – Decentralised Energy</w:t>
      </w:r>
    </w:p>
    <w:p w14:paraId="2D7E7BB2"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r w:rsidRPr="00B81E21">
        <w:rPr>
          <w:rFonts w:ascii="Verdana" w:eastAsia="Calibri" w:hAnsi="Verdana" w:cs="Times New Roman"/>
          <w:i/>
          <w:iCs/>
          <w:sz w:val="24"/>
          <w:szCs w:val="24"/>
          <w:lang w:eastAsia="en-GB"/>
        </w:rPr>
        <w:lastRenderedPageBreak/>
        <w:t>Policy 89 – Sustainable Design and Construction</w:t>
      </w:r>
    </w:p>
    <w:p w14:paraId="685C2B50"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32F67920"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Q109</w:t>
      </w:r>
      <w:r w:rsidRPr="00B81E21">
        <w:rPr>
          <w:rFonts w:ascii="Calibri" w:eastAsia="Calibri" w:hAnsi="Calibri" w:cs="Times New Roman"/>
        </w:rPr>
        <w:tab/>
      </w:r>
      <w:r w:rsidRPr="00B81E21">
        <w:rPr>
          <w:rFonts w:ascii="Verdana" w:eastAsia="Calibri" w:hAnsi="Verdana" w:cs="Times New Roman"/>
          <w:sz w:val="24"/>
          <w:szCs w:val="24"/>
          <w:lang w:eastAsia="en-GB"/>
        </w:rPr>
        <w:t>Are the percentage reduction requirements below Part L in Policies 87 and 89 justified and consistent with national policy including the Government’s current policy for energy performance set out in the Written Ministerial Statement (March 2015)?</w:t>
      </w:r>
    </w:p>
    <w:p w14:paraId="34918B08"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p>
    <w:p w14:paraId="4E8F738B"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Q110</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Are criteria D and F of Policy 87, and criterion G of Policy 89, compatible? </w:t>
      </w:r>
    </w:p>
    <w:p w14:paraId="705079D4"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 xml:space="preserve"> </w:t>
      </w:r>
    </w:p>
    <w:p w14:paraId="5A5EAE27"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Q111</w:t>
      </w:r>
      <w:r w:rsidRPr="00B81E21">
        <w:rPr>
          <w:rFonts w:ascii="Calibri" w:eastAsia="Calibri" w:hAnsi="Calibri" w:cs="Times New Roman"/>
        </w:rPr>
        <w:tab/>
      </w:r>
      <w:r w:rsidRPr="00B81E21">
        <w:rPr>
          <w:rFonts w:ascii="Verdana" w:eastAsia="Calibri" w:hAnsi="Verdana" w:cs="Times New Roman"/>
          <w:sz w:val="24"/>
          <w:szCs w:val="24"/>
          <w:lang w:eastAsia="en-GB"/>
        </w:rPr>
        <w:t>Should Policy 87 include different targets for development involving reuse or conversion?</w:t>
      </w:r>
    </w:p>
    <w:p w14:paraId="7D4BFCFC"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6735422F"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Q112</w:t>
      </w:r>
      <w:r w:rsidRPr="00B81E21">
        <w:rPr>
          <w:rFonts w:ascii="Calibri" w:eastAsia="Calibri" w:hAnsi="Calibri" w:cs="Times New Roman"/>
        </w:rPr>
        <w:tab/>
      </w:r>
      <w:r w:rsidRPr="00B81E21">
        <w:rPr>
          <w:rFonts w:ascii="Verdana" w:eastAsia="Calibri" w:hAnsi="Verdana" w:cs="Times New Roman"/>
          <w:sz w:val="24"/>
          <w:szCs w:val="24"/>
          <w:lang w:eastAsia="en-GB"/>
        </w:rPr>
        <w:t>How would the carbon offset fund contributions in criterion F of Policy 87 work in practice?</w:t>
      </w:r>
    </w:p>
    <w:p w14:paraId="013901FC"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030DCC29"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Q113</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Is it sufficiently clear what is required in the bullet points of Policy 88 criterion A?  Does criterion B contradict the requirements of A?  Are the requirements justified? </w:t>
      </w:r>
    </w:p>
    <w:p w14:paraId="435DE96F"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04D11091"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Q114</w:t>
      </w:r>
      <w:r w:rsidRPr="00B81E21">
        <w:rPr>
          <w:rFonts w:ascii="Calibri" w:eastAsia="Calibri" w:hAnsi="Calibri" w:cs="Times New Roman"/>
        </w:rPr>
        <w:tab/>
      </w:r>
      <w:r w:rsidRPr="00B81E21">
        <w:rPr>
          <w:rFonts w:ascii="Verdana" w:eastAsia="Calibri" w:hAnsi="Verdana" w:cs="Times New Roman"/>
          <w:sz w:val="24"/>
          <w:szCs w:val="24"/>
          <w:lang w:eastAsia="en-GB"/>
        </w:rPr>
        <w:t>Is criterion G of Policy 89 consistent with the reductions against Part L specified in Policy 87?</w:t>
      </w:r>
    </w:p>
    <w:p w14:paraId="63754F9C"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267BF1B5"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Q115</w:t>
      </w:r>
      <w:r w:rsidRPr="00B81E21">
        <w:rPr>
          <w:rFonts w:ascii="Calibri" w:eastAsia="Calibri" w:hAnsi="Calibri" w:cs="Times New Roman"/>
        </w:rPr>
        <w:tab/>
      </w:r>
      <w:r w:rsidRPr="00B81E21">
        <w:rPr>
          <w:rFonts w:ascii="Verdana" w:eastAsia="Calibri" w:hAnsi="Verdana" w:cs="Times New Roman"/>
          <w:sz w:val="24"/>
          <w:szCs w:val="24"/>
          <w:lang w:eastAsia="en-GB"/>
        </w:rPr>
        <w:t>Is it sufficiently clear how developers and decision makers should respond to the various policy targets in practice?  For example, how would compliance with the carbon reduction targets be assessed, measured, secured, and evidenced?</w:t>
      </w:r>
    </w:p>
    <w:p w14:paraId="7BF48504"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6E9FE99B"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Q116</w:t>
      </w:r>
      <w:r w:rsidRPr="00B81E21">
        <w:rPr>
          <w:rFonts w:ascii="Calibri" w:eastAsia="Calibri" w:hAnsi="Calibri" w:cs="Times New Roman"/>
        </w:rPr>
        <w:tab/>
      </w:r>
      <w:r w:rsidRPr="00B81E21">
        <w:rPr>
          <w:rFonts w:ascii="Verdana" w:eastAsia="Calibri" w:hAnsi="Verdana" w:cs="Times New Roman"/>
          <w:sz w:val="24"/>
          <w:szCs w:val="24"/>
          <w:lang w:eastAsia="en-GB"/>
        </w:rPr>
        <w:t>Does Policy 89 make sufficient provision for biodiversity, having regard to national policy and in the light of Policy 81?</w:t>
      </w:r>
    </w:p>
    <w:p w14:paraId="07D1C298"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1522E842"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Q117</w:t>
      </w:r>
      <w:r w:rsidRPr="00B81E21">
        <w:rPr>
          <w:rFonts w:ascii="Calibri" w:eastAsia="Calibri" w:hAnsi="Calibri" w:cs="Times New Roman"/>
        </w:rPr>
        <w:tab/>
      </w:r>
      <w:r w:rsidRPr="00B81E21">
        <w:rPr>
          <w:rFonts w:ascii="Verdana" w:eastAsia="Calibri" w:hAnsi="Verdana" w:cs="Times New Roman"/>
          <w:sz w:val="24"/>
          <w:szCs w:val="24"/>
          <w:lang w:eastAsia="en-GB"/>
        </w:rPr>
        <w:t>Should Policy 89 make distinctions between different types or sizes of development?</w:t>
      </w:r>
    </w:p>
    <w:p w14:paraId="7734F7CD"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46136CC8"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r w:rsidRPr="00B81E21">
        <w:rPr>
          <w:rFonts w:ascii="Verdana" w:eastAsia="Calibri" w:hAnsi="Verdana" w:cs="Times New Roman"/>
          <w:i/>
          <w:iCs/>
          <w:sz w:val="24"/>
          <w:szCs w:val="24"/>
          <w:lang w:eastAsia="en-GB"/>
        </w:rPr>
        <w:t>Policy 90 – Air Pollution</w:t>
      </w:r>
    </w:p>
    <w:p w14:paraId="7241117D"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4548EAA3"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Q118</w:t>
      </w:r>
      <w:r w:rsidRPr="00B81E21">
        <w:rPr>
          <w:rFonts w:ascii="Calibri" w:eastAsia="Calibri" w:hAnsi="Calibri" w:cs="Times New Roman"/>
        </w:rPr>
        <w:tab/>
      </w:r>
      <w:r w:rsidRPr="00B81E21">
        <w:rPr>
          <w:rFonts w:ascii="Verdana" w:eastAsia="Calibri" w:hAnsi="Verdana" w:cs="Times New Roman"/>
          <w:sz w:val="24"/>
          <w:szCs w:val="24"/>
          <w:lang w:eastAsia="en-GB"/>
        </w:rPr>
        <w:t>Is Policy 90 consistent with NPPF paragraph 186 and in general conformity with the London Plan?  Should the policy define or identify the Borough’s air quality focus areas, and should it require specific design measures for effectiveness?</w:t>
      </w:r>
    </w:p>
    <w:p w14:paraId="195E3D5E"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4F6503EF"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i/>
          <w:iCs/>
          <w:sz w:val="24"/>
          <w:szCs w:val="24"/>
          <w:lang w:eastAsia="en-GB"/>
        </w:rPr>
        <w:t>Policy 91 – Water Quality and Water Resources</w:t>
      </w:r>
    </w:p>
    <w:p w14:paraId="7154B7EB"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5A20B93E"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Q119</w:t>
      </w:r>
      <w:r w:rsidRPr="00B81E21">
        <w:rPr>
          <w:rFonts w:ascii="Verdana" w:eastAsia="Calibri" w:hAnsi="Verdana" w:cs="Times New Roman"/>
          <w:lang w:eastAsia="en-GB"/>
        </w:rPr>
        <w:tab/>
      </w:r>
      <w:r w:rsidRPr="00B81E21">
        <w:rPr>
          <w:rFonts w:ascii="Verdana" w:eastAsia="Calibri" w:hAnsi="Verdana" w:cs="Times New Roman"/>
          <w:sz w:val="24"/>
          <w:szCs w:val="24"/>
          <w:lang w:eastAsia="en-GB"/>
        </w:rPr>
        <w:t>Having regard to the expectations of the Planning Practice Guidance</w:t>
      </w:r>
      <w:r w:rsidRPr="00B81E21">
        <w:rPr>
          <w:rFonts w:ascii="Verdana" w:eastAsia="Calibri" w:hAnsi="Verdana" w:cs="Times New Roman"/>
          <w:sz w:val="24"/>
          <w:szCs w:val="24"/>
          <w:vertAlign w:val="superscript"/>
          <w:lang w:eastAsia="en-GB"/>
        </w:rPr>
        <w:footnoteReference w:id="1"/>
      </w:r>
      <w:r w:rsidRPr="00B81E21">
        <w:rPr>
          <w:rFonts w:ascii="Verdana" w:eastAsia="Calibri" w:hAnsi="Verdana" w:cs="Times New Roman"/>
          <w:sz w:val="24"/>
          <w:szCs w:val="24"/>
          <w:lang w:eastAsia="en-GB"/>
        </w:rPr>
        <w:t xml:space="preserve">, is there evidence of a clear local need for the </w:t>
      </w:r>
      <w:r w:rsidRPr="00B81E21">
        <w:rPr>
          <w:rFonts w:ascii="Verdana" w:eastAsia="Calibri" w:hAnsi="Verdana" w:cs="Times New Roman"/>
          <w:sz w:val="24"/>
          <w:szCs w:val="24"/>
          <w:lang w:eastAsia="en-GB"/>
        </w:rPr>
        <w:lastRenderedPageBreak/>
        <w:t>residential water efficiency standard set out in criterion C of Policy 91?</w:t>
      </w:r>
    </w:p>
    <w:p w14:paraId="346F5791"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p>
    <w:p w14:paraId="2E7F1990"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r w:rsidRPr="00B81E21">
        <w:rPr>
          <w:rFonts w:ascii="Verdana" w:eastAsia="Calibri" w:hAnsi="Verdana" w:cs="Times New Roman"/>
          <w:i/>
          <w:iCs/>
          <w:sz w:val="24"/>
          <w:szCs w:val="24"/>
          <w:lang w:eastAsia="en-GB"/>
        </w:rPr>
        <w:t>Policy 92 – Contaminated Land</w:t>
      </w:r>
    </w:p>
    <w:p w14:paraId="5D047284"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0EAA1D8E"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Q120</w:t>
      </w:r>
      <w:r w:rsidRPr="00B81E21">
        <w:rPr>
          <w:rFonts w:ascii="Calibri" w:eastAsia="Calibri" w:hAnsi="Calibri" w:cs="Times New Roman"/>
        </w:rPr>
        <w:tab/>
      </w:r>
      <w:r w:rsidRPr="00B81E21">
        <w:rPr>
          <w:rFonts w:ascii="Verdana" w:eastAsia="Calibri" w:hAnsi="Verdana" w:cs="Times New Roman"/>
          <w:sz w:val="24"/>
          <w:szCs w:val="24"/>
          <w:lang w:eastAsia="en-GB"/>
        </w:rPr>
        <w:t>Will Policy 92 be effective in managing contaminated land and preventing the spread of contamination?</w:t>
      </w:r>
    </w:p>
    <w:p w14:paraId="2F3C7DC5"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3EB1B659" w14:textId="77777777" w:rsidR="00B81E21" w:rsidRPr="00B81E21" w:rsidRDefault="00B81E21" w:rsidP="00B81E21">
      <w:pPr>
        <w:spacing w:after="0" w:line="240" w:lineRule="auto"/>
        <w:ind w:left="907" w:hanging="907"/>
        <w:rPr>
          <w:rFonts w:ascii="Verdana" w:eastAsia="Calibri" w:hAnsi="Verdana" w:cs="Times New Roman"/>
          <w:i/>
          <w:iCs/>
          <w:sz w:val="24"/>
          <w:szCs w:val="24"/>
          <w:lang w:eastAsia="en-GB"/>
        </w:rPr>
      </w:pPr>
      <w:r w:rsidRPr="00B81E21">
        <w:rPr>
          <w:rFonts w:ascii="Verdana" w:eastAsia="Calibri" w:hAnsi="Verdana" w:cs="Times New Roman"/>
          <w:i/>
          <w:iCs/>
          <w:sz w:val="24"/>
          <w:szCs w:val="24"/>
          <w:lang w:eastAsia="en-GB"/>
        </w:rPr>
        <w:t>Policy 93 – Managing Flood Risk</w:t>
      </w:r>
    </w:p>
    <w:p w14:paraId="42AD4E9F" w14:textId="77777777" w:rsidR="00B81E21" w:rsidRPr="00B81E21" w:rsidRDefault="00B81E21" w:rsidP="00B81E21">
      <w:pPr>
        <w:spacing w:after="0" w:line="240" w:lineRule="auto"/>
        <w:ind w:left="907" w:hanging="907"/>
        <w:rPr>
          <w:rFonts w:ascii="Calibri" w:eastAsia="Calibri" w:hAnsi="Calibri" w:cs="Times New Roman"/>
          <w:i/>
          <w:iCs/>
          <w:sz w:val="24"/>
          <w:szCs w:val="24"/>
          <w:lang w:eastAsia="en-GB"/>
        </w:rPr>
      </w:pPr>
    </w:p>
    <w:p w14:paraId="0DADFEE2"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Q121</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Is Policy 93 effective and consistent with national policy in relation to flood risk? </w:t>
      </w:r>
    </w:p>
    <w:p w14:paraId="6717E4C3"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 xml:space="preserve"> </w:t>
      </w:r>
    </w:p>
    <w:p w14:paraId="1AB003AE"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Q122</w:t>
      </w:r>
      <w:r w:rsidRPr="00B81E21">
        <w:rPr>
          <w:rFonts w:ascii="Verdana" w:eastAsia="Calibri" w:hAnsi="Verdana" w:cs="Times New Roman"/>
          <w:lang w:eastAsia="en-GB"/>
        </w:rPr>
        <w:tab/>
      </w:r>
      <w:r w:rsidRPr="00B81E21">
        <w:rPr>
          <w:rFonts w:ascii="Verdana" w:eastAsia="Calibri" w:hAnsi="Verdana" w:cs="Times New Roman"/>
          <w:sz w:val="24"/>
          <w:szCs w:val="24"/>
          <w:lang w:eastAsia="en-GB"/>
        </w:rPr>
        <w:t>Is the policy sufficiently flexible to respond to situations where Sustainable Drainage Systems will not be appropriate, including having regard to the PPG</w:t>
      </w:r>
      <w:r w:rsidRPr="00B81E21">
        <w:rPr>
          <w:rFonts w:ascii="Verdana" w:eastAsia="Calibri" w:hAnsi="Verdana" w:cs="Times New Roman"/>
          <w:sz w:val="24"/>
          <w:szCs w:val="24"/>
          <w:vertAlign w:val="superscript"/>
          <w:lang w:eastAsia="en-GB"/>
        </w:rPr>
        <w:footnoteReference w:id="2"/>
      </w:r>
      <w:r w:rsidRPr="00B81E21">
        <w:rPr>
          <w:rFonts w:ascii="Verdana" w:eastAsia="Calibri" w:hAnsi="Verdana" w:cs="Times New Roman"/>
          <w:sz w:val="24"/>
          <w:szCs w:val="24"/>
          <w:lang w:eastAsia="en-GB"/>
        </w:rPr>
        <w:t>?</w:t>
      </w:r>
    </w:p>
    <w:p w14:paraId="6D89E0D5"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p>
    <w:p w14:paraId="5D83352D"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Q123</w:t>
      </w:r>
      <w:r w:rsidRPr="00B81E21">
        <w:rPr>
          <w:rFonts w:ascii="Calibri" w:eastAsia="Calibri" w:hAnsi="Calibri" w:cs="Times New Roman"/>
        </w:rPr>
        <w:tab/>
      </w:r>
      <w:r w:rsidRPr="00B81E21">
        <w:rPr>
          <w:rFonts w:ascii="Verdana" w:eastAsia="Calibri" w:hAnsi="Verdana" w:cs="Times New Roman"/>
          <w:sz w:val="24"/>
          <w:szCs w:val="24"/>
          <w:lang w:eastAsia="en-GB"/>
        </w:rPr>
        <w:t>How will criterion H be implemented in practice?  Is it sufficiently clear to potential applicants and decision makers how they should respond to it?</w:t>
      </w:r>
    </w:p>
    <w:p w14:paraId="0D9BEB79" w14:textId="77777777" w:rsidR="00B81E21" w:rsidRPr="00B81E21" w:rsidRDefault="00B81E21" w:rsidP="00B81E21">
      <w:pPr>
        <w:spacing w:after="0" w:line="240" w:lineRule="auto"/>
        <w:ind w:left="907" w:hanging="907"/>
        <w:rPr>
          <w:rFonts w:ascii="Calibri" w:eastAsia="Calibri" w:hAnsi="Calibri" w:cs="Times New Roman"/>
          <w:sz w:val="24"/>
          <w:szCs w:val="24"/>
          <w:lang w:eastAsia="en-GB"/>
        </w:rPr>
      </w:pPr>
    </w:p>
    <w:p w14:paraId="31A5388E"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Q124</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How will criterion K be implemented in practice?  Have such flood alleviation projects been identified and costed? </w:t>
      </w:r>
    </w:p>
    <w:p w14:paraId="2A7770E3"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 xml:space="preserve"> </w:t>
      </w:r>
    </w:p>
    <w:p w14:paraId="43326B03"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bookmarkStart w:id="1" w:name="_Hlk85207244"/>
      <w:r w:rsidRPr="00B81E21">
        <w:rPr>
          <w:rFonts w:ascii="Verdana" w:eastAsia="Calibri" w:hAnsi="Verdana" w:cs="Times New Roman"/>
          <w:sz w:val="24"/>
          <w:szCs w:val="24"/>
          <w:lang w:eastAsia="en-GB"/>
        </w:rPr>
        <w:t>Q125</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Overall, are Policies 87-95 positively prepared, justified, effective, consistent with national policy, and in general conformity with the London Plan?  </w:t>
      </w:r>
    </w:p>
    <w:p w14:paraId="004034ED"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p>
    <w:p w14:paraId="3A3B0B9D" w14:textId="77777777" w:rsidR="00B81E21" w:rsidRPr="00B81E21" w:rsidRDefault="00B81E21" w:rsidP="00B81E21">
      <w:pPr>
        <w:spacing w:after="0" w:line="240" w:lineRule="auto"/>
        <w:ind w:left="907" w:hanging="907"/>
        <w:rPr>
          <w:rFonts w:ascii="Verdana" w:eastAsia="Calibri" w:hAnsi="Verdana" w:cs="Times New Roman"/>
          <w:sz w:val="24"/>
          <w:szCs w:val="24"/>
          <w:lang w:eastAsia="en-GB"/>
        </w:rPr>
      </w:pPr>
      <w:r w:rsidRPr="00B81E21">
        <w:rPr>
          <w:rFonts w:ascii="Verdana" w:eastAsia="Calibri" w:hAnsi="Verdana" w:cs="Times New Roman"/>
          <w:sz w:val="24"/>
          <w:szCs w:val="24"/>
          <w:lang w:eastAsia="en-GB"/>
        </w:rPr>
        <w:t>Q126</w:t>
      </w:r>
      <w:r w:rsidRPr="00B81E21">
        <w:rPr>
          <w:rFonts w:ascii="Calibri" w:eastAsia="Calibri" w:hAnsi="Calibri" w:cs="Times New Roman"/>
        </w:rPr>
        <w:tab/>
      </w:r>
      <w:r w:rsidRPr="00B81E21">
        <w:rPr>
          <w:rFonts w:ascii="Verdana" w:eastAsia="Calibri" w:hAnsi="Verdana" w:cs="Times New Roman"/>
          <w:sz w:val="24"/>
          <w:szCs w:val="24"/>
          <w:lang w:eastAsia="en-GB"/>
        </w:rPr>
        <w:t xml:space="preserve">Are any main modifications necessary for soundness?  </w:t>
      </w:r>
      <w:bookmarkEnd w:id="1"/>
    </w:p>
    <w:p w14:paraId="12AD95D0" w14:textId="77777777" w:rsidR="00306A95" w:rsidRPr="00306A95" w:rsidRDefault="00306A95" w:rsidP="00306A95">
      <w:pPr>
        <w:rPr>
          <w:rFonts w:ascii="Verdana" w:hAnsi="Verdana"/>
        </w:rPr>
      </w:pPr>
    </w:p>
    <w:sectPr w:rsidR="00306A95" w:rsidRPr="00306A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65ED" w14:textId="77777777" w:rsidR="00CB5006" w:rsidRDefault="00CB5006">
      <w:pPr>
        <w:spacing w:after="0" w:line="240" w:lineRule="auto"/>
      </w:pPr>
      <w:r>
        <w:separator/>
      </w:r>
    </w:p>
  </w:endnote>
  <w:endnote w:type="continuationSeparator" w:id="0">
    <w:p w14:paraId="5F5931A0" w14:textId="77777777" w:rsidR="00CB5006" w:rsidRDefault="00C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F48" w14:textId="77777777" w:rsidR="00FE1442" w:rsidRDefault="00FD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23CBCBF7" w14:textId="77777777" w:rsidR="00D140CE" w:rsidRDefault="00395A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5C8557" w14:textId="77777777" w:rsidR="00DB100C" w:rsidRDefault="00FD1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381" w14:textId="77777777" w:rsidR="00FE1442" w:rsidRDefault="00FD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5973" w14:textId="77777777" w:rsidR="00CB5006" w:rsidRDefault="00CB5006">
      <w:pPr>
        <w:spacing w:after="0" w:line="240" w:lineRule="auto"/>
      </w:pPr>
      <w:r>
        <w:separator/>
      </w:r>
    </w:p>
  </w:footnote>
  <w:footnote w:type="continuationSeparator" w:id="0">
    <w:p w14:paraId="50209224" w14:textId="77777777" w:rsidR="00CB5006" w:rsidRDefault="00CB5006">
      <w:pPr>
        <w:spacing w:after="0" w:line="240" w:lineRule="auto"/>
      </w:pPr>
      <w:r>
        <w:continuationSeparator/>
      </w:r>
    </w:p>
  </w:footnote>
  <w:footnote w:id="1">
    <w:p w14:paraId="063963A0" w14:textId="77777777" w:rsidR="00B81E21" w:rsidRDefault="00B81E21" w:rsidP="00B81E21">
      <w:pPr>
        <w:pStyle w:val="FootnoteText"/>
      </w:pPr>
      <w:r w:rsidRPr="6103C4BD">
        <w:rPr>
          <w:rStyle w:val="FootnoteReference"/>
          <w:rFonts w:eastAsia="Calibri" w:cs="Arial"/>
        </w:rPr>
        <w:footnoteRef/>
      </w:r>
      <w:r w:rsidRPr="6103C4BD">
        <w:rPr>
          <w:rFonts w:eastAsia="Calibri" w:cs="Arial"/>
        </w:rPr>
        <w:t xml:space="preserve"> </w:t>
      </w:r>
    </w:p>
  </w:footnote>
  <w:footnote w:id="2">
    <w:p w14:paraId="62AFADF7" w14:textId="77777777" w:rsidR="00B81E21" w:rsidRDefault="00B81E21" w:rsidP="00B81E21">
      <w:pPr>
        <w:pStyle w:val="FootnoteText"/>
      </w:pPr>
      <w:r>
        <w:rPr>
          <w:rStyle w:val="FootnoteReference"/>
        </w:rPr>
        <w:footnoteRef/>
      </w:r>
      <w:r>
        <w:t xml:space="preserve"> PPG Reference ID: 7-082-20150323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67F" w14:textId="77777777" w:rsidR="00FE1442" w:rsidRDefault="00FD1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04B" w14:textId="77777777" w:rsidR="00FE1442" w:rsidRDefault="00FD1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B66" w14:textId="77777777" w:rsidR="00FE1442" w:rsidRDefault="00FD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9E3"/>
    <w:multiLevelType w:val="hybridMultilevel"/>
    <w:tmpl w:val="37EE05DA"/>
    <w:lvl w:ilvl="0" w:tplc="35183E80">
      <w:numFmt w:val="bullet"/>
      <w:lvlText w:val="-"/>
      <w:lvlJc w:val="left"/>
      <w:pPr>
        <w:ind w:left="1080" w:hanging="360"/>
      </w:pPr>
      <w:rPr>
        <w:rFonts w:ascii="Verdana" w:eastAsia="Calibri" w:hAnsi="Verdana"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6D423E"/>
    <w:multiLevelType w:val="hybridMultilevel"/>
    <w:tmpl w:val="FAC4D1A4"/>
    <w:lvl w:ilvl="0" w:tplc="FBC0BD82">
      <w:start w:val="1"/>
      <w:numFmt w:val="bullet"/>
      <w:lvlText w:val=""/>
      <w:lvlJc w:val="left"/>
      <w:pPr>
        <w:ind w:left="720" w:hanging="360"/>
      </w:pPr>
      <w:rPr>
        <w:rFonts w:ascii="Symbol" w:hAnsi="Symbol" w:hint="default"/>
      </w:rPr>
    </w:lvl>
    <w:lvl w:ilvl="1" w:tplc="BD389A1C">
      <w:start w:val="1"/>
      <w:numFmt w:val="bullet"/>
      <w:lvlText w:val="o"/>
      <w:lvlJc w:val="left"/>
      <w:pPr>
        <w:ind w:left="1440" w:hanging="360"/>
      </w:pPr>
      <w:rPr>
        <w:rFonts w:ascii="Courier New" w:hAnsi="Courier New" w:hint="default"/>
      </w:rPr>
    </w:lvl>
    <w:lvl w:ilvl="2" w:tplc="A81A71DE">
      <w:start w:val="1"/>
      <w:numFmt w:val="bullet"/>
      <w:lvlText w:val=""/>
      <w:lvlJc w:val="left"/>
      <w:pPr>
        <w:ind w:left="2160" w:hanging="360"/>
      </w:pPr>
      <w:rPr>
        <w:rFonts w:ascii="Wingdings" w:hAnsi="Wingdings" w:hint="default"/>
      </w:rPr>
    </w:lvl>
    <w:lvl w:ilvl="3" w:tplc="E688ABF4">
      <w:start w:val="1"/>
      <w:numFmt w:val="bullet"/>
      <w:lvlText w:val=""/>
      <w:lvlJc w:val="left"/>
      <w:pPr>
        <w:ind w:left="2880" w:hanging="360"/>
      </w:pPr>
      <w:rPr>
        <w:rFonts w:ascii="Symbol" w:hAnsi="Symbol" w:hint="default"/>
      </w:rPr>
    </w:lvl>
    <w:lvl w:ilvl="4" w:tplc="4A7CEBF4">
      <w:start w:val="1"/>
      <w:numFmt w:val="bullet"/>
      <w:lvlText w:val="o"/>
      <w:lvlJc w:val="left"/>
      <w:pPr>
        <w:ind w:left="3600" w:hanging="360"/>
      </w:pPr>
      <w:rPr>
        <w:rFonts w:ascii="Courier New" w:hAnsi="Courier New" w:hint="default"/>
      </w:rPr>
    </w:lvl>
    <w:lvl w:ilvl="5" w:tplc="98128B3E">
      <w:start w:val="1"/>
      <w:numFmt w:val="bullet"/>
      <w:lvlText w:val=""/>
      <w:lvlJc w:val="left"/>
      <w:pPr>
        <w:ind w:left="4320" w:hanging="360"/>
      </w:pPr>
      <w:rPr>
        <w:rFonts w:ascii="Wingdings" w:hAnsi="Wingdings" w:hint="default"/>
      </w:rPr>
    </w:lvl>
    <w:lvl w:ilvl="6" w:tplc="39221F4E">
      <w:start w:val="1"/>
      <w:numFmt w:val="bullet"/>
      <w:lvlText w:val=""/>
      <w:lvlJc w:val="left"/>
      <w:pPr>
        <w:ind w:left="5040" w:hanging="360"/>
      </w:pPr>
      <w:rPr>
        <w:rFonts w:ascii="Symbol" w:hAnsi="Symbol" w:hint="default"/>
      </w:rPr>
    </w:lvl>
    <w:lvl w:ilvl="7" w:tplc="678E38A2">
      <w:start w:val="1"/>
      <w:numFmt w:val="bullet"/>
      <w:lvlText w:val="o"/>
      <w:lvlJc w:val="left"/>
      <w:pPr>
        <w:ind w:left="5760" w:hanging="360"/>
      </w:pPr>
      <w:rPr>
        <w:rFonts w:ascii="Courier New" w:hAnsi="Courier New" w:hint="default"/>
      </w:rPr>
    </w:lvl>
    <w:lvl w:ilvl="8" w:tplc="258E106A">
      <w:start w:val="1"/>
      <w:numFmt w:val="bullet"/>
      <w:lvlText w:val=""/>
      <w:lvlJc w:val="left"/>
      <w:pPr>
        <w:ind w:left="6480" w:hanging="360"/>
      </w:pPr>
      <w:rPr>
        <w:rFonts w:ascii="Wingdings" w:hAnsi="Wingdings" w:hint="default"/>
      </w:rPr>
    </w:lvl>
  </w:abstractNum>
  <w:abstractNum w:abstractNumId="4" w15:restartNumberingAfterBreak="0">
    <w:nsid w:val="5C266296"/>
    <w:multiLevelType w:val="hybridMultilevel"/>
    <w:tmpl w:val="BE86A004"/>
    <w:lvl w:ilvl="0" w:tplc="681EC844">
      <w:start w:val="1"/>
      <w:numFmt w:val="bullet"/>
      <w:lvlText w:val=""/>
      <w:lvlJc w:val="left"/>
      <w:pPr>
        <w:ind w:left="720" w:hanging="360"/>
      </w:pPr>
      <w:rPr>
        <w:rFonts w:ascii="Symbol" w:hAnsi="Symbol" w:hint="default"/>
      </w:rPr>
    </w:lvl>
    <w:lvl w:ilvl="1" w:tplc="8A4E7944">
      <w:start w:val="1"/>
      <w:numFmt w:val="bullet"/>
      <w:lvlText w:val="o"/>
      <w:lvlJc w:val="left"/>
      <w:pPr>
        <w:ind w:left="1440" w:hanging="360"/>
      </w:pPr>
      <w:rPr>
        <w:rFonts w:ascii="Courier New" w:hAnsi="Courier New" w:hint="default"/>
      </w:rPr>
    </w:lvl>
    <w:lvl w:ilvl="2" w:tplc="8548C2D2">
      <w:start w:val="1"/>
      <w:numFmt w:val="bullet"/>
      <w:lvlText w:val=""/>
      <w:lvlJc w:val="left"/>
      <w:pPr>
        <w:ind w:left="2160" w:hanging="360"/>
      </w:pPr>
      <w:rPr>
        <w:rFonts w:ascii="Wingdings" w:hAnsi="Wingdings" w:hint="default"/>
      </w:rPr>
    </w:lvl>
    <w:lvl w:ilvl="3" w:tplc="9B629AF8">
      <w:start w:val="1"/>
      <w:numFmt w:val="bullet"/>
      <w:lvlText w:val=""/>
      <w:lvlJc w:val="left"/>
      <w:pPr>
        <w:ind w:left="2880" w:hanging="360"/>
      </w:pPr>
      <w:rPr>
        <w:rFonts w:ascii="Symbol" w:hAnsi="Symbol" w:hint="default"/>
      </w:rPr>
    </w:lvl>
    <w:lvl w:ilvl="4" w:tplc="9642DF44">
      <w:start w:val="1"/>
      <w:numFmt w:val="bullet"/>
      <w:lvlText w:val="o"/>
      <w:lvlJc w:val="left"/>
      <w:pPr>
        <w:ind w:left="3600" w:hanging="360"/>
      </w:pPr>
      <w:rPr>
        <w:rFonts w:ascii="Courier New" w:hAnsi="Courier New" w:hint="default"/>
      </w:rPr>
    </w:lvl>
    <w:lvl w:ilvl="5" w:tplc="D472DB18">
      <w:start w:val="1"/>
      <w:numFmt w:val="bullet"/>
      <w:lvlText w:val=""/>
      <w:lvlJc w:val="left"/>
      <w:pPr>
        <w:ind w:left="4320" w:hanging="360"/>
      </w:pPr>
      <w:rPr>
        <w:rFonts w:ascii="Wingdings" w:hAnsi="Wingdings" w:hint="default"/>
      </w:rPr>
    </w:lvl>
    <w:lvl w:ilvl="6" w:tplc="DB68D9DE">
      <w:start w:val="1"/>
      <w:numFmt w:val="bullet"/>
      <w:lvlText w:val=""/>
      <w:lvlJc w:val="left"/>
      <w:pPr>
        <w:ind w:left="5040" w:hanging="360"/>
      </w:pPr>
      <w:rPr>
        <w:rFonts w:ascii="Symbol" w:hAnsi="Symbol" w:hint="default"/>
      </w:rPr>
    </w:lvl>
    <w:lvl w:ilvl="7" w:tplc="C35C57C0">
      <w:start w:val="1"/>
      <w:numFmt w:val="bullet"/>
      <w:lvlText w:val="o"/>
      <w:lvlJc w:val="left"/>
      <w:pPr>
        <w:ind w:left="5760" w:hanging="360"/>
      </w:pPr>
      <w:rPr>
        <w:rFonts w:ascii="Courier New" w:hAnsi="Courier New" w:hint="default"/>
      </w:rPr>
    </w:lvl>
    <w:lvl w:ilvl="8" w:tplc="DDFEF4F0">
      <w:start w:val="1"/>
      <w:numFmt w:val="bullet"/>
      <w:lvlText w:val=""/>
      <w:lvlJc w:val="left"/>
      <w:pPr>
        <w:ind w:left="6480" w:hanging="360"/>
      </w:pPr>
      <w:rPr>
        <w:rFonts w:ascii="Wingdings" w:hAnsi="Wingdings" w:hint="default"/>
      </w:rPr>
    </w:lvl>
  </w:abstractNum>
  <w:abstractNum w:abstractNumId="5"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137771"/>
    <w:multiLevelType w:val="hybridMultilevel"/>
    <w:tmpl w:val="18107DB6"/>
    <w:lvl w:ilvl="0" w:tplc="35C4E7A2">
      <w:start w:val="1"/>
      <w:numFmt w:val="bullet"/>
      <w:lvlText w:val=""/>
      <w:lvlJc w:val="left"/>
      <w:pPr>
        <w:ind w:left="720" w:hanging="360"/>
      </w:pPr>
      <w:rPr>
        <w:rFonts w:ascii="Symbol" w:hAnsi="Symbol" w:hint="default"/>
      </w:rPr>
    </w:lvl>
    <w:lvl w:ilvl="1" w:tplc="CE761EA4">
      <w:start w:val="1"/>
      <w:numFmt w:val="bullet"/>
      <w:lvlText w:val="o"/>
      <w:lvlJc w:val="left"/>
      <w:pPr>
        <w:ind w:left="1440" w:hanging="360"/>
      </w:pPr>
      <w:rPr>
        <w:rFonts w:ascii="Courier New" w:hAnsi="Courier New" w:hint="default"/>
      </w:rPr>
    </w:lvl>
    <w:lvl w:ilvl="2" w:tplc="D30C21D2">
      <w:start w:val="1"/>
      <w:numFmt w:val="bullet"/>
      <w:lvlText w:val=""/>
      <w:lvlJc w:val="left"/>
      <w:pPr>
        <w:ind w:left="2160" w:hanging="360"/>
      </w:pPr>
      <w:rPr>
        <w:rFonts w:ascii="Wingdings" w:hAnsi="Wingdings" w:hint="default"/>
      </w:rPr>
    </w:lvl>
    <w:lvl w:ilvl="3" w:tplc="F43ADAFC">
      <w:start w:val="1"/>
      <w:numFmt w:val="bullet"/>
      <w:lvlText w:val=""/>
      <w:lvlJc w:val="left"/>
      <w:pPr>
        <w:ind w:left="2880" w:hanging="360"/>
      </w:pPr>
      <w:rPr>
        <w:rFonts w:ascii="Symbol" w:hAnsi="Symbol" w:hint="default"/>
      </w:rPr>
    </w:lvl>
    <w:lvl w:ilvl="4" w:tplc="B0FA0428">
      <w:start w:val="1"/>
      <w:numFmt w:val="bullet"/>
      <w:lvlText w:val="o"/>
      <w:lvlJc w:val="left"/>
      <w:pPr>
        <w:ind w:left="3600" w:hanging="360"/>
      </w:pPr>
      <w:rPr>
        <w:rFonts w:ascii="Courier New" w:hAnsi="Courier New" w:hint="default"/>
      </w:rPr>
    </w:lvl>
    <w:lvl w:ilvl="5" w:tplc="CB840BC4">
      <w:start w:val="1"/>
      <w:numFmt w:val="bullet"/>
      <w:lvlText w:val=""/>
      <w:lvlJc w:val="left"/>
      <w:pPr>
        <w:ind w:left="4320" w:hanging="360"/>
      </w:pPr>
      <w:rPr>
        <w:rFonts w:ascii="Wingdings" w:hAnsi="Wingdings" w:hint="default"/>
      </w:rPr>
    </w:lvl>
    <w:lvl w:ilvl="6" w:tplc="B2D880C4">
      <w:start w:val="1"/>
      <w:numFmt w:val="bullet"/>
      <w:lvlText w:val=""/>
      <w:lvlJc w:val="left"/>
      <w:pPr>
        <w:ind w:left="5040" w:hanging="360"/>
      </w:pPr>
      <w:rPr>
        <w:rFonts w:ascii="Symbol" w:hAnsi="Symbol" w:hint="default"/>
      </w:rPr>
    </w:lvl>
    <w:lvl w:ilvl="7" w:tplc="4B9E7B50">
      <w:start w:val="1"/>
      <w:numFmt w:val="bullet"/>
      <w:lvlText w:val="o"/>
      <w:lvlJc w:val="left"/>
      <w:pPr>
        <w:ind w:left="5760" w:hanging="360"/>
      </w:pPr>
      <w:rPr>
        <w:rFonts w:ascii="Courier New" w:hAnsi="Courier New" w:hint="default"/>
      </w:rPr>
    </w:lvl>
    <w:lvl w:ilvl="8" w:tplc="1B5AD526">
      <w:start w:val="1"/>
      <w:numFmt w:val="bullet"/>
      <w:lvlText w:val=""/>
      <w:lvlJc w:val="left"/>
      <w:pPr>
        <w:ind w:left="6480" w:hanging="360"/>
      </w:pPr>
      <w:rPr>
        <w:rFonts w:ascii="Wingdings" w:hAnsi="Wingdings" w:hint="default"/>
      </w:rPr>
    </w:lvl>
  </w:abstractNum>
  <w:abstractNum w:abstractNumId="7" w15:restartNumberingAfterBreak="0">
    <w:nsid w:val="797F5B99"/>
    <w:multiLevelType w:val="hybridMultilevel"/>
    <w:tmpl w:val="71066CFE"/>
    <w:lvl w:ilvl="0" w:tplc="D9985E46">
      <w:start w:val="1"/>
      <w:numFmt w:val="bullet"/>
      <w:lvlText w:val=""/>
      <w:lvlJc w:val="left"/>
      <w:pPr>
        <w:ind w:left="720" w:hanging="360"/>
      </w:pPr>
      <w:rPr>
        <w:rFonts w:ascii="Symbol" w:hAnsi="Symbol" w:hint="default"/>
      </w:rPr>
    </w:lvl>
    <w:lvl w:ilvl="1" w:tplc="22A0B954">
      <w:start w:val="1"/>
      <w:numFmt w:val="bullet"/>
      <w:lvlText w:val="o"/>
      <w:lvlJc w:val="left"/>
      <w:pPr>
        <w:ind w:left="1440" w:hanging="360"/>
      </w:pPr>
      <w:rPr>
        <w:rFonts w:ascii="Courier New" w:hAnsi="Courier New" w:hint="default"/>
      </w:rPr>
    </w:lvl>
    <w:lvl w:ilvl="2" w:tplc="59269C42">
      <w:start w:val="1"/>
      <w:numFmt w:val="bullet"/>
      <w:lvlText w:val=""/>
      <w:lvlJc w:val="left"/>
      <w:pPr>
        <w:ind w:left="2160" w:hanging="360"/>
      </w:pPr>
      <w:rPr>
        <w:rFonts w:ascii="Wingdings" w:hAnsi="Wingdings" w:hint="default"/>
      </w:rPr>
    </w:lvl>
    <w:lvl w:ilvl="3" w:tplc="1F8ED032">
      <w:start w:val="1"/>
      <w:numFmt w:val="bullet"/>
      <w:lvlText w:val=""/>
      <w:lvlJc w:val="left"/>
      <w:pPr>
        <w:ind w:left="2880" w:hanging="360"/>
      </w:pPr>
      <w:rPr>
        <w:rFonts w:ascii="Symbol" w:hAnsi="Symbol" w:hint="default"/>
      </w:rPr>
    </w:lvl>
    <w:lvl w:ilvl="4" w:tplc="8C588FFC">
      <w:start w:val="1"/>
      <w:numFmt w:val="bullet"/>
      <w:lvlText w:val="o"/>
      <w:lvlJc w:val="left"/>
      <w:pPr>
        <w:ind w:left="3600" w:hanging="360"/>
      </w:pPr>
      <w:rPr>
        <w:rFonts w:ascii="Courier New" w:hAnsi="Courier New" w:hint="default"/>
      </w:rPr>
    </w:lvl>
    <w:lvl w:ilvl="5" w:tplc="3F4C91FC">
      <w:start w:val="1"/>
      <w:numFmt w:val="bullet"/>
      <w:lvlText w:val=""/>
      <w:lvlJc w:val="left"/>
      <w:pPr>
        <w:ind w:left="4320" w:hanging="360"/>
      </w:pPr>
      <w:rPr>
        <w:rFonts w:ascii="Wingdings" w:hAnsi="Wingdings" w:hint="default"/>
      </w:rPr>
    </w:lvl>
    <w:lvl w:ilvl="6" w:tplc="E64EBB0E">
      <w:start w:val="1"/>
      <w:numFmt w:val="bullet"/>
      <w:lvlText w:val=""/>
      <w:lvlJc w:val="left"/>
      <w:pPr>
        <w:ind w:left="5040" w:hanging="360"/>
      </w:pPr>
      <w:rPr>
        <w:rFonts w:ascii="Symbol" w:hAnsi="Symbol" w:hint="default"/>
      </w:rPr>
    </w:lvl>
    <w:lvl w:ilvl="7" w:tplc="A6DA97C2">
      <w:start w:val="1"/>
      <w:numFmt w:val="bullet"/>
      <w:lvlText w:val="o"/>
      <w:lvlJc w:val="left"/>
      <w:pPr>
        <w:ind w:left="5760" w:hanging="360"/>
      </w:pPr>
      <w:rPr>
        <w:rFonts w:ascii="Courier New" w:hAnsi="Courier New" w:hint="default"/>
      </w:rPr>
    </w:lvl>
    <w:lvl w:ilvl="8" w:tplc="51E4ED94">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C"/>
    <w:rsid w:val="000003E9"/>
    <w:rsid w:val="00010149"/>
    <w:rsid w:val="000149E6"/>
    <w:rsid w:val="0001585D"/>
    <w:rsid w:val="0002577C"/>
    <w:rsid w:val="00033B7F"/>
    <w:rsid w:val="000372E9"/>
    <w:rsid w:val="00050E3E"/>
    <w:rsid w:val="000671DC"/>
    <w:rsid w:val="00081820"/>
    <w:rsid w:val="00097F7B"/>
    <w:rsid w:val="000A0170"/>
    <w:rsid w:val="000A481B"/>
    <w:rsid w:val="000D4738"/>
    <w:rsid w:val="000F65F7"/>
    <w:rsid w:val="001061F2"/>
    <w:rsid w:val="001126E4"/>
    <w:rsid w:val="001228B1"/>
    <w:rsid w:val="00122C54"/>
    <w:rsid w:val="00126B33"/>
    <w:rsid w:val="0013042F"/>
    <w:rsid w:val="00147BD1"/>
    <w:rsid w:val="00162638"/>
    <w:rsid w:val="00166471"/>
    <w:rsid w:val="0019697F"/>
    <w:rsid w:val="001B1748"/>
    <w:rsid w:val="001B2249"/>
    <w:rsid w:val="001B3FBF"/>
    <w:rsid w:val="001D17B6"/>
    <w:rsid w:val="001E2B69"/>
    <w:rsid w:val="001F32FB"/>
    <w:rsid w:val="00203972"/>
    <w:rsid w:val="00205ED3"/>
    <w:rsid w:val="00230FB6"/>
    <w:rsid w:val="00257FE8"/>
    <w:rsid w:val="0026031B"/>
    <w:rsid w:val="002C5FE8"/>
    <w:rsid w:val="002C71EF"/>
    <w:rsid w:val="002F1A73"/>
    <w:rsid w:val="0030017B"/>
    <w:rsid w:val="00306A95"/>
    <w:rsid w:val="003075CE"/>
    <w:rsid w:val="00331156"/>
    <w:rsid w:val="003550FD"/>
    <w:rsid w:val="003574BC"/>
    <w:rsid w:val="00363EBA"/>
    <w:rsid w:val="00375B0D"/>
    <w:rsid w:val="0038153B"/>
    <w:rsid w:val="00395A4A"/>
    <w:rsid w:val="003A34FB"/>
    <w:rsid w:val="003D15C6"/>
    <w:rsid w:val="003E1AB7"/>
    <w:rsid w:val="004216A6"/>
    <w:rsid w:val="00461EFE"/>
    <w:rsid w:val="0047019B"/>
    <w:rsid w:val="00484368"/>
    <w:rsid w:val="00487039"/>
    <w:rsid w:val="004955EE"/>
    <w:rsid w:val="00495F6F"/>
    <w:rsid w:val="0049E315"/>
    <w:rsid w:val="004B3FD1"/>
    <w:rsid w:val="004C06D4"/>
    <w:rsid w:val="004E7E6D"/>
    <w:rsid w:val="0050437D"/>
    <w:rsid w:val="00514746"/>
    <w:rsid w:val="005223FB"/>
    <w:rsid w:val="00525318"/>
    <w:rsid w:val="00574977"/>
    <w:rsid w:val="00591B02"/>
    <w:rsid w:val="005A2A49"/>
    <w:rsid w:val="005B30AF"/>
    <w:rsid w:val="005B552F"/>
    <w:rsid w:val="005B6976"/>
    <w:rsid w:val="005F0223"/>
    <w:rsid w:val="005F6341"/>
    <w:rsid w:val="00613DB1"/>
    <w:rsid w:val="006303F4"/>
    <w:rsid w:val="00635CD8"/>
    <w:rsid w:val="006456A4"/>
    <w:rsid w:val="006669FE"/>
    <w:rsid w:val="00693C2B"/>
    <w:rsid w:val="0069409B"/>
    <w:rsid w:val="00696074"/>
    <w:rsid w:val="00697984"/>
    <w:rsid w:val="006A224A"/>
    <w:rsid w:val="006B728A"/>
    <w:rsid w:val="006D0639"/>
    <w:rsid w:val="006D50C5"/>
    <w:rsid w:val="00706AB5"/>
    <w:rsid w:val="00737DC4"/>
    <w:rsid w:val="00766397"/>
    <w:rsid w:val="00776AC8"/>
    <w:rsid w:val="00792FD8"/>
    <w:rsid w:val="007F3DDB"/>
    <w:rsid w:val="00810B52"/>
    <w:rsid w:val="008274A6"/>
    <w:rsid w:val="00831412"/>
    <w:rsid w:val="00862498"/>
    <w:rsid w:val="00892A89"/>
    <w:rsid w:val="008A5071"/>
    <w:rsid w:val="008A7E37"/>
    <w:rsid w:val="008B057A"/>
    <w:rsid w:val="008B5F79"/>
    <w:rsid w:val="008B6A67"/>
    <w:rsid w:val="008C77AB"/>
    <w:rsid w:val="008D197D"/>
    <w:rsid w:val="008E5ABA"/>
    <w:rsid w:val="00943FDA"/>
    <w:rsid w:val="00960B83"/>
    <w:rsid w:val="00984FA3"/>
    <w:rsid w:val="009A7331"/>
    <w:rsid w:val="009BFE84"/>
    <w:rsid w:val="009C1CF6"/>
    <w:rsid w:val="00A1548B"/>
    <w:rsid w:val="00A27217"/>
    <w:rsid w:val="00A37E81"/>
    <w:rsid w:val="00A44F39"/>
    <w:rsid w:val="00A50189"/>
    <w:rsid w:val="00A67E7D"/>
    <w:rsid w:val="00A70DED"/>
    <w:rsid w:val="00A75158"/>
    <w:rsid w:val="00A8468F"/>
    <w:rsid w:val="00A86027"/>
    <w:rsid w:val="00A916D7"/>
    <w:rsid w:val="00AC1FC5"/>
    <w:rsid w:val="00AD62BB"/>
    <w:rsid w:val="00AD6990"/>
    <w:rsid w:val="00AE2AE3"/>
    <w:rsid w:val="00B01A9D"/>
    <w:rsid w:val="00B06FCD"/>
    <w:rsid w:val="00B32007"/>
    <w:rsid w:val="00B71F91"/>
    <w:rsid w:val="00B81E21"/>
    <w:rsid w:val="00B95A36"/>
    <w:rsid w:val="00BA0B3B"/>
    <w:rsid w:val="00C05B66"/>
    <w:rsid w:val="00C247C6"/>
    <w:rsid w:val="00C37D9D"/>
    <w:rsid w:val="00C57C1A"/>
    <w:rsid w:val="00C60F1E"/>
    <w:rsid w:val="00C8007A"/>
    <w:rsid w:val="00C860A6"/>
    <w:rsid w:val="00C9279E"/>
    <w:rsid w:val="00CA70E3"/>
    <w:rsid w:val="00CB5006"/>
    <w:rsid w:val="00CD0B77"/>
    <w:rsid w:val="00CD41FB"/>
    <w:rsid w:val="00D01C9E"/>
    <w:rsid w:val="00D20692"/>
    <w:rsid w:val="00D67002"/>
    <w:rsid w:val="00D67C02"/>
    <w:rsid w:val="00D81160"/>
    <w:rsid w:val="00DB324B"/>
    <w:rsid w:val="00DE7AC1"/>
    <w:rsid w:val="00DF0280"/>
    <w:rsid w:val="00DF3503"/>
    <w:rsid w:val="00E060D8"/>
    <w:rsid w:val="00E07FCC"/>
    <w:rsid w:val="00E24C5B"/>
    <w:rsid w:val="00E25E06"/>
    <w:rsid w:val="00E27E00"/>
    <w:rsid w:val="00E46BCF"/>
    <w:rsid w:val="00E64BFC"/>
    <w:rsid w:val="00EA5C94"/>
    <w:rsid w:val="00EE187A"/>
    <w:rsid w:val="00F1662C"/>
    <w:rsid w:val="00F2056F"/>
    <w:rsid w:val="00F40DA6"/>
    <w:rsid w:val="00F81F83"/>
    <w:rsid w:val="00FD1A4F"/>
    <w:rsid w:val="00FE3113"/>
    <w:rsid w:val="00FEB479"/>
    <w:rsid w:val="00FF29DB"/>
    <w:rsid w:val="00FF39F1"/>
    <w:rsid w:val="014FB045"/>
    <w:rsid w:val="01A1121D"/>
    <w:rsid w:val="01A2E31D"/>
    <w:rsid w:val="02EB328D"/>
    <w:rsid w:val="036F4868"/>
    <w:rsid w:val="03C08392"/>
    <w:rsid w:val="03C88FAA"/>
    <w:rsid w:val="0500F59C"/>
    <w:rsid w:val="0588ADD3"/>
    <w:rsid w:val="05C4F886"/>
    <w:rsid w:val="05DEB825"/>
    <w:rsid w:val="05EE6EAC"/>
    <w:rsid w:val="06157B1E"/>
    <w:rsid w:val="0662B0F1"/>
    <w:rsid w:val="06DF10EC"/>
    <w:rsid w:val="09AC943C"/>
    <w:rsid w:val="09D995A0"/>
    <w:rsid w:val="0A466A41"/>
    <w:rsid w:val="0B6131F0"/>
    <w:rsid w:val="0C852F1F"/>
    <w:rsid w:val="0DB25921"/>
    <w:rsid w:val="0E00BBFB"/>
    <w:rsid w:val="0FB3E0BC"/>
    <w:rsid w:val="0FF1BAE9"/>
    <w:rsid w:val="101BD5C0"/>
    <w:rsid w:val="1034A313"/>
    <w:rsid w:val="10F194D0"/>
    <w:rsid w:val="1110F979"/>
    <w:rsid w:val="11DE8B96"/>
    <w:rsid w:val="126410F7"/>
    <w:rsid w:val="1399019D"/>
    <w:rsid w:val="13A385A3"/>
    <w:rsid w:val="1403166C"/>
    <w:rsid w:val="16174021"/>
    <w:rsid w:val="167ADC0A"/>
    <w:rsid w:val="16F74DB7"/>
    <w:rsid w:val="17543E13"/>
    <w:rsid w:val="17F0DDB9"/>
    <w:rsid w:val="17F790BC"/>
    <w:rsid w:val="180A1729"/>
    <w:rsid w:val="19595D3D"/>
    <w:rsid w:val="197F74D2"/>
    <w:rsid w:val="1A55FA7F"/>
    <w:rsid w:val="1B47401B"/>
    <w:rsid w:val="1B8E4870"/>
    <w:rsid w:val="1C38B2C3"/>
    <w:rsid w:val="1C7930CF"/>
    <w:rsid w:val="1CBC4093"/>
    <w:rsid w:val="1CCF6F8B"/>
    <w:rsid w:val="1D24F86A"/>
    <w:rsid w:val="1D25F902"/>
    <w:rsid w:val="1D4D66DE"/>
    <w:rsid w:val="1E428719"/>
    <w:rsid w:val="1F4C4EB9"/>
    <w:rsid w:val="201D1599"/>
    <w:rsid w:val="20E1F7FC"/>
    <w:rsid w:val="22CEC988"/>
    <w:rsid w:val="239D883A"/>
    <w:rsid w:val="249D875B"/>
    <w:rsid w:val="24CF50B5"/>
    <w:rsid w:val="266B4235"/>
    <w:rsid w:val="27E757F9"/>
    <w:rsid w:val="293E8B7A"/>
    <w:rsid w:val="2982B91B"/>
    <w:rsid w:val="2ABAF3B2"/>
    <w:rsid w:val="2B9F290E"/>
    <w:rsid w:val="2D8DA5DB"/>
    <w:rsid w:val="2E0BD201"/>
    <w:rsid w:val="2E130B69"/>
    <w:rsid w:val="2FAEDBCA"/>
    <w:rsid w:val="2FB6A792"/>
    <w:rsid w:val="3025219D"/>
    <w:rsid w:val="30A318F0"/>
    <w:rsid w:val="318EEE5D"/>
    <w:rsid w:val="31FCD626"/>
    <w:rsid w:val="335E4805"/>
    <w:rsid w:val="337421F6"/>
    <w:rsid w:val="33C1E6EB"/>
    <w:rsid w:val="34ED9B25"/>
    <w:rsid w:val="37671031"/>
    <w:rsid w:val="3826716B"/>
    <w:rsid w:val="3AB6108A"/>
    <w:rsid w:val="3C287039"/>
    <w:rsid w:val="3DAA2299"/>
    <w:rsid w:val="3E7B3D0D"/>
    <w:rsid w:val="3F5E17C2"/>
    <w:rsid w:val="3F861C4F"/>
    <w:rsid w:val="3F88405E"/>
    <w:rsid w:val="3FC5EA01"/>
    <w:rsid w:val="3FD0F941"/>
    <w:rsid w:val="3FF6AC48"/>
    <w:rsid w:val="40A85779"/>
    <w:rsid w:val="41008A6F"/>
    <w:rsid w:val="41B2DDCF"/>
    <w:rsid w:val="41B42B54"/>
    <w:rsid w:val="41B604FD"/>
    <w:rsid w:val="42CE6232"/>
    <w:rsid w:val="43EC22B7"/>
    <w:rsid w:val="44F917A4"/>
    <w:rsid w:val="451829B6"/>
    <w:rsid w:val="45546558"/>
    <w:rsid w:val="456B7C4F"/>
    <w:rsid w:val="457BC89C"/>
    <w:rsid w:val="459735B1"/>
    <w:rsid w:val="465A09AB"/>
    <w:rsid w:val="46DE78F6"/>
    <w:rsid w:val="4716A776"/>
    <w:rsid w:val="47415982"/>
    <w:rsid w:val="4A3F4308"/>
    <w:rsid w:val="4A4E4838"/>
    <w:rsid w:val="4AB55AC6"/>
    <w:rsid w:val="4BD75B9A"/>
    <w:rsid w:val="4C438C31"/>
    <w:rsid w:val="4C8B56BA"/>
    <w:rsid w:val="4E0BC29C"/>
    <w:rsid w:val="4E47148A"/>
    <w:rsid w:val="4EB28EBB"/>
    <w:rsid w:val="4F00C536"/>
    <w:rsid w:val="4F903366"/>
    <w:rsid w:val="50173009"/>
    <w:rsid w:val="5185CBFA"/>
    <w:rsid w:val="51A6AF0C"/>
    <w:rsid w:val="530A90E4"/>
    <w:rsid w:val="5388701D"/>
    <w:rsid w:val="54A8CAF0"/>
    <w:rsid w:val="5509DD66"/>
    <w:rsid w:val="5618C846"/>
    <w:rsid w:val="571F5388"/>
    <w:rsid w:val="5725B396"/>
    <w:rsid w:val="5818C26B"/>
    <w:rsid w:val="5912DDB3"/>
    <w:rsid w:val="5973762E"/>
    <w:rsid w:val="597CC47A"/>
    <w:rsid w:val="597FBD50"/>
    <w:rsid w:val="5A5D5458"/>
    <w:rsid w:val="5A8C5929"/>
    <w:rsid w:val="5ACB4CBA"/>
    <w:rsid w:val="5B77B046"/>
    <w:rsid w:val="5B7A9644"/>
    <w:rsid w:val="5B866A78"/>
    <w:rsid w:val="5BFDF428"/>
    <w:rsid w:val="5CDBC880"/>
    <w:rsid w:val="5DE64ED6"/>
    <w:rsid w:val="5FAFCA5C"/>
    <w:rsid w:val="5FC3375C"/>
    <w:rsid w:val="604B2169"/>
    <w:rsid w:val="60AD0D71"/>
    <w:rsid w:val="6174A34A"/>
    <w:rsid w:val="61DC839F"/>
    <w:rsid w:val="63E4AE33"/>
    <w:rsid w:val="63F68198"/>
    <w:rsid w:val="6404369E"/>
    <w:rsid w:val="6416720D"/>
    <w:rsid w:val="6435667E"/>
    <w:rsid w:val="64801EE9"/>
    <w:rsid w:val="66128E9F"/>
    <w:rsid w:val="67F5B71D"/>
    <w:rsid w:val="682FD0A2"/>
    <w:rsid w:val="684AC904"/>
    <w:rsid w:val="68D7A7C1"/>
    <w:rsid w:val="68EADAD6"/>
    <w:rsid w:val="6B98DA34"/>
    <w:rsid w:val="6D761630"/>
    <w:rsid w:val="6DAB18E4"/>
    <w:rsid w:val="6DDC8CE3"/>
    <w:rsid w:val="6DE9184D"/>
    <w:rsid w:val="6E078754"/>
    <w:rsid w:val="6E10F568"/>
    <w:rsid w:val="6EB18685"/>
    <w:rsid w:val="6F32F6DB"/>
    <w:rsid w:val="6F73D60D"/>
    <w:rsid w:val="6FC4A90B"/>
    <w:rsid w:val="6FDD6646"/>
    <w:rsid w:val="7051BE17"/>
    <w:rsid w:val="70C99149"/>
    <w:rsid w:val="7148962A"/>
    <w:rsid w:val="722B4C9E"/>
    <w:rsid w:val="7232FBC0"/>
    <w:rsid w:val="72B92060"/>
    <w:rsid w:val="73155C9E"/>
    <w:rsid w:val="733CA918"/>
    <w:rsid w:val="73BE49E1"/>
    <w:rsid w:val="7473B9AB"/>
    <w:rsid w:val="75252F3A"/>
    <w:rsid w:val="7528E65D"/>
    <w:rsid w:val="761E0B1E"/>
    <w:rsid w:val="765F80D0"/>
    <w:rsid w:val="79EC5E53"/>
    <w:rsid w:val="7A3025B3"/>
    <w:rsid w:val="7AC3DCAF"/>
    <w:rsid w:val="7B52478D"/>
    <w:rsid w:val="7B643682"/>
    <w:rsid w:val="7B7671F1"/>
    <w:rsid w:val="7BA07B16"/>
    <w:rsid w:val="7C5FAD10"/>
    <w:rsid w:val="7C68B260"/>
    <w:rsid w:val="7E89E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E76"/>
  <w15:chartTrackingRefBased/>
  <w15:docId w15:val="{DB51436A-7B82-4854-921C-B349D957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1DC"/>
    <w:pPr>
      <w:tabs>
        <w:tab w:val="center" w:pos="4513"/>
        <w:tab w:val="right" w:pos="9026"/>
      </w:tabs>
      <w:spacing w:after="0" w:line="240" w:lineRule="auto"/>
    </w:pPr>
    <w:rPr>
      <w:rFonts w:ascii="Verdana" w:hAnsi="Verdana"/>
    </w:rPr>
  </w:style>
  <w:style w:type="character" w:customStyle="1" w:styleId="HeaderChar">
    <w:name w:val="Header Char"/>
    <w:basedOn w:val="DefaultParagraphFont"/>
    <w:link w:val="Header"/>
    <w:uiPriority w:val="99"/>
    <w:rsid w:val="000671DC"/>
    <w:rPr>
      <w:rFonts w:ascii="Verdana" w:hAnsi="Verdana"/>
    </w:rPr>
  </w:style>
  <w:style w:type="paragraph" w:styleId="Footer">
    <w:name w:val="footer"/>
    <w:basedOn w:val="Normal"/>
    <w:link w:val="FooterChar"/>
    <w:uiPriority w:val="99"/>
    <w:unhideWhenUsed/>
    <w:rsid w:val="000671DC"/>
    <w:pPr>
      <w:tabs>
        <w:tab w:val="center" w:pos="4513"/>
        <w:tab w:val="right" w:pos="9026"/>
      </w:tabs>
      <w:spacing w:after="0" w:line="240" w:lineRule="auto"/>
    </w:pPr>
    <w:rPr>
      <w:rFonts w:ascii="Verdana" w:hAnsi="Verdana"/>
    </w:rPr>
  </w:style>
  <w:style w:type="character" w:customStyle="1" w:styleId="FooterChar">
    <w:name w:val="Footer Char"/>
    <w:basedOn w:val="DefaultParagraphFont"/>
    <w:link w:val="Footer"/>
    <w:uiPriority w:val="99"/>
    <w:rsid w:val="000671DC"/>
    <w:rPr>
      <w:rFonts w:ascii="Verdana" w:hAnsi="Verdana"/>
    </w:rPr>
  </w:style>
  <w:style w:type="table" w:styleId="TableGrid">
    <w:name w:val="Table Grid"/>
    <w:basedOn w:val="TableNormal"/>
    <w:uiPriority w:val="59"/>
    <w:rsid w:val="000671DC"/>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1DC"/>
    <w:pPr>
      <w:ind w:left="720"/>
      <w:contextualSpacing/>
    </w:pPr>
  </w:style>
  <w:style w:type="paragraph" w:styleId="FootnoteText">
    <w:name w:val="footnote text"/>
    <w:basedOn w:val="Normal"/>
    <w:link w:val="FootnoteTextChar"/>
    <w:uiPriority w:val="99"/>
    <w:semiHidden/>
    <w:unhideWhenUsed/>
    <w:rsid w:val="00B81E21"/>
    <w:pPr>
      <w:spacing w:after="0" w:line="240" w:lineRule="auto"/>
      <w:ind w:left="907" w:hanging="907"/>
    </w:pPr>
    <w:rPr>
      <w:rFonts w:ascii="Verdana" w:hAnsi="Verdana"/>
      <w:sz w:val="20"/>
      <w:szCs w:val="20"/>
    </w:rPr>
  </w:style>
  <w:style w:type="character" w:customStyle="1" w:styleId="FootnoteTextChar">
    <w:name w:val="Footnote Text Char"/>
    <w:basedOn w:val="DefaultParagraphFont"/>
    <w:link w:val="FootnoteText"/>
    <w:uiPriority w:val="99"/>
    <w:semiHidden/>
    <w:rsid w:val="00B81E21"/>
    <w:rPr>
      <w:rFonts w:ascii="Verdana" w:hAnsi="Verdana"/>
      <w:sz w:val="20"/>
      <w:szCs w:val="20"/>
    </w:rPr>
  </w:style>
  <w:style w:type="character" w:styleId="FootnoteReference">
    <w:name w:val="footnote reference"/>
    <w:basedOn w:val="DefaultParagraphFont"/>
    <w:uiPriority w:val="99"/>
    <w:semiHidden/>
    <w:unhideWhenUsed/>
    <w:rsid w:val="00B81E21"/>
    <w:rPr>
      <w:vertAlign w:val="superscript"/>
    </w:rPr>
  </w:style>
  <w:style w:type="table" w:customStyle="1" w:styleId="TableGrid1">
    <w:name w:val="Table Grid1"/>
    <w:basedOn w:val="TableNormal"/>
    <w:next w:val="TableGrid"/>
    <w:uiPriority w:val="39"/>
    <w:rsid w:val="00B81E21"/>
    <w:pPr>
      <w:spacing w:after="0" w:line="240" w:lineRule="auto"/>
      <w:ind w:left="907" w:hanging="90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Catherine</dc:creator>
  <cp:keywords/>
  <dc:description/>
  <cp:lastModifiedBy>Sarah Housden</cp:lastModifiedBy>
  <cp:revision>2</cp:revision>
  <dcterms:created xsi:type="dcterms:W3CDTF">2022-03-14T12:21:00Z</dcterms:created>
  <dcterms:modified xsi:type="dcterms:W3CDTF">2022-03-14T12:21:00Z</dcterms:modified>
</cp:coreProperties>
</file>