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047" w14:textId="61C9772E" w:rsidR="00DD5F9C" w:rsidRPr="00652A59" w:rsidRDefault="00652A59">
      <w:pPr>
        <w:rPr>
          <w:b/>
          <w:sz w:val="28"/>
          <w:szCs w:val="28"/>
        </w:rPr>
      </w:pPr>
      <w:r w:rsidRPr="00652A59">
        <w:rPr>
          <w:b/>
          <w:sz w:val="28"/>
          <w:szCs w:val="28"/>
        </w:rPr>
        <w:t>London Borough of Waltham Forest:</w:t>
      </w:r>
      <w:r w:rsidR="00CF507C">
        <w:rPr>
          <w:b/>
          <w:sz w:val="28"/>
          <w:szCs w:val="28"/>
        </w:rPr>
        <w:t xml:space="preserve"> Gender Pay </w:t>
      </w:r>
      <w:r w:rsidR="004365FA">
        <w:rPr>
          <w:b/>
          <w:sz w:val="28"/>
          <w:szCs w:val="28"/>
        </w:rPr>
        <w:t xml:space="preserve">Gap </w:t>
      </w:r>
      <w:r w:rsidR="00CF507C">
        <w:rPr>
          <w:b/>
          <w:sz w:val="28"/>
          <w:szCs w:val="28"/>
        </w:rPr>
        <w:t>Report</w:t>
      </w:r>
      <w:r w:rsidR="004365FA">
        <w:rPr>
          <w:b/>
          <w:sz w:val="28"/>
          <w:szCs w:val="28"/>
        </w:rPr>
        <w:t>ing</w:t>
      </w:r>
      <w:r w:rsidRPr="00652A59">
        <w:rPr>
          <w:b/>
          <w:sz w:val="28"/>
          <w:szCs w:val="28"/>
        </w:rPr>
        <w:t xml:space="preserve">  </w:t>
      </w:r>
    </w:p>
    <w:p w14:paraId="16FD9DA4" w14:textId="4FED0EAE" w:rsidR="00652A59" w:rsidRDefault="00652A59">
      <w:pPr>
        <w:rPr>
          <w:b/>
          <w:sz w:val="28"/>
          <w:szCs w:val="28"/>
        </w:rPr>
      </w:pPr>
      <w:r w:rsidRPr="00652A59">
        <w:rPr>
          <w:b/>
          <w:sz w:val="28"/>
          <w:szCs w:val="28"/>
        </w:rPr>
        <w:t xml:space="preserve">Published </w:t>
      </w:r>
      <w:r w:rsidR="00591005">
        <w:rPr>
          <w:b/>
          <w:sz w:val="28"/>
          <w:szCs w:val="28"/>
        </w:rPr>
        <w:t xml:space="preserve">29 March 2023 </w:t>
      </w:r>
    </w:p>
    <w:p w14:paraId="6E7A6BC1" w14:textId="61DA391B" w:rsidR="000500EB" w:rsidRDefault="000500EB">
      <w:pPr>
        <w:rPr>
          <w:b/>
          <w:sz w:val="28"/>
          <w:szCs w:val="28"/>
        </w:rPr>
      </w:pPr>
      <w:r>
        <w:rPr>
          <w:rFonts w:cstheme="minorHAnsi"/>
          <w:sz w:val="24"/>
          <w:szCs w:val="24"/>
        </w:rPr>
        <w:t>At Waltham Forest we are absolutely committed to</w:t>
      </w:r>
      <w:r w:rsidR="00793D60">
        <w:rPr>
          <w:rFonts w:cstheme="minorHAnsi"/>
          <w:sz w:val="24"/>
          <w:szCs w:val="24"/>
        </w:rPr>
        <w:t xml:space="preserve"> boosting life chances and</w:t>
      </w:r>
      <w:r>
        <w:rPr>
          <w:rFonts w:cstheme="minorHAnsi"/>
          <w:sz w:val="24"/>
          <w:szCs w:val="24"/>
        </w:rPr>
        <w:t xml:space="preserve"> reducing inequality in all its forms, including for our staff. Beyond publishing our gap, we are actively working to reduce </w:t>
      </w:r>
      <w:r w:rsidR="005234E0">
        <w:rPr>
          <w:rFonts w:cstheme="minorHAnsi"/>
          <w:sz w:val="24"/>
          <w:szCs w:val="24"/>
        </w:rPr>
        <w:t>the pay gap</w:t>
      </w:r>
      <w:r>
        <w:rPr>
          <w:rFonts w:cstheme="minorHAnsi"/>
          <w:sz w:val="24"/>
          <w:szCs w:val="24"/>
        </w:rPr>
        <w:t xml:space="preserve"> for all women at</w:t>
      </w:r>
      <w:r w:rsidR="00C935C8">
        <w:rPr>
          <w:rFonts w:cstheme="minorHAnsi"/>
          <w:sz w:val="24"/>
          <w:szCs w:val="24"/>
        </w:rPr>
        <w:t xml:space="preserve"> London Borough of Waltham Forest (LBWF)</w:t>
      </w:r>
      <w:r>
        <w:rPr>
          <w:rFonts w:cstheme="minorHAnsi"/>
          <w:sz w:val="24"/>
          <w:szCs w:val="24"/>
        </w:rPr>
        <w:t xml:space="preserve"> including those </w:t>
      </w:r>
      <w:r w:rsidR="005234E0">
        <w:rPr>
          <w:rFonts w:cstheme="minorHAnsi"/>
          <w:sz w:val="24"/>
          <w:szCs w:val="24"/>
        </w:rPr>
        <w:t>employed with</w:t>
      </w:r>
      <w:r>
        <w:rPr>
          <w:rFonts w:cstheme="minorHAnsi"/>
          <w:sz w:val="24"/>
          <w:szCs w:val="24"/>
        </w:rPr>
        <w:t xml:space="preserve">in </w:t>
      </w:r>
      <w:r w:rsidR="006761DB">
        <w:rPr>
          <w:rFonts w:cstheme="minorHAnsi"/>
          <w:sz w:val="24"/>
          <w:szCs w:val="24"/>
        </w:rPr>
        <w:t>lower</w:t>
      </w:r>
      <w:r>
        <w:rPr>
          <w:rFonts w:cstheme="minorHAnsi"/>
          <w:sz w:val="24"/>
          <w:szCs w:val="24"/>
        </w:rPr>
        <w:t xml:space="preserve"> paid role</w:t>
      </w:r>
      <w:r w:rsidR="00793D60">
        <w:rPr>
          <w:rFonts w:cstheme="minorHAnsi"/>
          <w:sz w:val="24"/>
          <w:szCs w:val="24"/>
        </w:rPr>
        <w:t>s</w:t>
      </w:r>
      <w:r w:rsidR="005234E0">
        <w:rPr>
          <w:rFonts w:cstheme="minorHAnsi"/>
          <w:sz w:val="24"/>
          <w:szCs w:val="24"/>
        </w:rPr>
        <w:t>.</w:t>
      </w:r>
      <w:r w:rsidR="00793D60">
        <w:rPr>
          <w:rFonts w:cstheme="minorHAnsi"/>
          <w:sz w:val="24"/>
          <w:szCs w:val="24"/>
        </w:rPr>
        <w:t xml:space="preserve"> </w:t>
      </w:r>
    </w:p>
    <w:p w14:paraId="6984B92E" w14:textId="77777777" w:rsidR="00652A59" w:rsidRPr="006E23F4" w:rsidRDefault="00652A59">
      <w:pPr>
        <w:rPr>
          <w:rFonts w:cstheme="minorHAnsi"/>
          <w:b/>
          <w:sz w:val="24"/>
          <w:szCs w:val="24"/>
        </w:rPr>
      </w:pPr>
      <w:r w:rsidRPr="006E23F4">
        <w:rPr>
          <w:rFonts w:cstheme="minorHAnsi"/>
          <w:b/>
          <w:sz w:val="24"/>
          <w:szCs w:val="24"/>
        </w:rPr>
        <w:t>Background</w:t>
      </w:r>
      <w:r w:rsidR="006761DB">
        <w:rPr>
          <w:rFonts w:cstheme="minorHAnsi"/>
          <w:b/>
          <w:sz w:val="24"/>
          <w:szCs w:val="24"/>
        </w:rPr>
        <w:t xml:space="preserve"> to Gender Pay Gap Reporting</w:t>
      </w:r>
    </w:p>
    <w:p w14:paraId="23C11379" w14:textId="0BCD9D80" w:rsidR="00652A59" w:rsidRPr="006E23F4" w:rsidRDefault="008C1A6D">
      <w:pPr>
        <w:rPr>
          <w:rFonts w:cstheme="minorHAnsi"/>
          <w:sz w:val="24"/>
          <w:szCs w:val="24"/>
        </w:rPr>
      </w:pPr>
      <w:r>
        <w:rPr>
          <w:rFonts w:cstheme="minorHAnsi"/>
          <w:sz w:val="24"/>
          <w:szCs w:val="24"/>
        </w:rPr>
        <w:t>T</w:t>
      </w:r>
      <w:r w:rsidR="00652A59" w:rsidRPr="006E23F4">
        <w:rPr>
          <w:rFonts w:cstheme="minorHAnsi"/>
          <w:sz w:val="24"/>
          <w:szCs w:val="24"/>
        </w:rPr>
        <w:t>he government introduced legislation making it a statutory requirement for all organisations with 250 or more employees to report annually on their gender pay gap. This report must set out:</w:t>
      </w:r>
    </w:p>
    <w:p w14:paraId="4114C2CD"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pay gaps</w:t>
      </w:r>
    </w:p>
    <w:p w14:paraId="54821501"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men and women who receive bonuses</w:t>
      </w:r>
    </w:p>
    <w:p w14:paraId="1D6C9BBC"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bonus gaps, and</w:t>
      </w:r>
    </w:p>
    <w:p w14:paraId="6A9F4300"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male and female employees in each pay quartile</w:t>
      </w:r>
    </w:p>
    <w:p w14:paraId="7ADA50AE" w14:textId="77777777" w:rsidR="00652A59" w:rsidRPr="006E23F4" w:rsidRDefault="00652A59" w:rsidP="00652A59">
      <w:pPr>
        <w:rPr>
          <w:rFonts w:cstheme="minorHAnsi"/>
          <w:sz w:val="24"/>
          <w:szCs w:val="24"/>
        </w:rPr>
      </w:pPr>
      <w:r w:rsidRPr="006E23F4">
        <w:rPr>
          <w:rFonts w:cstheme="minorHAnsi"/>
          <w:sz w:val="24"/>
          <w:szCs w:val="24"/>
        </w:rPr>
        <w:t>The gender pay gap is different to equal pay, as the following definitions explain:</w:t>
      </w:r>
    </w:p>
    <w:p w14:paraId="245622D1"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gender pay gap: the difference between the average pay of men and the average pay of women, irrespective of the job they do</w:t>
      </w:r>
    </w:p>
    <w:p w14:paraId="17826C4B"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equal pay: the principle that men and women doing the same jobs, or similar jobs of equal value, should receive the same pay</w:t>
      </w:r>
    </w:p>
    <w:p w14:paraId="01812DDA" w14:textId="25E2BE90" w:rsidR="00652A59" w:rsidRPr="006E23F4" w:rsidRDefault="00652A59" w:rsidP="00652A59">
      <w:pPr>
        <w:rPr>
          <w:rFonts w:cstheme="minorHAnsi"/>
          <w:sz w:val="24"/>
          <w:szCs w:val="24"/>
        </w:rPr>
      </w:pPr>
      <w:r w:rsidRPr="006E23F4">
        <w:rPr>
          <w:rFonts w:cstheme="minorHAnsi"/>
          <w:sz w:val="24"/>
          <w:szCs w:val="24"/>
        </w:rPr>
        <w:t>The council has robust arrangements in place to ensure it provides equal pay, including an independent and well</w:t>
      </w:r>
      <w:r w:rsidR="00784A17">
        <w:rPr>
          <w:rFonts w:cstheme="minorHAnsi"/>
          <w:sz w:val="24"/>
          <w:szCs w:val="24"/>
        </w:rPr>
        <w:t>-</w:t>
      </w:r>
      <w:r w:rsidRPr="006E23F4">
        <w:rPr>
          <w:rFonts w:cstheme="minorHAnsi"/>
          <w:sz w:val="24"/>
          <w:szCs w:val="24"/>
        </w:rPr>
        <w:t>established job evaluation process</w:t>
      </w:r>
      <w:r w:rsidR="00485083">
        <w:rPr>
          <w:rFonts w:cstheme="minorHAnsi"/>
          <w:sz w:val="24"/>
          <w:szCs w:val="24"/>
        </w:rPr>
        <w:t xml:space="preserve"> and </w:t>
      </w:r>
      <w:r w:rsidR="00265E92">
        <w:rPr>
          <w:rFonts w:cstheme="minorHAnsi"/>
          <w:sz w:val="24"/>
          <w:szCs w:val="24"/>
        </w:rPr>
        <w:t>t</w:t>
      </w:r>
      <w:r w:rsidRPr="006E23F4">
        <w:rPr>
          <w:rFonts w:cstheme="minorHAnsi"/>
          <w:sz w:val="24"/>
          <w:szCs w:val="24"/>
        </w:rPr>
        <w:t xml:space="preserve">he council supports the fair treatment and reward of all its employees, irrespective of </w:t>
      </w:r>
      <w:r w:rsidR="005234E0">
        <w:rPr>
          <w:rFonts w:cstheme="minorHAnsi"/>
          <w:sz w:val="24"/>
          <w:szCs w:val="24"/>
        </w:rPr>
        <w:t xml:space="preserve">their </w:t>
      </w:r>
      <w:r w:rsidRPr="006E23F4">
        <w:rPr>
          <w:rFonts w:cstheme="minorHAnsi"/>
          <w:sz w:val="24"/>
          <w:szCs w:val="24"/>
        </w:rPr>
        <w:t>gender.</w:t>
      </w:r>
    </w:p>
    <w:p w14:paraId="536C737D" w14:textId="1C2CAF73"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hourly pay</w:t>
      </w:r>
    </w:p>
    <w:p w14:paraId="029761B9" w14:textId="445F3D3E" w:rsidR="00652A59" w:rsidRPr="006E23F4" w:rsidRDefault="00652A59" w:rsidP="00652A59">
      <w:pPr>
        <w:rPr>
          <w:rFonts w:cstheme="minorHAnsi"/>
          <w:sz w:val="24"/>
          <w:szCs w:val="24"/>
        </w:rPr>
      </w:pPr>
      <w:r w:rsidRPr="006E23F4">
        <w:rPr>
          <w:rFonts w:cstheme="minorHAnsi"/>
          <w:sz w:val="24"/>
          <w:szCs w:val="24"/>
        </w:rPr>
        <w:t>On 31 March 20</w:t>
      </w:r>
      <w:r w:rsidR="007128BB">
        <w:rPr>
          <w:rFonts w:cstheme="minorHAnsi"/>
          <w:sz w:val="24"/>
          <w:szCs w:val="24"/>
        </w:rPr>
        <w:t>2</w:t>
      </w:r>
      <w:r w:rsidR="000C7454">
        <w:rPr>
          <w:rFonts w:cstheme="minorHAnsi"/>
          <w:sz w:val="24"/>
          <w:szCs w:val="24"/>
        </w:rPr>
        <w:t>2</w:t>
      </w:r>
      <w:r w:rsidRPr="006E23F4">
        <w:rPr>
          <w:rFonts w:cstheme="minorHAnsi"/>
          <w:sz w:val="24"/>
          <w:szCs w:val="24"/>
        </w:rPr>
        <w:t>, women’s hourly pay was:</w:t>
      </w:r>
    </w:p>
    <w:p w14:paraId="048CAB7C" w14:textId="43DC378A" w:rsidR="00652A59" w:rsidRDefault="00AC0AD9" w:rsidP="00652A59">
      <w:pPr>
        <w:pStyle w:val="ListParagraph"/>
        <w:numPr>
          <w:ilvl w:val="0"/>
          <w:numId w:val="3"/>
        </w:numPr>
        <w:rPr>
          <w:rFonts w:cstheme="minorHAnsi"/>
          <w:sz w:val="24"/>
          <w:szCs w:val="24"/>
        </w:rPr>
      </w:pPr>
      <w:r>
        <w:rPr>
          <w:rFonts w:cstheme="minorHAnsi"/>
          <w:sz w:val="24"/>
          <w:szCs w:val="24"/>
        </w:rPr>
        <w:t>9.30</w:t>
      </w:r>
      <w:r w:rsidR="00D848B9">
        <w:rPr>
          <w:rFonts w:cstheme="minorHAnsi"/>
          <w:sz w:val="24"/>
          <w:szCs w:val="24"/>
        </w:rPr>
        <w:t>%</w:t>
      </w:r>
      <w:r w:rsidR="00C4059C">
        <w:rPr>
          <w:rFonts w:cstheme="minorHAnsi"/>
          <w:sz w:val="24"/>
          <w:szCs w:val="24"/>
        </w:rPr>
        <w:t xml:space="preserve"> </w:t>
      </w:r>
      <w:r w:rsidR="00652A59" w:rsidRPr="006E23F4">
        <w:rPr>
          <w:rFonts w:cstheme="minorHAnsi"/>
          <w:sz w:val="24"/>
          <w:szCs w:val="24"/>
        </w:rPr>
        <w:t>lower than men’s hourly pay (me</w:t>
      </w:r>
      <w:r w:rsidR="00CD53A7">
        <w:rPr>
          <w:rFonts w:cstheme="minorHAnsi"/>
          <w:sz w:val="24"/>
          <w:szCs w:val="24"/>
        </w:rPr>
        <w:t>dian</w:t>
      </w:r>
      <w:r w:rsidR="00652A59" w:rsidRPr="006E23F4">
        <w:rPr>
          <w:rFonts w:cstheme="minorHAnsi"/>
          <w:sz w:val="24"/>
          <w:szCs w:val="24"/>
        </w:rPr>
        <w:t>)</w:t>
      </w:r>
    </w:p>
    <w:p w14:paraId="1082ADB9" w14:textId="79F48171" w:rsidR="008F1739" w:rsidRPr="006E23F4" w:rsidRDefault="008F1739" w:rsidP="006C1A92">
      <w:pPr>
        <w:pStyle w:val="ListParagraph"/>
        <w:numPr>
          <w:ilvl w:val="1"/>
          <w:numId w:val="3"/>
        </w:numPr>
        <w:rPr>
          <w:rFonts w:cstheme="minorHAnsi"/>
          <w:sz w:val="24"/>
          <w:szCs w:val="24"/>
        </w:rPr>
      </w:pPr>
      <w:r>
        <w:rPr>
          <w:rFonts w:cstheme="minorHAnsi"/>
          <w:sz w:val="24"/>
          <w:szCs w:val="24"/>
        </w:rPr>
        <w:t>2.4 percentage points lower than March 2021</w:t>
      </w:r>
    </w:p>
    <w:p w14:paraId="239B6D26" w14:textId="73008FE8" w:rsidR="00652A59" w:rsidRDefault="00AC0AD9" w:rsidP="00652A59">
      <w:pPr>
        <w:pStyle w:val="ListParagraph"/>
        <w:numPr>
          <w:ilvl w:val="0"/>
          <w:numId w:val="3"/>
        </w:numPr>
        <w:rPr>
          <w:rFonts w:cstheme="minorHAnsi"/>
          <w:sz w:val="24"/>
          <w:szCs w:val="24"/>
        </w:rPr>
      </w:pPr>
      <w:r>
        <w:rPr>
          <w:rFonts w:cstheme="minorHAnsi"/>
          <w:sz w:val="24"/>
          <w:szCs w:val="24"/>
        </w:rPr>
        <w:t>13.6</w:t>
      </w:r>
      <w:r w:rsidR="00D848B9">
        <w:rPr>
          <w:rFonts w:cstheme="minorHAnsi"/>
          <w:sz w:val="24"/>
          <w:szCs w:val="24"/>
        </w:rPr>
        <w:t>%</w:t>
      </w:r>
      <w:r w:rsidR="00C4059C">
        <w:rPr>
          <w:rFonts w:cstheme="minorHAnsi"/>
          <w:sz w:val="24"/>
          <w:szCs w:val="24"/>
        </w:rPr>
        <w:t xml:space="preserve"> </w:t>
      </w:r>
      <w:r w:rsidR="00652A59" w:rsidRPr="006E23F4">
        <w:rPr>
          <w:rFonts w:cstheme="minorHAnsi"/>
          <w:sz w:val="24"/>
          <w:szCs w:val="24"/>
        </w:rPr>
        <w:t>lower than men’s hourly pay (me</w:t>
      </w:r>
      <w:r w:rsidR="003B02C3">
        <w:rPr>
          <w:rFonts w:cstheme="minorHAnsi"/>
          <w:sz w:val="24"/>
          <w:szCs w:val="24"/>
        </w:rPr>
        <w:t>a</w:t>
      </w:r>
      <w:r w:rsidR="00652A59" w:rsidRPr="006E23F4">
        <w:rPr>
          <w:rFonts w:cstheme="minorHAnsi"/>
          <w:sz w:val="24"/>
          <w:szCs w:val="24"/>
        </w:rPr>
        <w:t>n)</w:t>
      </w:r>
    </w:p>
    <w:p w14:paraId="03FFBD7B" w14:textId="1C94586A" w:rsidR="008F1739" w:rsidRPr="006E23F4" w:rsidRDefault="008F1739" w:rsidP="006C1A92">
      <w:pPr>
        <w:pStyle w:val="ListParagraph"/>
        <w:numPr>
          <w:ilvl w:val="1"/>
          <w:numId w:val="3"/>
        </w:numPr>
        <w:rPr>
          <w:rFonts w:cstheme="minorHAnsi"/>
          <w:sz w:val="24"/>
          <w:szCs w:val="24"/>
        </w:rPr>
      </w:pPr>
      <w:r w:rsidRPr="2210AC69">
        <w:rPr>
          <w:sz w:val="24"/>
          <w:szCs w:val="24"/>
        </w:rPr>
        <w:t>1 percentage point lower than March 2021</w:t>
      </w:r>
    </w:p>
    <w:p w14:paraId="175D38BF" w14:textId="67CA0A1F" w:rsidR="0032037B" w:rsidRPr="0032037B" w:rsidRDefault="0032037B" w:rsidP="00652A59">
      <w:pPr>
        <w:rPr>
          <w:rFonts w:cstheme="minorHAnsi"/>
          <w:bCs/>
          <w:sz w:val="24"/>
          <w:szCs w:val="24"/>
        </w:rPr>
      </w:pPr>
      <w:r w:rsidRPr="0032037B">
        <w:rPr>
          <w:rFonts w:cstheme="minorHAnsi"/>
          <w:bCs/>
          <w:sz w:val="24"/>
          <w:szCs w:val="24"/>
        </w:rPr>
        <w:t>Therefore</w:t>
      </w:r>
      <w:r>
        <w:rPr>
          <w:rFonts w:cstheme="minorHAnsi"/>
          <w:bCs/>
          <w:sz w:val="24"/>
          <w:szCs w:val="24"/>
        </w:rPr>
        <w:t>,</w:t>
      </w:r>
      <w:r w:rsidRPr="0032037B">
        <w:rPr>
          <w:rFonts w:cstheme="minorHAnsi"/>
          <w:bCs/>
          <w:sz w:val="24"/>
          <w:szCs w:val="24"/>
        </w:rPr>
        <w:t xml:space="preserve"> the </w:t>
      </w:r>
      <w:r>
        <w:rPr>
          <w:rFonts w:cstheme="minorHAnsi"/>
          <w:bCs/>
          <w:sz w:val="24"/>
          <w:szCs w:val="24"/>
        </w:rPr>
        <w:t xml:space="preserve">Council’s </w:t>
      </w:r>
      <w:r w:rsidRPr="0032037B">
        <w:rPr>
          <w:rFonts w:cstheme="minorHAnsi"/>
          <w:bCs/>
          <w:sz w:val="24"/>
          <w:szCs w:val="24"/>
        </w:rPr>
        <w:t xml:space="preserve">Gender Pay Gap has reduced.  </w:t>
      </w:r>
    </w:p>
    <w:p w14:paraId="3353E535" w14:textId="5A0BF259"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bonus pay</w:t>
      </w:r>
    </w:p>
    <w:p w14:paraId="348CFB9B" w14:textId="24066471" w:rsidR="00652A59" w:rsidRPr="006E23F4" w:rsidRDefault="00652A59" w:rsidP="00652A59">
      <w:pPr>
        <w:rPr>
          <w:rFonts w:cstheme="minorHAnsi"/>
          <w:sz w:val="24"/>
          <w:szCs w:val="24"/>
        </w:rPr>
      </w:pPr>
      <w:r w:rsidRPr="006E23F4">
        <w:rPr>
          <w:rFonts w:cstheme="minorHAnsi"/>
          <w:sz w:val="24"/>
          <w:szCs w:val="24"/>
        </w:rPr>
        <w:t>The council makes on</w:t>
      </w:r>
      <w:r w:rsidR="003D6C6D" w:rsidRPr="006E23F4">
        <w:rPr>
          <w:rFonts w:cstheme="minorHAnsi"/>
          <w:sz w:val="24"/>
          <w:szCs w:val="24"/>
        </w:rPr>
        <w:t>e</w:t>
      </w:r>
      <w:r w:rsidRPr="006E23F4">
        <w:rPr>
          <w:rFonts w:cstheme="minorHAnsi"/>
          <w:sz w:val="24"/>
          <w:szCs w:val="24"/>
        </w:rPr>
        <w:t xml:space="preserve"> payment that meets the definition of a bonus: any employee who reaches 25 years of service receives £300 in gift vouchers as a </w:t>
      </w:r>
      <w:r w:rsidR="008C1A6D">
        <w:rPr>
          <w:rFonts w:cstheme="minorHAnsi"/>
          <w:sz w:val="24"/>
          <w:szCs w:val="24"/>
        </w:rPr>
        <w:t>‘</w:t>
      </w:r>
      <w:r w:rsidRPr="006E23F4">
        <w:rPr>
          <w:rFonts w:cstheme="minorHAnsi"/>
          <w:sz w:val="24"/>
          <w:szCs w:val="24"/>
        </w:rPr>
        <w:t>thank you</w:t>
      </w:r>
      <w:r w:rsidR="008C1A6D">
        <w:rPr>
          <w:rFonts w:cstheme="minorHAnsi"/>
          <w:sz w:val="24"/>
          <w:szCs w:val="24"/>
        </w:rPr>
        <w:t>’</w:t>
      </w:r>
      <w:r w:rsidRPr="006E23F4">
        <w:rPr>
          <w:rFonts w:cstheme="minorHAnsi"/>
          <w:sz w:val="24"/>
          <w:szCs w:val="24"/>
        </w:rPr>
        <w:t xml:space="preserve"> for their loyalty service.</w:t>
      </w:r>
    </w:p>
    <w:p w14:paraId="1F9D473C" w14:textId="6451DDE4" w:rsidR="00652A59" w:rsidRPr="006E23F4" w:rsidRDefault="00652A59" w:rsidP="00652A59">
      <w:pPr>
        <w:rPr>
          <w:rFonts w:cstheme="minorHAnsi"/>
          <w:sz w:val="24"/>
          <w:szCs w:val="24"/>
        </w:rPr>
      </w:pPr>
      <w:r w:rsidRPr="006E23F4">
        <w:rPr>
          <w:rFonts w:cstheme="minorHAnsi"/>
          <w:sz w:val="24"/>
          <w:szCs w:val="24"/>
        </w:rPr>
        <w:lastRenderedPageBreak/>
        <w:t>In the 12 months up to 31 March 20</w:t>
      </w:r>
      <w:r w:rsidR="00F91018">
        <w:rPr>
          <w:rFonts w:cstheme="minorHAnsi"/>
          <w:sz w:val="24"/>
          <w:szCs w:val="24"/>
        </w:rPr>
        <w:t>2</w:t>
      </w:r>
      <w:r w:rsidR="000C7454">
        <w:rPr>
          <w:rFonts w:cstheme="minorHAnsi"/>
          <w:sz w:val="24"/>
          <w:szCs w:val="24"/>
        </w:rPr>
        <w:t>2</w:t>
      </w:r>
      <w:r w:rsidRPr="006E23F4">
        <w:rPr>
          <w:rFonts w:cstheme="minorHAnsi"/>
          <w:sz w:val="24"/>
          <w:szCs w:val="24"/>
        </w:rPr>
        <w:t>:</w:t>
      </w:r>
    </w:p>
    <w:p w14:paraId="6FC2836D" w14:textId="3FAC84D2" w:rsidR="00652A59" w:rsidRPr="006E23F4" w:rsidRDefault="005D6F9D" w:rsidP="00652A59">
      <w:pPr>
        <w:pStyle w:val="ListParagraph"/>
        <w:numPr>
          <w:ilvl w:val="0"/>
          <w:numId w:val="4"/>
        </w:numPr>
        <w:rPr>
          <w:rFonts w:cstheme="minorHAnsi"/>
          <w:sz w:val="24"/>
          <w:szCs w:val="24"/>
        </w:rPr>
      </w:pPr>
      <w:r>
        <w:rPr>
          <w:rFonts w:cstheme="minorHAnsi"/>
          <w:sz w:val="24"/>
          <w:szCs w:val="24"/>
        </w:rPr>
        <w:t>0.</w:t>
      </w:r>
      <w:r w:rsidR="00AC0AD9">
        <w:rPr>
          <w:rFonts w:cstheme="minorHAnsi"/>
          <w:sz w:val="24"/>
          <w:szCs w:val="24"/>
        </w:rPr>
        <w:t>1</w:t>
      </w:r>
      <w:r>
        <w:rPr>
          <w:rFonts w:cstheme="minorHAnsi"/>
          <w:sz w:val="24"/>
          <w:szCs w:val="24"/>
        </w:rPr>
        <w:t>0</w:t>
      </w:r>
      <w:r w:rsidR="00652A59" w:rsidRPr="006E23F4">
        <w:rPr>
          <w:rFonts w:cstheme="minorHAnsi"/>
          <w:sz w:val="24"/>
          <w:szCs w:val="24"/>
        </w:rPr>
        <w:t>% of men received a bonus</w:t>
      </w:r>
    </w:p>
    <w:p w14:paraId="1438DEC1" w14:textId="33BA7202" w:rsidR="00652A59" w:rsidRDefault="005D6F9D" w:rsidP="00652A59">
      <w:pPr>
        <w:pStyle w:val="ListParagraph"/>
        <w:numPr>
          <w:ilvl w:val="0"/>
          <w:numId w:val="4"/>
        </w:numPr>
        <w:rPr>
          <w:rFonts w:cstheme="minorHAnsi"/>
          <w:sz w:val="24"/>
          <w:szCs w:val="24"/>
        </w:rPr>
      </w:pPr>
      <w:r>
        <w:rPr>
          <w:rFonts w:cstheme="minorHAnsi"/>
          <w:sz w:val="24"/>
          <w:szCs w:val="24"/>
        </w:rPr>
        <w:t>0.</w:t>
      </w:r>
      <w:r w:rsidR="00AC0AD9">
        <w:rPr>
          <w:rFonts w:cstheme="minorHAnsi"/>
          <w:sz w:val="24"/>
          <w:szCs w:val="24"/>
        </w:rPr>
        <w:t>19</w:t>
      </w:r>
      <w:r w:rsidR="00652A59" w:rsidRPr="006E23F4">
        <w:rPr>
          <w:rFonts w:cstheme="minorHAnsi"/>
          <w:sz w:val="24"/>
          <w:szCs w:val="24"/>
        </w:rPr>
        <w:t>% of women received a bonus</w:t>
      </w:r>
    </w:p>
    <w:p w14:paraId="09FF7A89" w14:textId="51E5113A" w:rsidR="00652A59" w:rsidRPr="006E23F4" w:rsidRDefault="00652A59" w:rsidP="00652A59">
      <w:pPr>
        <w:rPr>
          <w:rFonts w:cstheme="minorHAnsi"/>
          <w:sz w:val="24"/>
          <w:szCs w:val="24"/>
        </w:rPr>
      </w:pPr>
      <w:r w:rsidRPr="006E23F4">
        <w:rPr>
          <w:rFonts w:cstheme="minorHAnsi"/>
          <w:sz w:val="24"/>
          <w:szCs w:val="24"/>
        </w:rPr>
        <w:t>Bonuses paid to women were:</w:t>
      </w:r>
      <w:r w:rsidR="00AC0AD9">
        <w:rPr>
          <w:rFonts w:cstheme="minorHAnsi"/>
          <w:sz w:val="24"/>
          <w:szCs w:val="24"/>
        </w:rPr>
        <w:t xml:space="preserve"> </w:t>
      </w:r>
    </w:p>
    <w:p w14:paraId="290C877A" w14:textId="178AABDB" w:rsidR="00652A59" w:rsidRPr="006E23F4" w:rsidRDefault="005D6F9D"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higher than bonuses paid to men (mean average)</w:t>
      </w:r>
    </w:p>
    <w:p w14:paraId="60B62584" w14:textId="3DEFBCC3" w:rsidR="00F15F30" w:rsidRPr="006E23F4" w:rsidRDefault="005D6F9D"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lower than bonuses paid to men (median average)</w:t>
      </w:r>
    </w:p>
    <w:p w14:paraId="52BE1637" w14:textId="7FF44CDE" w:rsidR="00F15F30" w:rsidRPr="006E23F4" w:rsidRDefault="006761DB" w:rsidP="00F15F30">
      <w:pPr>
        <w:rPr>
          <w:rFonts w:cstheme="minorHAnsi"/>
          <w:b/>
          <w:sz w:val="24"/>
          <w:szCs w:val="24"/>
        </w:rPr>
      </w:pPr>
      <w:r>
        <w:rPr>
          <w:rFonts w:cstheme="minorHAnsi"/>
          <w:b/>
          <w:sz w:val="24"/>
          <w:szCs w:val="24"/>
        </w:rPr>
        <w:t>L</w:t>
      </w:r>
      <w:r w:rsidR="00C935C8">
        <w:rPr>
          <w:rFonts w:cstheme="minorHAnsi"/>
          <w:b/>
          <w:sz w:val="24"/>
          <w:szCs w:val="24"/>
        </w:rPr>
        <w:t xml:space="preserve">ondon Borough of Waltham Forest </w:t>
      </w:r>
      <w:r w:rsidR="00F15F30" w:rsidRPr="006E23F4">
        <w:rPr>
          <w:rFonts w:cstheme="minorHAnsi"/>
          <w:b/>
          <w:sz w:val="24"/>
          <w:szCs w:val="24"/>
        </w:rPr>
        <w:t>Pay quartiles</w:t>
      </w:r>
    </w:p>
    <w:p w14:paraId="616730B8" w14:textId="2D034A48" w:rsidR="00F15F30" w:rsidRPr="006E23F4" w:rsidRDefault="00F15F30" w:rsidP="00F15F30">
      <w:pPr>
        <w:rPr>
          <w:rFonts w:cstheme="minorHAnsi"/>
          <w:sz w:val="24"/>
          <w:szCs w:val="24"/>
        </w:rPr>
      </w:pPr>
      <w:r w:rsidRPr="006E23F4">
        <w:rPr>
          <w:rFonts w:cstheme="minorHAnsi"/>
          <w:sz w:val="24"/>
          <w:szCs w:val="24"/>
        </w:rPr>
        <w:t>The table below sets out the percentage of men and women in each quarter of the council’s payroll on 31 March 20</w:t>
      </w:r>
      <w:r w:rsidR="00F91018">
        <w:rPr>
          <w:rFonts w:cstheme="minorHAnsi"/>
          <w:sz w:val="24"/>
          <w:szCs w:val="24"/>
        </w:rPr>
        <w:t>2</w:t>
      </w:r>
      <w:r w:rsidR="000C7454">
        <w:rPr>
          <w:rFonts w:cstheme="minorHAnsi"/>
          <w:sz w:val="24"/>
          <w:szCs w:val="24"/>
        </w:rPr>
        <w:t>2</w:t>
      </w:r>
      <w:r w:rsidR="005234E0">
        <w:rPr>
          <w:rFonts w:cstheme="minorHAnsi"/>
          <w:sz w:val="24"/>
          <w:szCs w:val="24"/>
        </w:rPr>
        <w:t xml:space="preserve"> along with the </w:t>
      </w:r>
      <w:r w:rsidR="00485083">
        <w:rPr>
          <w:rFonts w:cstheme="minorHAnsi"/>
          <w:sz w:val="24"/>
          <w:szCs w:val="24"/>
        </w:rPr>
        <w:t xml:space="preserve">% </w:t>
      </w:r>
      <w:r w:rsidR="0032037B">
        <w:rPr>
          <w:rFonts w:cstheme="minorHAnsi"/>
          <w:sz w:val="24"/>
          <w:szCs w:val="24"/>
        </w:rPr>
        <w:t xml:space="preserve">difference / </w:t>
      </w:r>
      <w:r w:rsidR="005234E0">
        <w:rPr>
          <w:rFonts w:cstheme="minorHAnsi"/>
          <w:sz w:val="24"/>
          <w:szCs w:val="24"/>
        </w:rPr>
        <w:t>change since last year’s Gender Pay Report</w:t>
      </w:r>
      <w:r w:rsidR="0032037B">
        <w:rPr>
          <w:rFonts w:cstheme="minorHAnsi"/>
          <w:sz w:val="24"/>
          <w:szCs w:val="24"/>
        </w:rPr>
        <w:t>:</w:t>
      </w:r>
    </w:p>
    <w:tbl>
      <w:tblPr>
        <w:tblStyle w:val="TableGrid"/>
        <w:tblW w:w="0" w:type="auto"/>
        <w:tblLook w:val="04A0" w:firstRow="1" w:lastRow="0" w:firstColumn="1" w:lastColumn="0" w:noHBand="0" w:noVBand="1"/>
      </w:tblPr>
      <w:tblGrid>
        <w:gridCol w:w="2329"/>
        <w:gridCol w:w="2335"/>
        <w:gridCol w:w="2335"/>
        <w:gridCol w:w="2017"/>
      </w:tblGrid>
      <w:tr w:rsidR="000C7454" w:rsidRPr="006E23F4" w14:paraId="3E12A2B0" w14:textId="30AAF0AD" w:rsidTr="00DC741A">
        <w:tc>
          <w:tcPr>
            <w:tcW w:w="2329" w:type="dxa"/>
            <w:shd w:val="clear" w:color="auto" w:fill="D9D9D9" w:themeFill="background1" w:themeFillShade="D9"/>
          </w:tcPr>
          <w:p w14:paraId="4EC4DC88" w14:textId="77777777" w:rsidR="000C7454" w:rsidRPr="006E23F4" w:rsidRDefault="000C7454" w:rsidP="00F15F30">
            <w:pPr>
              <w:rPr>
                <w:rFonts w:cstheme="minorHAnsi"/>
                <w:sz w:val="24"/>
                <w:szCs w:val="24"/>
              </w:rPr>
            </w:pPr>
            <w:r w:rsidRPr="006E23F4">
              <w:rPr>
                <w:rFonts w:cstheme="minorHAnsi"/>
                <w:sz w:val="24"/>
                <w:szCs w:val="24"/>
              </w:rPr>
              <w:t>Quartiles</w:t>
            </w:r>
          </w:p>
        </w:tc>
        <w:tc>
          <w:tcPr>
            <w:tcW w:w="2335" w:type="dxa"/>
            <w:shd w:val="clear" w:color="auto" w:fill="D9D9D9" w:themeFill="background1" w:themeFillShade="D9"/>
          </w:tcPr>
          <w:p w14:paraId="714D3781" w14:textId="77777777" w:rsidR="000C7454" w:rsidRPr="006E23F4" w:rsidRDefault="000C7454" w:rsidP="00F15F30">
            <w:pPr>
              <w:rPr>
                <w:rFonts w:cstheme="minorHAnsi"/>
                <w:sz w:val="24"/>
                <w:szCs w:val="24"/>
              </w:rPr>
            </w:pPr>
            <w:r w:rsidRPr="006E23F4">
              <w:rPr>
                <w:rFonts w:cstheme="minorHAnsi"/>
                <w:sz w:val="24"/>
                <w:szCs w:val="24"/>
              </w:rPr>
              <w:t>Men</w:t>
            </w:r>
          </w:p>
        </w:tc>
        <w:tc>
          <w:tcPr>
            <w:tcW w:w="2335" w:type="dxa"/>
            <w:shd w:val="clear" w:color="auto" w:fill="D9D9D9" w:themeFill="background1" w:themeFillShade="D9"/>
          </w:tcPr>
          <w:p w14:paraId="3A57317F" w14:textId="77777777" w:rsidR="000C7454" w:rsidRPr="006E23F4" w:rsidRDefault="000C7454" w:rsidP="00F15F30">
            <w:pPr>
              <w:rPr>
                <w:rFonts w:cstheme="minorHAnsi"/>
                <w:sz w:val="24"/>
                <w:szCs w:val="24"/>
              </w:rPr>
            </w:pPr>
            <w:r w:rsidRPr="006E23F4">
              <w:rPr>
                <w:rFonts w:cstheme="minorHAnsi"/>
                <w:sz w:val="24"/>
                <w:szCs w:val="24"/>
              </w:rPr>
              <w:t>Women</w:t>
            </w:r>
          </w:p>
        </w:tc>
        <w:tc>
          <w:tcPr>
            <w:tcW w:w="2017" w:type="dxa"/>
            <w:shd w:val="clear" w:color="auto" w:fill="D9D9D9" w:themeFill="background1" w:themeFillShade="D9"/>
          </w:tcPr>
          <w:p w14:paraId="28DFE335" w14:textId="4F2A7B78" w:rsidR="000C7454" w:rsidRPr="006E23F4" w:rsidRDefault="000C7454" w:rsidP="00F15F30">
            <w:pPr>
              <w:rPr>
                <w:rFonts w:cstheme="minorHAnsi"/>
                <w:sz w:val="24"/>
                <w:szCs w:val="24"/>
              </w:rPr>
            </w:pPr>
            <w:r>
              <w:rPr>
                <w:rFonts w:cstheme="minorHAnsi"/>
                <w:sz w:val="24"/>
                <w:szCs w:val="24"/>
              </w:rPr>
              <w:t xml:space="preserve">Difference </w:t>
            </w:r>
          </w:p>
        </w:tc>
      </w:tr>
      <w:tr w:rsidR="000C7454" w:rsidRPr="006E23F4" w14:paraId="5F34A627" w14:textId="301C313C" w:rsidTr="00DC741A">
        <w:tc>
          <w:tcPr>
            <w:tcW w:w="2329" w:type="dxa"/>
          </w:tcPr>
          <w:p w14:paraId="6BF813B3" w14:textId="77777777" w:rsidR="000C7454" w:rsidRPr="006E23F4" w:rsidRDefault="000C7454" w:rsidP="00F15F30">
            <w:pPr>
              <w:rPr>
                <w:rFonts w:cstheme="minorHAnsi"/>
                <w:sz w:val="24"/>
                <w:szCs w:val="24"/>
              </w:rPr>
            </w:pPr>
            <w:r w:rsidRPr="006E23F4">
              <w:rPr>
                <w:rFonts w:cstheme="minorHAnsi"/>
                <w:sz w:val="24"/>
                <w:szCs w:val="24"/>
              </w:rPr>
              <w:t>Lower quartile</w:t>
            </w:r>
          </w:p>
        </w:tc>
        <w:tc>
          <w:tcPr>
            <w:tcW w:w="2335" w:type="dxa"/>
          </w:tcPr>
          <w:p w14:paraId="2718AB19" w14:textId="70D631EF" w:rsidR="000C7454" w:rsidRPr="006E23F4" w:rsidRDefault="000C7454" w:rsidP="00F15F30">
            <w:pPr>
              <w:rPr>
                <w:rFonts w:cstheme="minorHAnsi"/>
                <w:sz w:val="24"/>
                <w:szCs w:val="24"/>
              </w:rPr>
            </w:pPr>
            <w:r>
              <w:rPr>
                <w:rFonts w:cstheme="minorHAnsi"/>
                <w:sz w:val="24"/>
                <w:szCs w:val="24"/>
              </w:rPr>
              <w:t xml:space="preserve"> 25.8% </w:t>
            </w:r>
          </w:p>
        </w:tc>
        <w:tc>
          <w:tcPr>
            <w:tcW w:w="2335" w:type="dxa"/>
          </w:tcPr>
          <w:p w14:paraId="7868954D" w14:textId="0365CD17" w:rsidR="000C7454" w:rsidRPr="006E23F4" w:rsidRDefault="000C7454" w:rsidP="00F15F30">
            <w:pPr>
              <w:rPr>
                <w:rFonts w:cstheme="minorHAnsi"/>
                <w:sz w:val="24"/>
                <w:szCs w:val="24"/>
              </w:rPr>
            </w:pPr>
            <w:r>
              <w:rPr>
                <w:rFonts w:cstheme="minorHAnsi"/>
                <w:sz w:val="24"/>
                <w:szCs w:val="24"/>
              </w:rPr>
              <w:t xml:space="preserve">74.2% </w:t>
            </w:r>
          </w:p>
        </w:tc>
        <w:tc>
          <w:tcPr>
            <w:tcW w:w="2017" w:type="dxa"/>
          </w:tcPr>
          <w:p w14:paraId="4499A17D" w14:textId="65804D07" w:rsidR="000C7454" w:rsidRDefault="000C7454" w:rsidP="00F15F30">
            <w:pPr>
              <w:rPr>
                <w:rFonts w:cstheme="minorHAnsi"/>
                <w:sz w:val="24"/>
                <w:szCs w:val="24"/>
              </w:rPr>
            </w:pPr>
            <w:r>
              <w:rPr>
                <w:rFonts w:cstheme="minorHAnsi"/>
                <w:sz w:val="24"/>
                <w:szCs w:val="24"/>
              </w:rPr>
              <w:t>0.2%</w:t>
            </w:r>
          </w:p>
        </w:tc>
      </w:tr>
      <w:tr w:rsidR="000C7454" w:rsidRPr="006E23F4" w14:paraId="033AE2B8" w14:textId="54D51851" w:rsidTr="00DC741A">
        <w:tc>
          <w:tcPr>
            <w:tcW w:w="2329" w:type="dxa"/>
          </w:tcPr>
          <w:p w14:paraId="01D717B0" w14:textId="77777777" w:rsidR="000C7454" w:rsidRPr="006E23F4" w:rsidRDefault="000C7454" w:rsidP="00F15F30">
            <w:pPr>
              <w:rPr>
                <w:rFonts w:cstheme="minorHAnsi"/>
                <w:sz w:val="24"/>
                <w:szCs w:val="24"/>
              </w:rPr>
            </w:pPr>
            <w:r w:rsidRPr="006E23F4">
              <w:rPr>
                <w:rFonts w:cstheme="minorHAnsi"/>
                <w:sz w:val="24"/>
                <w:szCs w:val="24"/>
              </w:rPr>
              <w:t>Lower middle quartile</w:t>
            </w:r>
          </w:p>
        </w:tc>
        <w:tc>
          <w:tcPr>
            <w:tcW w:w="2335" w:type="dxa"/>
          </w:tcPr>
          <w:p w14:paraId="33B47588" w14:textId="18C9E5D8" w:rsidR="000C7454" w:rsidRPr="006E23F4" w:rsidRDefault="000C7454" w:rsidP="00F15F30">
            <w:pPr>
              <w:rPr>
                <w:rFonts w:cstheme="minorHAnsi"/>
                <w:sz w:val="24"/>
                <w:szCs w:val="24"/>
              </w:rPr>
            </w:pPr>
            <w:r>
              <w:rPr>
                <w:rFonts w:cstheme="minorHAnsi"/>
                <w:sz w:val="24"/>
                <w:szCs w:val="24"/>
              </w:rPr>
              <w:t xml:space="preserve">28.4% </w:t>
            </w:r>
          </w:p>
        </w:tc>
        <w:tc>
          <w:tcPr>
            <w:tcW w:w="2335" w:type="dxa"/>
          </w:tcPr>
          <w:p w14:paraId="2D0DBDE6" w14:textId="0A055717" w:rsidR="000C7454" w:rsidRPr="006E23F4" w:rsidRDefault="000C7454" w:rsidP="00F15F30">
            <w:pPr>
              <w:rPr>
                <w:rFonts w:cstheme="minorHAnsi"/>
                <w:sz w:val="24"/>
                <w:szCs w:val="24"/>
              </w:rPr>
            </w:pPr>
            <w:r>
              <w:rPr>
                <w:rFonts w:cstheme="minorHAnsi"/>
                <w:sz w:val="24"/>
                <w:szCs w:val="24"/>
              </w:rPr>
              <w:t xml:space="preserve">71.6% </w:t>
            </w:r>
          </w:p>
        </w:tc>
        <w:tc>
          <w:tcPr>
            <w:tcW w:w="2017" w:type="dxa"/>
          </w:tcPr>
          <w:p w14:paraId="0E12C873" w14:textId="195AFD1B" w:rsidR="000C7454" w:rsidRDefault="000C7454" w:rsidP="00F15F30">
            <w:pPr>
              <w:rPr>
                <w:rFonts w:cstheme="minorHAnsi"/>
                <w:sz w:val="24"/>
                <w:szCs w:val="24"/>
              </w:rPr>
            </w:pPr>
            <w:r>
              <w:rPr>
                <w:rFonts w:cstheme="minorHAnsi"/>
                <w:sz w:val="24"/>
                <w:szCs w:val="24"/>
              </w:rPr>
              <w:t>-1.3%</w:t>
            </w:r>
          </w:p>
        </w:tc>
      </w:tr>
      <w:tr w:rsidR="000C7454" w:rsidRPr="006E23F4" w14:paraId="4A41A1E0" w14:textId="01A0A246" w:rsidTr="00DC741A">
        <w:tc>
          <w:tcPr>
            <w:tcW w:w="2329" w:type="dxa"/>
          </w:tcPr>
          <w:p w14:paraId="05186F3C" w14:textId="77777777" w:rsidR="000C7454" w:rsidRPr="006E23F4" w:rsidRDefault="000C7454" w:rsidP="00F15F30">
            <w:pPr>
              <w:rPr>
                <w:rFonts w:cstheme="minorHAnsi"/>
                <w:sz w:val="24"/>
                <w:szCs w:val="24"/>
              </w:rPr>
            </w:pPr>
            <w:r w:rsidRPr="006E23F4">
              <w:rPr>
                <w:rFonts w:cstheme="minorHAnsi"/>
                <w:sz w:val="24"/>
                <w:szCs w:val="24"/>
              </w:rPr>
              <w:t>Upper middle quartile</w:t>
            </w:r>
          </w:p>
        </w:tc>
        <w:tc>
          <w:tcPr>
            <w:tcW w:w="2335" w:type="dxa"/>
          </w:tcPr>
          <w:p w14:paraId="157001BB" w14:textId="0F366E92" w:rsidR="000C7454" w:rsidRPr="006E23F4" w:rsidRDefault="000C7454" w:rsidP="00F15F30">
            <w:pPr>
              <w:rPr>
                <w:rFonts w:cstheme="minorHAnsi"/>
                <w:sz w:val="24"/>
                <w:szCs w:val="24"/>
              </w:rPr>
            </w:pPr>
            <w:r>
              <w:rPr>
                <w:rFonts w:cstheme="minorHAnsi"/>
                <w:sz w:val="24"/>
                <w:szCs w:val="24"/>
              </w:rPr>
              <w:t xml:space="preserve">35.5% </w:t>
            </w:r>
          </w:p>
        </w:tc>
        <w:tc>
          <w:tcPr>
            <w:tcW w:w="2335" w:type="dxa"/>
          </w:tcPr>
          <w:p w14:paraId="04FF1E7F" w14:textId="4B5B7E78" w:rsidR="000C7454" w:rsidRPr="006E23F4" w:rsidRDefault="000C7454" w:rsidP="00F15F30">
            <w:pPr>
              <w:rPr>
                <w:rFonts w:cstheme="minorHAnsi"/>
                <w:sz w:val="24"/>
                <w:szCs w:val="24"/>
              </w:rPr>
            </w:pPr>
            <w:r>
              <w:rPr>
                <w:rFonts w:cstheme="minorHAnsi"/>
                <w:sz w:val="24"/>
                <w:szCs w:val="24"/>
              </w:rPr>
              <w:t xml:space="preserve">64.5% </w:t>
            </w:r>
          </w:p>
        </w:tc>
        <w:tc>
          <w:tcPr>
            <w:tcW w:w="2017" w:type="dxa"/>
          </w:tcPr>
          <w:p w14:paraId="0A7DF747" w14:textId="7B7ADC72" w:rsidR="000C7454" w:rsidRDefault="000C7454" w:rsidP="00F15F30">
            <w:pPr>
              <w:rPr>
                <w:rFonts w:cstheme="minorHAnsi"/>
                <w:sz w:val="24"/>
                <w:szCs w:val="24"/>
              </w:rPr>
            </w:pPr>
            <w:r>
              <w:rPr>
                <w:rFonts w:cstheme="minorHAnsi"/>
                <w:sz w:val="24"/>
                <w:szCs w:val="24"/>
              </w:rPr>
              <w:t>-0.8%</w:t>
            </w:r>
          </w:p>
        </w:tc>
      </w:tr>
      <w:tr w:rsidR="000C7454" w:rsidRPr="006E23F4" w14:paraId="421F27B8" w14:textId="1D8419D7" w:rsidTr="00DC741A">
        <w:tc>
          <w:tcPr>
            <w:tcW w:w="2329" w:type="dxa"/>
          </w:tcPr>
          <w:p w14:paraId="52EBE541" w14:textId="77777777" w:rsidR="000C7454" w:rsidRPr="006E23F4" w:rsidRDefault="000C7454" w:rsidP="00F15F30">
            <w:pPr>
              <w:rPr>
                <w:rFonts w:cstheme="minorHAnsi"/>
                <w:sz w:val="24"/>
                <w:szCs w:val="24"/>
              </w:rPr>
            </w:pPr>
            <w:r w:rsidRPr="006E23F4">
              <w:rPr>
                <w:rFonts w:cstheme="minorHAnsi"/>
                <w:sz w:val="24"/>
                <w:szCs w:val="24"/>
              </w:rPr>
              <w:t>Upper quartile</w:t>
            </w:r>
          </w:p>
        </w:tc>
        <w:tc>
          <w:tcPr>
            <w:tcW w:w="2335" w:type="dxa"/>
          </w:tcPr>
          <w:p w14:paraId="3EC6CCB9" w14:textId="43D02BB8" w:rsidR="000C7454" w:rsidRPr="006E23F4" w:rsidRDefault="000C7454" w:rsidP="00F15F30">
            <w:pPr>
              <w:rPr>
                <w:rFonts w:cstheme="minorHAnsi"/>
                <w:sz w:val="24"/>
                <w:szCs w:val="24"/>
              </w:rPr>
            </w:pPr>
            <w:r>
              <w:rPr>
                <w:rFonts w:cstheme="minorHAnsi"/>
                <w:sz w:val="24"/>
                <w:szCs w:val="24"/>
              </w:rPr>
              <w:t xml:space="preserve"> 42.4% </w:t>
            </w:r>
          </w:p>
        </w:tc>
        <w:tc>
          <w:tcPr>
            <w:tcW w:w="2335" w:type="dxa"/>
          </w:tcPr>
          <w:p w14:paraId="6BA8B470" w14:textId="7A0F6143" w:rsidR="000C7454" w:rsidRPr="006E23F4" w:rsidRDefault="000C7454" w:rsidP="00F15F30">
            <w:pPr>
              <w:rPr>
                <w:rFonts w:cstheme="minorHAnsi"/>
                <w:sz w:val="24"/>
                <w:szCs w:val="24"/>
              </w:rPr>
            </w:pPr>
            <w:r>
              <w:rPr>
                <w:rFonts w:cstheme="minorHAnsi"/>
                <w:sz w:val="24"/>
                <w:szCs w:val="24"/>
              </w:rPr>
              <w:t xml:space="preserve">57.6% </w:t>
            </w:r>
          </w:p>
        </w:tc>
        <w:tc>
          <w:tcPr>
            <w:tcW w:w="2017" w:type="dxa"/>
          </w:tcPr>
          <w:p w14:paraId="6FE0112D" w14:textId="133C2A26" w:rsidR="000C7454" w:rsidRDefault="000C7454" w:rsidP="00F15F30">
            <w:pPr>
              <w:rPr>
                <w:rFonts w:cstheme="minorHAnsi"/>
                <w:sz w:val="24"/>
                <w:szCs w:val="24"/>
              </w:rPr>
            </w:pPr>
            <w:r>
              <w:rPr>
                <w:rFonts w:cstheme="minorHAnsi"/>
                <w:sz w:val="24"/>
                <w:szCs w:val="24"/>
              </w:rPr>
              <w:t>+1.6%</w:t>
            </w:r>
          </w:p>
        </w:tc>
      </w:tr>
    </w:tbl>
    <w:p w14:paraId="4043A193" w14:textId="77777777" w:rsidR="006E23F4" w:rsidRPr="006E23F4" w:rsidRDefault="006E23F4" w:rsidP="00F15F30">
      <w:pPr>
        <w:rPr>
          <w:rFonts w:cstheme="minorHAnsi"/>
          <w:b/>
          <w:sz w:val="24"/>
          <w:szCs w:val="24"/>
        </w:rPr>
      </w:pPr>
    </w:p>
    <w:p w14:paraId="7D9A552C" w14:textId="67BD10A8" w:rsidR="00F15F30" w:rsidRDefault="00F15F30" w:rsidP="00F15F30">
      <w:pPr>
        <w:rPr>
          <w:rFonts w:cstheme="minorHAnsi"/>
          <w:b/>
          <w:sz w:val="24"/>
          <w:szCs w:val="24"/>
        </w:rPr>
      </w:pPr>
      <w:r w:rsidRPr="006E23F4">
        <w:rPr>
          <w:rFonts w:cstheme="minorHAnsi"/>
          <w:b/>
          <w:sz w:val="24"/>
          <w:szCs w:val="24"/>
        </w:rPr>
        <w:t>Why do we have a gender pay gap?</w:t>
      </w:r>
    </w:p>
    <w:p w14:paraId="24C271D8" w14:textId="5967401E" w:rsidR="003E4FE4" w:rsidRPr="0033417A" w:rsidRDefault="005234E0" w:rsidP="00F15F30">
      <w:pPr>
        <w:rPr>
          <w:rFonts w:cstheme="minorHAnsi"/>
          <w:sz w:val="24"/>
          <w:szCs w:val="24"/>
        </w:rPr>
      </w:pPr>
      <w:r>
        <w:rPr>
          <w:rFonts w:cstheme="minorHAnsi"/>
          <w:sz w:val="24"/>
          <w:szCs w:val="24"/>
        </w:rPr>
        <w:t xml:space="preserve">We have explored the reasoning for the Council’s Gender Pay gap so that we can tackle and reduce the gap while also supporting and improving the working lives and opportunities of women within our workforce. </w:t>
      </w:r>
      <w:r w:rsidR="00C935C8">
        <w:rPr>
          <w:rFonts w:cstheme="minorHAnsi"/>
          <w:sz w:val="24"/>
          <w:szCs w:val="24"/>
        </w:rPr>
        <w:t xml:space="preserve">The </w:t>
      </w:r>
      <w:r w:rsidR="00C935C8" w:rsidRPr="0033417A">
        <w:rPr>
          <w:rFonts w:cstheme="minorHAnsi"/>
          <w:sz w:val="24"/>
          <w:szCs w:val="24"/>
        </w:rPr>
        <w:t>key findings from the research</w:t>
      </w:r>
      <w:r w:rsidR="00C935C8">
        <w:rPr>
          <w:rFonts w:cstheme="minorHAnsi"/>
          <w:sz w:val="24"/>
          <w:szCs w:val="24"/>
        </w:rPr>
        <w:t xml:space="preserve"> are</w:t>
      </w:r>
      <w:r w:rsidR="00C935C8" w:rsidRPr="0033417A">
        <w:rPr>
          <w:rFonts w:cstheme="minorHAnsi"/>
          <w:sz w:val="24"/>
          <w:szCs w:val="24"/>
        </w:rPr>
        <w:t xml:space="preserve"> outlined below</w:t>
      </w:r>
      <w:r w:rsidR="003E4FE4" w:rsidRPr="0033417A">
        <w:rPr>
          <w:rFonts w:cstheme="minorHAnsi"/>
          <w:sz w:val="24"/>
          <w:szCs w:val="24"/>
        </w:rPr>
        <w:t>:</w:t>
      </w:r>
    </w:p>
    <w:p w14:paraId="529644DB" w14:textId="090DF4EC" w:rsidR="003E4FE4" w:rsidRPr="0033417A" w:rsidRDefault="003E4FE4" w:rsidP="00C935C8">
      <w:pPr>
        <w:pStyle w:val="ListParagraph"/>
        <w:numPr>
          <w:ilvl w:val="0"/>
          <w:numId w:val="7"/>
        </w:numPr>
        <w:rPr>
          <w:rFonts w:cstheme="minorHAnsi"/>
          <w:sz w:val="24"/>
          <w:szCs w:val="24"/>
        </w:rPr>
      </w:pPr>
      <w:r w:rsidRPr="0033417A">
        <w:rPr>
          <w:rFonts w:cstheme="minorHAnsi"/>
          <w:sz w:val="24"/>
          <w:szCs w:val="24"/>
        </w:rPr>
        <w:t>Our lowest paid jobs are more likely to be occupied by women. This is due in part to the fact that low-paid roles</w:t>
      </w:r>
      <w:r w:rsidR="006761DB" w:rsidRPr="0033417A">
        <w:rPr>
          <w:rFonts w:cstheme="minorHAnsi"/>
          <w:sz w:val="24"/>
          <w:szCs w:val="24"/>
        </w:rPr>
        <w:t xml:space="preserve"> with a high proportion of women</w:t>
      </w:r>
      <w:r w:rsidRPr="0033417A">
        <w:rPr>
          <w:rFonts w:cstheme="minorHAnsi"/>
          <w:sz w:val="24"/>
          <w:szCs w:val="24"/>
        </w:rPr>
        <w:t xml:space="preserve">, such as schools catering and care, are delivered in house; whereas </w:t>
      </w:r>
      <w:r w:rsidR="005234E0">
        <w:rPr>
          <w:rFonts w:cstheme="minorHAnsi"/>
          <w:sz w:val="24"/>
          <w:szCs w:val="24"/>
        </w:rPr>
        <w:t xml:space="preserve">traditionally </w:t>
      </w:r>
      <w:r w:rsidRPr="0033417A">
        <w:rPr>
          <w:rFonts w:cstheme="minorHAnsi"/>
          <w:sz w:val="24"/>
          <w:szCs w:val="24"/>
        </w:rPr>
        <w:t>many low</w:t>
      </w:r>
      <w:r w:rsidR="00485083">
        <w:rPr>
          <w:rFonts w:cstheme="minorHAnsi"/>
          <w:sz w:val="24"/>
          <w:szCs w:val="24"/>
        </w:rPr>
        <w:t>er</w:t>
      </w:r>
      <w:r w:rsidRPr="0033417A">
        <w:rPr>
          <w:rFonts w:cstheme="minorHAnsi"/>
          <w:sz w:val="24"/>
          <w:szCs w:val="24"/>
        </w:rPr>
        <w:t xml:space="preserve"> paid roles</w:t>
      </w:r>
      <w:r w:rsidR="006761DB" w:rsidRPr="0033417A">
        <w:rPr>
          <w:rFonts w:cstheme="minorHAnsi"/>
          <w:sz w:val="24"/>
          <w:szCs w:val="24"/>
        </w:rPr>
        <w:t xml:space="preserve"> with a high proportion of men</w:t>
      </w:r>
      <w:r w:rsidRPr="0033417A">
        <w:rPr>
          <w:rFonts w:cstheme="minorHAnsi"/>
          <w:sz w:val="24"/>
          <w:szCs w:val="24"/>
        </w:rPr>
        <w:t>, such as refuse and street cleaning, have been outsourced. The high concentration of women in these low paid roles (catering and care) accounts for nearly half of our gender pay gap.</w:t>
      </w:r>
    </w:p>
    <w:p w14:paraId="4A46CF8F" w14:textId="2CEA2107" w:rsidR="006761DB" w:rsidRDefault="00495296">
      <w:pPr>
        <w:pStyle w:val="ListParagraph"/>
        <w:numPr>
          <w:ilvl w:val="0"/>
          <w:numId w:val="7"/>
        </w:numPr>
        <w:rPr>
          <w:rFonts w:cstheme="minorHAnsi"/>
          <w:sz w:val="24"/>
          <w:szCs w:val="24"/>
        </w:rPr>
      </w:pPr>
      <w:r w:rsidRPr="0033417A">
        <w:rPr>
          <w:rFonts w:cstheme="minorHAnsi"/>
          <w:sz w:val="24"/>
          <w:szCs w:val="24"/>
        </w:rPr>
        <w:t>On average, women join the council at lower salaries than men and experience slower pay progression</w:t>
      </w:r>
      <w:r w:rsidR="00154233" w:rsidRPr="0033417A">
        <w:rPr>
          <w:rFonts w:cstheme="minorHAnsi"/>
          <w:sz w:val="24"/>
          <w:szCs w:val="24"/>
        </w:rPr>
        <w:t xml:space="preserve"> over the course of their career</w:t>
      </w:r>
      <w:r w:rsidRPr="0033417A">
        <w:rPr>
          <w:rFonts w:cstheme="minorHAnsi"/>
          <w:sz w:val="24"/>
          <w:szCs w:val="24"/>
        </w:rPr>
        <w:t>.</w:t>
      </w:r>
    </w:p>
    <w:p w14:paraId="3285732B" w14:textId="66B772A0" w:rsidR="004A5259" w:rsidRDefault="004A5259" w:rsidP="004A5259">
      <w:pPr>
        <w:pStyle w:val="ListParagraph"/>
        <w:numPr>
          <w:ilvl w:val="0"/>
          <w:numId w:val="7"/>
        </w:numPr>
        <w:rPr>
          <w:rFonts w:cstheme="minorHAnsi"/>
          <w:sz w:val="24"/>
          <w:szCs w:val="24"/>
        </w:rPr>
      </w:pPr>
      <w:r>
        <w:rPr>
          <w:rFonts w:cstheme="minorHAnsi"/>
          <w:sz w:val="24"/>
          <w:szCs w:val="24"/>
        </w:rPr>
        <w:t xml:space="preserve">It is important to note that </w:t>
      </w:r>
      <w:r w:rsidR="00072AC5">
        <w:rPr>
          <w:rFonts w:cstheme="minorHAnsi"/>
          <w:sz w:val="24"/>
          <w:szCs w:val="24"/>
        </w:rPr>
        <w:t>o</w:t>
      </w:r>
      <w:r w:rsidRPr="006E23F4">
        <w:rPr>
          <w:rFonts w:cstheme="minorHAnsi"/>
          <w:sz w:val="24"/>
          <w:szCs w:val="24"/>
        </w:rPr>
        <w:t>ur pay policy is gender neutral and our job evaluation process ensures that men and women in equivalent roles receive the same pay.</w:t>
      </w:r>
    </w:p>
    <w:p w14:paraId="2AA3D57A" w14:textId="6A416556" w:rsidR="0032037B" w:rsidRDefault="0032037B" w:rsidP="003D6C6D">
      <w:pPr>
        <w:rPr>
          <w:rFonts w:cstheme="minorHAnsi"/>
          <w:b/>
          <w:sz w:val="24"/>
          <w:szCs w:val="24"/>
        </w:rPr>
      </w:pPr>
    </w:p>
    <w:p w14:paraId="69D98109" w14:textId="58382C95" w:rsidR="0032037B" w:rsidRDefault="0032037B" w:rsidP="003D6C6D">
      <w:pPr>
        <w:rPr>
          <w:rFonts w:cstheme="minorHAnsi"/>
          <w:b/>
          <w:sz w:val="24"/>
          <w:szCs w:val="24"/>
        </w:rPr>
      </w:pPr>
    </w:p>
    <w:p w14:paraId="7E1322B2" w14:textId="77777777" w:rsidR="0032037B" w:rsidRDefault="0032037B" w:rsidP="003D6C6D">
      <w:pPr>
        <w:rPr>
          <w:rFonts w:cstheme="minorHAnsi"/>
          <w:b/>
          <w:sz w:val="24"/>
          <w:szCs w:val="24"/>
        </w:rPr>
      </w:pPr>
    </w:p>
    <w:p w14:paraId="685E7C08" w14:textId="2CAFBE84" w:rsidR="003D6C6D" w:rsidRPr="006E23F4" w:rsidRDefault="003D6C6D" w:rsidP="003D6C6D">
      <w:pPr>
        <w:rPr>
          <w:rFonts w:cstheme="minorHAnsi"/>
          <w:b/>
          <w:sz w:val="24"/>
          <w:szCs w:val="24"/>
        </w:rPr>
      </w:pPr>
      <w:r w:rsidRPr="006E23F4">
        <w:rPr>
          <w:rFonts w:cstheme="minorHAnsi"/>
          <w:b/>
          <w:sz w:val="24"/>
          <w:szCs w:val="24"/>
        </w:rPr>
        <w:lastRenderedPageBreak/>
        <w:t>Taking action</w:t>
      </w:r>
    </w:p>
    <w:p w14:paraId="0BC9305A" w14:textId="50D509A9" w:rsidR="003D6C6D" w:rsidRPr="006E23F4" w:rsidRDefault="00F15F30" w:rsidP="00F15F30">
      <w:pPr>
        <w:rPr>
          <w:rFonts w:cstheme="minorHAnsi"/>
          <w:sz w:val="24"/>
          <w:szCs w:val="24"/>
        </w:rPr>
      </w:pPr>
      <w:r w:rsidRPr="006E23F4">
        <w:rPr>
          <w:rFonts w:cstheme="minorHAnsi"/>
          <w:sz w:val="24"/>
          <w:szCs w:val="24"/>
        </w:rPr>
        <w:t xml:space="preserve">The council is fully committed to </w:t>
      </w:r>
      <w:r w:rsidR="00495296">
        <w:rPr>
          <w:rFonts w:cstheme="minorHAnsi"/>
          <w:sz w:val="24"/>
          <w:szCs w:val="24"/>
        </w:rPr>
        <w:t>reducing</w:t>
      </w:r>
      <w:r w:rsidR="00495296" w:rsidRPr="006E23F4">
        <w:rPr>
          <w:rFonts w:cstheme="minorHAnsi"/>
          <w:sz w:val="24"/>
          <w:szCs w:val="24"/>
        </w:rPr>
        <w:t xml:space="preserve"> </w:t>
      </w:r>
      <w:r w:rsidRPr="006E23F4">
        <w:rPr>
          <w:rFonts w:cstheme="minorHAnsi"/>
          <w:sz w:val="24"/>
          <w:szCs w:val="24"/>
        </w:rPr>
        <w:t>its gender pay</w:t>
      </w:r>
      <w:r w:rsidR="003D6C6D" w:rsidRPr="006E23F4">
        <w:rPr>
          <w:rFonts w:cstheme="minorHAnsi"/>
          <w:sz w:val="24"/>
          <w:szCs w:val="24"/>
        </w:rPr>
        <w:t xml:space="preserve"> gap and</w:t>
      </w:r>
      <w:r w:rsidR="00495296">
        <w:rPr>
          <w:rFonts w:cstheme="minorHAnsi"/>
          <w:sz w:val="24"/>
          <w:szCs w:val="24"/>
        </w:rPr>
        <w:t xml:space="preserve"> improving outcomes for women. Building on </w:t>
      </w:r>
      <w:r w:rsidR="00BE299D">
        <w:rPr>
          <w:rFonts w:cstheme="minorHAnsi"/>
          <w:sz w:val="24"/>
          <w:szCs w:val="24"/>
        </w:rPr>
        <w:t xml:space="preserve">the </w:t>
      </w:r>
      <w:r w:rsidR="00495296">
        <w:rPr>
          <w:rFonts w:cstheme="minorHAnsi"/>
          <w:sz w:val="24"/>
          <w:szCs w:val="24"/>
        </w:rPr>
        <w:t xml:space="preserve">data analysis and research, </w:t>
      </w:r>
      <w:r w:rsidR="00BE299D">
        <w:rPr>
          <w:rFonts w:cstheme="minorHAnsi"/>
          <w:sz w:val="24"/>
          <w:szCs w:val="24"/>
        </w:rPr>
        <w:t xml:space="preserve">we have worked </w:t>
      </w:r>
      <w:r w:rsidR="0033417A">
        <w:rPr>
          <w:rFonts w:cstheme="minorHAnsi"/>
          <w:sz w:val="24"/>
          <w:szCs w:val="24"/>
        </w:rPr>
        <w:t xml:space="preserve">closely </w:t>
      </w:r>
      <w:r w:rsidR="00BE299D">
        <w:rPr>
          <w:rFonts w:cstheme="minorHAnsi"/>
          <w:sz w:val="24"/>
          <w:szCs w:val="24"/>
        </w:rPr>
        <w:t xml:space="preserve">with staff to develop a </w:t>
      </w:r>
      <w:r w:rsidR="0033417A">
        <w:rPr>
          <w:rFonts w:cstheme="minorHAnsi"/>
          <w:sz w:val="24"/>
          <w:szCs w:val="24"/>
        </w:rPr>
        <w:t xml:space="preserve">meaningful </w:t>
      </w:r>
      <w:r w:rsidR="00495296">
        <w:rPr>
          <w:rFonts w:cstheme="minorHAnsi"/>
          <w:sz w:val="24"/>
          <w:szCs w:val="24"/>
        </w:rPr>
        <w:t>Gender</w:t>
      </w:r>
      <w:r w:rsidR="003D6C6D" w:rsidRPr="006E23F4">
        <w:rPr>
          <w:rFonts w:cstheme="minorHAnsi"/>
          <w:sz w:val="24"/>
          <w:szCs w:val="24"/>
        </w:rPr>
        <w:t xml:space="preserve"> Pay Gap strategy </w:t>
      </w:r>
      <w:r w:rsidR="0033417A">
        <w:rPr>
          <w:rFonts w:cstheme="minorHAnsi"/>
          <w:sz w:val="24"/>
          <w:szCs w:val="24"/>
        </w:rPr>
        <w:t xml:space="preserve">that has a positive impact on </w:t>
      </w:r>
      <w:r w:rsidR="00BE299D">
        <w:rPr>
          <w:rFonts w:cstheme="minorHAnsi"/>
          <w:sz w:val="24"/>
          <w:szCs w:val="24"/>
        </w:rPr>
        <w:t>them</w:t>
      </w:r>
      <w:r w:rsidR="0033417A">
        <w:rPr>
          <w:rFonts w:cstheme="minorHAnsi"/>
          <w:sz w:val="24"/>
          <w:szCs w:val="24"/>
        </w:rPr>
        <w:t xml:space="preserve">. </w:t>
      </w:r>
      <w:r w:rsidR="005234E0">
        <w:rPr>
          <w:rFonts w:cstheme="minorHAnsi"/>
          <w:sz w:val="24"/>
          <w:szCs w:val="24"/>
        </w:rPr>
        <w:t>This is an evolving and developing strategy and work has continued to be undertaken.</w:t>
      </w:r>
      <w:r w:rsidR="00485083">
        <w:rPr>
          <w:rFonts w:cstheme="minorHAnsi"/>
          <w:sz w:val="24"/>
          <w:szCs w:val="24"/>
        </w:rPr>
        <w:t xml:space="preserve"> </w:t>
      </w:r>
    </w:p>
    <w:p w14:paraId="4050A052" w14:textId="7C8C85F8" w:rsidR="00F15F30" w:rsidRPr="006E23F4" w:rsidRDefault="003D6C6D" w:rsidP="00F15F30">
      <w:pPr>
        <w:rPr>
          <w:rFonts w:cstheme="minorHAnsi"/>
          <w:sz w:val="24"/>
          <w:szCs w:val="24"/>
        </w:rPr>
      </w:pPr>
      <w:r w:rsidRPr="006E23F4">
        <w:rPr>
          <w:rFonts w:cstheme="minorHAnsi"/>
          <w:sz w:val="24"/>
          <w:szCs w:val="24"/>
        </w:rPr>
        <w:t>Alongside this</w:t>
      </w:r>
      <w:r w:rsidR="005234E0">
        <w:rPr>
          <w:rFonts w:cstheme="minorHAnsi"/>
          <w:sz w:val="24"/>
          <w:szCs w:val="24"/>
        </w:rPr>
        <w:t xml:space="preserve"> </w:t>
      </w:r>
      <w:r w:rsidRPr="006E23F4">
        <w:rPr>
          <w:rFonts w:cstheme="minorHAnsi"/>
          <w:sz w:val="24"/>
          <w:szCs w:val="24"/>
        </w:rPr>
        <w:t>strategy w</w:t>
      </w:r>
      <w:r w:rsidR="006E23F4" w:rsidRPr="006E23F4">
        <w:rPr>
          <w:rFonts w:cstheme="minorHAnsi"/>
          <w:sz w:val="24"/>
          <w:szCs w:val="24"/>
        </w:rPr>
        <w:t xml:space="preserve">e </w:t>
      </w:r>
      <w:r w:rsidR="005234E0">
        <w:rPr>
          <w:rFonts w:cstheme="minorHAnsi"/>
          <w:sz w:val="24"/>
          <w:szCs w:val="24"/>
        </w:rPr>
        <w:t xml:space="preserve">have </w:t>
      </w:r>
      <w:r w:rsidR="00A018E8">
        <w:rPr>
          <w:rFonts w:cstheme="minorHAnsi"/>
          <w:sz w:val="24"/>
          <w:szCs w:val="24"/>
        </w:rPr>
        <w:t>un</w:t>
      </w:r>
      <w:r w:rsidR="005234E0">
        <w:rPr>
          <w:rFonts w:cstheme="minorHAnsi"/>
          <w:sz w:val="24"/>
          <w:szCs w:val="24"/>
        </w:rPr>
        <w:t>der</w:t>
      </w:r>
      <w:r w:rsidR="00A018E8">
        <w:rPr>
          <w:rFonts w:cstheme="minorHAnsi"/>
          <w:sz w:val="24"/>
          <w:szCs w:val="24"/>
        </w:rPr>
        <w:t>taken</w:t>
      </w:r>
      <w:r w:rsidR="00F15F30" w:rsidRPr="006E23F4">
        <w:rPr>
          <w:rFonts w:cstheme="minorHAnsi"/>
          <w:sz w:val="24"/>
          <w:szCs w:val="24"/>
        </w:rPr>
        <w:t xml:space="preserve"> a</w:t>
      </w:r>
      <w:r w:rsidR="00485083">
        <w:rPr>
          <w:rFonts w:cstheme="minorHAnsi"/>
          <w:sz w:val="24"/>
          <w:szCs w:val="24"/>
        </w:rPr>
        <w:t>n extensive</w:t>
      </w:r>
      <w:r w:rsidR="00F15F30" w:rsidRPr="006E23F4">
        <w:rPr>
          <w:rFonts w:cstheme="minorHAnsi"/>
          <w:sz w:val="24"/>
          <w:szCs w:val="24"/>
        </w:rPr>
        <w:t xml:space="preserve"> range of positive measures </w:t>
      </w:r>
      <w:r w:rsidR="00485083">
        <w:rPr>
          <w:rFonts w:cstheme="minorHAnsi"/>
          <w:sz w:val="24"/>
          <w:szCs w:val="24"/>
        </w:rPr>
        <w:t xml:space="preserve">and actions </w:t>
      </w:r>
      <w:r w:rsidR="00F15F30" w:rsidRPr="006E23F4">
        <w:rPr>
          <w:rFonts w:cstheme="minorHAnsi"/>
          <w:sz w:val="24"/>
          <w:szCs w:val="24"/>
        </w:rPr>
        <w:t xml:space="preserve">to support </w:t>
      </w:r>
      <w:r w:rsidR="00485083">
        <w:rPr>
          <w:rFonts w:cstheme="minorHAnsi"/>
          <w:sz w:val="24"/>
          <w:szCs w:val="24"/>
        </w:rPr>
        <w:t xml:space="preserve">us </w:t>
      </w:r>
      <w:r w:rsidR="005234E0">
        <w:rPr>
          <w:rFonts w:cstheme="minorHAnsi"/>
          <w:sz w:val="24"/>
          <w:szCs w:val="24"/>
        </w:rPr>
        <w:t>in</w:t>
      </w:r>
      <w:r w:rsidRPr="006E23F4">
        <w:rPr>
          <w:rFonts w:cstheme="minorHAnsi"/>
          <w:sz w:val="24"/>
          <w:szCs w:val="24"/>
        </w:rPr>
        <w:t xml:space="preserve"> narrowing our gender pay gap</w:t>
      </w:r>
      <w:r w:rsidR="00F15F30" w:rsidRPr="006E23F4">
        <w:rPr>
          <w:rFonts w:cstheme="minorHAnsi"/>
          <w:sz w:val="24"/>
          <w:szCs w:val="24"/>
        </w:rPr>
        <w:t xml:space="preserve">. </w:t>
      </w:r>
      <w:r w:rsidR="00485083">
        <w:rPr>
          <w:rFonts w:cstheme="minorHAnsi"/>
          <w:sz w:val="24"/>
          <w:szCs w:val="24"/>
        </w:rPr>
        <w:t>These are as follows</w:t>
      </w:r>
      <w:r w:rsidR="00F15F30" w:rsidRPr="006E23F4">
        <w:rPr>
          <w:rFonts w:cstheme="minorHAnsi"/>
          <w:sz w:val="24"/>
          <w:szCs w:val="24"/>
        </w:rPr>
        <w:t>:</w:t>
      </w:r>
    </w:p>
    <w:p w14:paraId="20BAA277" w14:textId="6359A050" w:rsidR="003746FE" w:rsidRPr="003746FE" w:rsidRDefault="00DC741A" w:rsidP="003746FE">
      <w:pPr>
        <w:rPr>
          <w:rFonts w:cstheme="minorHAnsi"/>
          <w:b/>
          <w:bCs/>
          <w:sz w:val="24"/>
          <w:szCs w:val="24"/>
        </w:rPr>
      </w:pPr>
      <w:r>
        <w:rPr>
          <w:rFonts w:cstheme="minorHAnsi"/>
          <w:b/>
          <w:bCs/>
          <w:sz w:val="24"/>
          <w:szCs w:val="24"/>
        </w:rPr>
        <w:t xml:space="preserve">Training and </w:t>
      </w:r>
      <w:r w:rsidR="003746FE" w:rsidRPr="003746FE">
        <w:rPr>
          <w:rFonts w:cstheme="minorHAnsi"/>
          <w:b/>
          <w:bCs/>
          <w:sz w:val="24"/>
          <w:szCs w:val="24"/>
        </w:rPr>
        <w:t>Development</w:t>
      </w:r>
    </w:p>
    <w:p w14:paraId="0132340C" w14:textId="2AE861C3" w:rsidR="003746FE" w:rsidRPr="003746FE" w:rsidRDefault="004A5259" w:rsidP="00C4059C">
      <w:pPr>
        <w:rPr>
          <w:rFonts w:cstheme="minorHAnsi"/>
          <w:sz w:val="24"/>
          <w:szCs w:val="24"/>
        </w:rPr>
      </w:pPr>
      <w:r w:rsidRPr="003746FE">
        <w:rPr>
          <w:rFonts w:cstheme="minorHAnsi"/>
          <w:sz w:val="24"/>
          <w:szCs w:val="24"/>
        </w:rPr>
        <w:t>E</w:t>
      </w:r>
      <w:r w:rsidR="003746FE">
        <w:rPr>
          <w:rFonts w:cstheme="minorHAnsi"/>
          <w:sz w:val="24"/>
          <w:szCs w:val="24"/>
        </w:rPr>
        <w:t xml:space="preserve">quality, Diversity and Inclusion </w:t>
      </w:r>
      <w:r w:rsidRPr="003746FE">
        <w:rPr>
          <w:rFonts w:cstheme="minorHAnsi"/>
          <w:sz w:val="24"/>
          <w:szCs w:val="24"/>
        </w:rPr>
        <w:t xml:space="preserve">training </w:t>
      </w:r>
      <w:r w:rsidR="004D0F64">
        <w:rPr>
          <w:rFonts w:cstheme="minorHAnsi"/>
          <w:sz w:val="24"/>
          <w:szCs w:val="24"/>
        </w:rPr>
        <w:t>offer</w:t>
      </w:r>
      <w:r w:rsidRPr="003746FE">
        <w:rPr>
          <w:rFonts w:cstheme="minorHAnsi"/>
          <w:sz w:val="24"/>
          <w:szCs w:val="24"/>
        </w:rPr>
        <w:t xml:space="preserve"> on </w:t>
      </w:r>
    </w:p>
    <w:p w14:paraId="603FBB43" w14:textId="77777777" w:rsidR="003746FE" w:rsidRDefault="004A5259" w:rsidP="004A5259">
      <w:pPr>
        <w:pStyle w:val="ListParagraph"/>
        <w:numPr>
          <w:ilvl w:val="0"/>
          <w:numId w:val="6"/>
        </w:numPr>
        <w:rPr>
          <w:rFonts w:cstheme="minorHAnsi"/>
          <w:sz w:val="24"/>
          <w:szCs w:val="24"/>
        </w:rPr>
      </w:pPr>
      <w:r w:rsidRPr="004A5259">
        <w:rPr>
          <w:rFonts w:cstheme="minorHAnsi"/>
          <w:sz w:val="24"/>
          <w:szCs w:val="24"/>
        </w:rPr>
        <w:t xml:space="preserve">micro-aggressions, </w:t>
      </w:r>
    </w:p>
    <w:p w14:paraId="7FA2775B" w14:textId="77777777" w:rsidR="003746FE" w:rsidRDefault="004A5259" w:rsidP="004A5259">
      <w:pPr>
        <w:pStyle w:val="ListParagraph"/>
        <w:numPr>
          <w:ilvl w:val="0"/>
          <w:numId w:val="6"/>
        </w:numPr>
        <w:rPr>
          <w:rFonts w:cstheme="minorHAnsi"/>
          <w:sz w:val="24"/>
          <w:szCs w:val="24"/>
        </w:rPr>
      </w:pPr>
      <w:r w:rsidRPr="004A5259">
        <w:rPr>
          <w:rFonts w:cstheme="minorHAnsi"/>
          <w:sz w:val="24"/>
          <w:szCs w:val="24"/>
        </w:rPr>
        <w:t xml:space="preserve">unconscious bias, </w:t>
      </w:r>
    </w:p>
    <w:p w14:paraId="47E95C83" w14:textId="00A897D1" w:rsidR="004D0F64" w:rsidRDefault="004A5259" w:rsidP="004A5259">
      <w:pPr>
        <w:pStyle w:val="ListParagraph"/>
        <w:numPr>
          <w:ilvl w:val="0"/>
          <w:numId w:val="6"/>
        </w:numPr>
        <w:rPr>
          <w:rFonts w:cstheme="minorHAnsi"/>
          <w:sz w:val="24"/>
          <w:szCs w:val="24"/>
        </w:rPr>
      </w:pPr>
      <w:r w:rsidRPr="004A5259">
        <w:rPr>
          <w:rFonts w:cstheme="minorHAnsi"/>
          <w:sz w:val="24"/>
          <w:szCs w:val="24"/>
        </w:rPr>
        <w:t>allyship and safe spaces</w:t>
      </w:r>
    </w:p>
    <w:p w14:paraId="5BB6672F" w14:textId="3640410A" w:rsidR="003746FE" w:rsidRDefault="004D0F64" w:rsidP="004A5259">
      <w:pPr>
        <w:pStyle w:val="ListParagraph"/>
        <w:numPr>
          <w:ilvl w:val="0"/>
          <w:numId w:val="6"/>
        </w:numPr>
        <w:rPr>
          <w:rFonts w:cstheme="minorHAnsi"/>
          <w:sz w:val="24"/>
          <w:szCs w:val="24"/>
        </w:rPr>
      </w:pPr>
      <w:r>
        <w:rPr>
          <w:rFonts w:cstheme="minorHAnsi"/>
          <w:sz w:val="24"/>
          <w:szCs w:val="24"/>
        </w:rPr>
        <w:t xml:space="preserve">introducing Speak </w:t>
      </w:r>
      <w:r w:rsidR="0032037B">
        <w:rPr>
          <w:rFonts w:cstheme="minorHAnsi"/>
          <w:sz w:val="24"/>
          <w:szCs w:val="24"/>
        </w:rPr>
        <w:t>U</w:t>
      </w:r>
      <w:r>
        <w:rPr>
          <w:rFonts w:cstheme="minorHAnsi"/>
          <w:sz w:val="24"/>
          <w:szCs w:val="24"/>
        </w:rPr>
        <w:t xml:space="preserve">p </w:t>
      </w:r>
      <w:r w:rsidR="0032037B">
        <w:rPr>
          <w:rFonts w:cstheme="minorHAnsi"/>
          <w:sz w:val="24"/>
          <w:szCs w:val="24"/>
        </w:rPr>
        <w:t>C</w:t>
      </w:r>
      <w:r>
        <w:rPr>
          <w:rFonts w:cstheme="minorHAnsi"/>
          <w:sz w:val="24"/>
          <w:szCs w:val="24"/>
        </w:rPr>
        <w:t>hampions</w:t>
      </w:r>
      <w:r w:rsidR="0032037B">
        <w:rPr>
          <w:rFonts w:cstheme="minorHAnsi"/>
          <w:sz w:val="24"/>
          <w:szCs w:val="24"/>
        </w:rPr>
        <w:t xml:space="preserve"> {pilot}</w:t>
      </w:r>
      <w:r>
        <w:rPr>
          <w:rFonts w:cstheme="minorHAnsi"/>
          <w:sz w:val="24"/>
          <w:szCs w:val="24"/>
        </w:rPr>
        <w:t xml:space="preserve"> </w:t>
      </w:r>
      <w:r w:rsidR="004A5259" w:rsidRPr="004A5259">
        <w:rPr>
          <w:rFonts w:cstheme="minorHAnsi"/>
          <w:sz w:val="24"/>
          <w:szCs w:val="24"/>
        </w:rPr>
        <w:t> </w:t>
      </w:r>
    </w:p>
    <w:p w14:paraId="490822A8" w14:textId="3E098242" w:rsidR="003746FE" w:rsidRPr="00CB73CF" w:rsidRDefault="00D64BEA" w:rsidP="003746FE">
      <w:pPr>
        <w:pStyle w:val="ListParagraph"/>
        <w:numPr>
          <w:ilvl w:val="0"/>
          <w:numId w:val="10"/>
        </w:numPr>
        <w:ind w:left="709"/>
        <w:rPr>
          <w:rFonts w:cstheme="minorHAnsi"/>
          <w:sz w:val="24"/>
          <w:szCs w:val="24"/>
        </w:rPr>
      </w:pPr>
      <w:r>
        <w:rPr>
          <w:rFonts w:cstheme="minorHAnsi"/>
          <w:sz w:val="24"/>
          <w:szCs w:val="24"/>
        </w:rPr>
        <w:t>M</w:t>
      </w:r>
      <w:r w:rsidR="004A5259" w:rsidRPr="004D0F64">
        <w:rPr>
          <w:rFonts w:cstheme="minorHAnsi"/>
          <w:sz w:val="24"/>
          <w:szCs w:val="24"/>
        </w:rPr>
        <w:t>andatory e-learning courses on </w:t>
      </w:r>
      <w:r w:rsidR="009D475A" w:rsidRPr="00DC741A">
        <w:rPr>
          <w:sz w:val="24"/>
          <w:szCs w:val="24"/>
        </w:rPr>
        <w:t>Unconscious Bias</w:t>
      </w:r>
      <w:r w:rsidR="004A5259" w:rsidRPr="004D0F64">
        <w:rPr>
          <w:rFonts w:cstheme="minorHAnsi"/>
          <w:sz w:val="24"/>
          <w:szCs w:val="24"/>
        </w:rPr>
        <w:t> and </w:t>
      </w:r>
      <w:r w:rsidR="009D475A" w:rsidRPr="00DC741A">
        <w:rPr>
          <w:sz w:val="24"/>
          <w:szCs w:val="24"/>
        </w:rPr>
        <w:t>Equality and Diversity</w:t>
      </w:r>
      <w:r w:rsidR="004A5259" w:rsidRPr="004D0F64">
        <w:rPr>
          <w:rFonts w:cstheme="minorHAnsi"/>
          <w:sz w:val="24"/>
          <w:szCs w:val="24"/>
        </w:rPr>
        <w:t> which must be completed by all staff and managers. </w:t>
      </w:r>
    </w:p>
    <w:p w14:paraId="3B896703" w14:textId="53DF14E6" w:rsidR="004A5259" w:rsidRDefault="004A5259" w:rsidP="003746FE">
      <w:pPr>
        <w:pStyle w:val="ListParagraph"/>
        <w:numPr>
          <w:ilvl w:val="0"/>
          <w:numId w:val="10"/>
        </w:numPr>
        <w:ind w:left="709"/>
        <w:rPr>
          <w:rFonts w:cstheme="minorHAnsi"/>
          <w:sz w:val="24"/>
          <w:szCs w:val="24"/>
        </w:rPr>
      </w:pPr>
      <w:r w:rsidRPr="00CB73CF">
        <w:rPr>
          <w:rFonts w:cstheme="minorHAnsi"/>
          <w:sz w:val="24"/>
          <w:szCs w:val="24"/>
        </w:rPr>
        <w:t>Developed a </w:t>
      </w:r>
      <w:hyperlink r:id="rId9" w:history="1">
        <w:r w:rsidRPr="00DC741A">
          <w:rPr>
            <w:rStyle w:val="Hyperlink"/>
            <w:rFonts w:cstheme="minorHAnsi"/>
            <w:sz w:val="24"/>
            <w:szCs w:val="24"/>
          </w:rPr>
          <w:t>toolkit for managers </w:t>
        </w:r>
      </w:hyperlink>
      <w:r w:rsidRPr="004D0F64">
        <w:rPr>
          <w:rFonts w:cstheme="minorHAnsi"/>
          <w:sz w:val="24"/>
          <w:szCs w:val="24"/>
        </w:rPr>
        <w:t>to help managers hold courageous conversations with their teams.​</w:t>
      </w:r>
    </w:p>
    <w:p w14:paraId="49533D95" w14:textId="65041AD8" w:rsidR="00D64BEA" w:rsidRPr="00761CB5" w:rsidRDefault="00DC741A" w:rsidP="00DC741A">
      <w:pPr>
        <w:pStyle w:val="ListParagraph"/>
        <w:numPr>
          <w:ilvl w:val="0"/>
          <w:numId w:val="10"/>
        </w:numPr>
        <w:ind w:left="709"/>
        <w:rPr>
          <w:rStyle w:val="Strong"/>
          <w:rFonts w:cstheme="minorHAnsi"/>
          <w:b w:val="0"/>
          <w:bCs w:val="0"/>
          <w:sz w:val="24"/>
          <w:szCs w:val="24"/>
        </w:rPr>
      </w:pPr>
      <w:r>
        <w:rPr>
          <w:rFonts w:cs="Arial"/>
          <w:color w:val="000000"/>
          <w:sz w:val="24"/>
          <w:szCs w:val="24"/>
        </w:rPr>
        <w:t>‘</w:t>
      </w:r>
      <w:hyperlink r:id="rId10" w:tgtFrame="_blank" w:history="1">
        <w:r w:rsidRPr="002B49C3">
          <w:rPr>
            <w:rStyle w:val="Hyperlink"/>
            <w:rFonts w:cs="Arial"/>
            <w:color w:val="0000EE"/>
            <w:sz w:val="24"/>
            <w:szCs w:val="24"/>
          </w:rPr>
          <w:t>Be Proudly You</w:t>
        </w:r>
        <w:r>
          <w:rPr>
            <w:rStyle w:val="Hyperlink"/>
            <w:rFonts w:cs="Arial"/>
            <w:color w:val="0000EE"/>
            <w:sz w:val="24"/>
            <w:szCs w:val="24"/>
          </w:rPr>
          <w:t>’</w:t>
        </w:r>
        <w:r w:rsidRPr="002B49C3">
          <w:rPr>
            <w:rStyle w:val="Hyperlink"/>
            <w:rFonts w:cs="Arial"/>
            <w:color w:val="0000EE"/>
            <w:sz w:val="24"/>
            <w:szCs w:val="24"/>
          </w:rPr>
          <w:t> Diversity and Inclusion eLearning course</w:t>
        </w:r>
      </w:hyperlink>
      <w:r w:rsidRPr="002B49C3">
        <w:rPr>
          <w:rFonts w:cs="Arial"/>
          <w:color w:val="000000"/>
          <w:sz w:val="24"/>
          <w:szCs w:val="24"/>
        </w:rPr>
        <w:t> </w:t>
      </w:r>
      <w:r>
        <w:rPr>
          <w:rFonts w:cs="Arial"/>
          <w:color w:val="000000"/>
          <w:sz w:val="24"/>
          <w:szCs w:val="24"/>
        </w:rPr>
        <w:t>covering</w:t>
      </w:r>
      <w:r w:rsidRPr="002B49C3">
        <w:rPr>
          <w:rFonts w:cs="Arial"/>
          <w:color w:val="000000"/>
          <w:sz w:val="24"/>
          <w:szCs w:val="24"/>
        </w:rPr>
        <w:t> </w:t>
      </w:r>
      <w:r w:rsidRPr="002B49C3">
        <w:rPr>
          <w:rStyle w:val="Strong"/>
          <w:rFonts w:cs="Arial"/>
          <w:b w:val="0"/>
          <w:bCs w:val="0"/>
          <w:color w:val="000000"/>
          <w:sz w:val="24"/>
          <w:szCs w:val="24"/>
        </w:rPr>
        <w:t>Presumptions and Assumptions; Privilege, and Allyship</w:t>
      </w:r>
      <w:r w:rsidR="00D64BEA">
        <w:rPr>
          <w:rStyle w:val="Strong"/>
          <w:rFonts w:cs="Arial"/>
          <w:b w:val="0"/>
          <w:bCs w:val="0"/>
          <w:color w:val="000000"/>
          <w:sz w:val="24"/>
          <w:szCs w:val="24"/>
        </w:rPr>
        <w:t>, (delivered to circa 1800 employees)</w:t>
      </w:r>
    </w:p>
    <w:p w14:paraId="3031ADE6" w14:textId="56DB9269" w:rsidR="00DC741A" w:rsidRPr="0032037B" w:rsidRDefault="00D64BEA" w:rsidP="42FE6636">
      <w:pPr>
        <w:pStyle w:val="ListParagraph"/>
        <w:numPr>
          <w:ilvl w:val="0"/>
          <w:numId w:val="10"/>
        </w:numPr>
        <w:ind w:left="720"/>
        <w:rPr>
          <w:sz w:val="24"/>
          <w:szCs w:val="24"/>
        </w:rPr>
      </w:pPr>
      <w:r w:rsidRPr="42FE6636">
        <w:rPr>
          <w:rStyle w:val="Strong"/>
          <w:rFonts w:cs="Arial"/>
          <w:b w:val="0"/>
          <w:bCs w:val="0"/>
          <w:color w:val="000000" w:themeColor="text1"/>
          <w:sz w:val="24"/>
          <w:szCs w:val="24"/>
        </w:rPr>
        <w:t xml:space="preserve">Big (EDI) Conversation for managers and staff to discuss the themes discussed in the ‘Be Proudly You’ e-learning. </w:t>
      </w:r>
    </w:p>
    <w:p w14:paraId="772F0FC9" w14:textId="1CFBA237" w:rsidR="00A42F0F" w:rsidRPr="00072AC5" w:rsidRDefault="00A42F0F" w:rsidP="00072AC5">
      <w:pPr>
        <w:rPr>
          <w:rFonts w:cstheme="minorHAnsi"/>
          <w:b/>
          <w:bCs/>
          <w:sz w:val="24"/>
          <w:szCs w:val="24"/>
        </w:rPr>
      </w:pPr>
      <w:r w:rsidRPr="00072AC5">
        <w:rPr>
          <w:rFonts w:cstheme="minorHAnsi"/>
          <w:b/>
          <w:bCs/>
          <w:sz w:val="24"/>
          <w:szCs w:val="24"/>
        </w:rPr>
        <w:t>Flexible working</w:t>
      </w:r>
    </w:p>
    <w:p w14:paraId="7B83504D" w14:textId="566B95AE" w:rsidR="0032037B" w:rsidRDefault="00F15F30" w:rsidP="00F15F30">
      <w:pPr>
        <w:pStyle w:val="ListParagraph"/>
        <w:numPr>
          <w:ilvl w:val="0"/>
          <w:numId w:val="6"/>
        </w:numPr>
        <w:rPr>
          <w:rFonts w:cstheme="minorHAnsi"/>
          <w:sz w:val="24"/>
          <w:szCs w:val="24"/>
        </w:rPr>
      </w:pPr>
      <w:r w:rsidRPr="006E23F4">
        <w:rPr>
          <w:rFonts w:cstheme="minorHAnsi"/>
          <w:sz w:val="24"/>
          <w:szCs w:val="24"/>
        </w:rPr>
        <w:t>We actively promote flexible working, home working and part time working.</w:t>
      </w:r>
      <w:r w:rsidR="00B664E6">
        <w:rPr>
          <w:rFonts w:cstheme="minorHAnsi"/>
          <w:sz w:val="24"/>
          <w:szCs w:val="24"/>
        </w:rPr>
        <w:t xml:space="preserve"> </w:t>
      </w:r>
      <w:r w:rsidR="00485083">
        <w:rPr>
          <w:rFonts w:cstheme="minorHAnsi"/>
          <w:sz w:val="24"/>
          <w:szCs w:val="24"/>
        </w:rPr>
        <w:t xml:space="preserve">Home- working has </w:t>
      </w:r>
      <w:r w:rsidR="00B664E6">
        <w:rPr>
          <w:rFonts w:cstheme="minorHAnsi"/>
          <w:sz w:val="24"/>
          <w:szCs w:val="24"/>
        </w:rPr>
        <w:t>significantly</w:t>
      </w:r>
      <w:r w:rsidR="00485083">
        <w:rPr>
          <w:rFonts w:cstheme="minorHAnsi"/>
          <w:sz w:val="24"/>
          <w:szCs w:val="24"/>
        </w:rPr>
        <w:t xml:space="preserve"> increased</w:t>
      </w:r>
      <w:r w:rsidR="0032037B">
        <w:rPr>
          <w:rFonts w:cstheme="minorHAnsi"/>
          <w:sz w:val="24"/>
          <w:szCs w:val="24"/>
        </w:rPr>
        <w:t>.</w:t>
      </w:r>
    </w:p>
    <w:p w14:paraId="1CB0DC2C" w14:textId="44726CD6" w:rsidR="00B664E6" w:rsidRDefault="0032037B" w:rsidP="00F15F30">
      <w:pPr>
        <w:pStyle w:val="ListParagraph"/>
        <w:numPr>
          <w:ilvl w:val="0"/>
          <w:numId w:val="6"/>
        </w:numPr>
        <w:rPr>
          <w:rFonts w:cstheme="minorHAnsi"/>
          <w:sz w:val="24"/>
          <w:szCs w:val="24"/>
        </w:rPr>
      </w:pPr>
      <w:r>
        <w:rPr>
          <w:rFonts w:cstheme="minorHAnsi"/>
          <w:sz w:val="24"/>
          <w:szCs w:val="24"/>
        </w:rPr>
        <w:t>The Counci</w:t>
      </w:r>
      <w:r w:rsidR="00A77306">
        <w:rPr>
          <w:rFonts w:cstheme="minorHAnsi"/>
          <w:sz w:val="24"/>
          <w:szCs w:val="24"/>
        </w:rPr>
        <w:t>l</w:t>
      </w:r>
      <w:r>
        <w:rPr>
          <w:rFonts w:cstheme="minorHAnsi"/>
          <w:sz w:val="24"/>
          <w:szCs w:val="24"/>
        </w:rPr>
        <w:t xml:space="preserve"> also offers a</w:t>
      </w:r>
      <w:r w:rsidR="00265E92">
        <w:rPr>
          <w:rFonts w:cstheme="minorHAnsi"/>
          <w:sz w:val="24"/>
          <w:szCs w:val="24"/>
        </w:rPr>
        <w:t xml:space="preserve"> </w:t>
      </w:r>
      <w:hyperlink r:id="rId11" w:history="1">
        <w:r w:rsidR="00A42F0F" w:rsidRPr="00A42F0F">
          <w:rPr>
            <w:rStyle w:val="Hyperlink"/>
            <w:rFonts w:cstheme="minorHAnsi"/>
            <w:sz w:val="24"/>
            <w:szCs w:val="24"/>
          </w:rPr>
          <w:t>Modern Ways of Working</w:t>
        </w:r>
      </w:hyperlink>
      <w:r w:rsidR="00A42F0F">
        <w:rPr>
          <w:rFonts w:cstheme="minorHAnsi"/>
          <w:sz w:val="24"/>
          <w:szCs w:val="24"/>
        </w:rPr>
        <w:t xml:space="preserve"> </w:t>
      </w:r>
      <w:r w:rsidR="00265E92">
        <w:rPr>
          <w:rFonts w:cstheme="minorHAnsi"/>
          <w:sz w:val="24"/>
          <w:szCs w:val="24"/>
        </w:rPr>
        <w:t xml:space="preserve">programme </w:t>
      </w:r>
      <w:r w:rsidR="00A42F0F">
        <w:rPr>
          <w:rFonts w:cstheme="minorHAnsi"/>
          <w:sz w:val="24"/>
          <w:szCs w:val="24"/>
        </w:rPr>
        <w:t xml:space="preserve">to enhance </w:t>
      </w:r>
      <w:r w:rsidR="00265E92">
        <w:rPr>
          <w:rFonts w:cstheme="minorHAnsi"/>
          <w:sz w:val="24"/>
          <w:szCs w:val="24"/>
        </w:rPr>
        <w:t xml:space="preserve"> and open flexible opportunities to employees</w:t>
      </w:r>
      <w:r w:rsidR="004D2D16">
        <w:rPr>
          <w:rFonts w:cstheme="minorHAnsi"/>
          <w:sz w:val="24"/>
          <w:szCs w:val="24"/>
        </w:rPr>
        <w:t>. W</w:t>
      </w:r>
      <w:r w:rsidR="00265E92">
        <w:rPr>
          <w:rFonts w:cstheme="minorHAnsi"/>
          <w:sz w:val="24"/>
          <w:szCs w:val="24"/>
        </w:rPr>
        <w:t>here possible man</w:t>
      </w:r>
      <w:r w:rsidR="004D2D16">
        <w:rPr>
          <w:rFonts w:cstheme="minorHAnsi"/>
          <w:sz w:val="24"/>
          <w:szCs w:val="24"/>
        </w:rPr>
        <w:t>a</w:t>
      </w:r>
      <w:r w:rsidR="00265E92">
        <w:rPr>
          <w:rFonts w:cstheme="minorHAnsi"/>
          <w:sz w:val="24"/>
          <w:szCs w:val="24"/>
        </w:rPr>
        <w:t xml:space="preserve">gers and employee are encouraged to consider all viable options dependent on </w:t>
      </w:r>
      <w:r w:rsidR="004D2D16">
        <w:rPr>
          <w:rFonts w:cstheme="minorHAnsi"/>
          <w:sz w:val="24"/>
          <w:szCs w:val="24"/>
        </w:rPr>
        <w:t xml:space="preserve">the </w:t>
      </w:r>
      <w:r w:rsidR="00265E92">
        <w:rPr>
          <w:rFonts w:cstheme="minorHAnsi"/>
          <w:sz w:val="24"/>
          <w:szCs w:val="24"/>
        </w:rPr>
        <w:t xml:space="preserve">role and service delivery consideration. </w:t>
      </w:r>
    </w:p>
    <w:p w14:paraId="27B1D8D2" w14:textId="4274F238" w:rsidR="00A42F0F" w:rsidRPr="00072AC5" w:rsidRDefault="00A42F0F" w:rsidP="00C4059C">
      <w:pPr>
        <w:rPr>
          <w:rFonts w:cstheme="minorHAnsi"/>
          <w:b/>
          <w:bCs/>
          <w:sz w:val="24"/>
          <w:szCs w:val="24"/>
        </w:rPr>
      </w:pPr>
      <w:r w:rsidRPr="00072AC5">
        <w:rPr>
          <w:rFonts w:cstheme="minorHAnsi"/>
          <w:b/>
          <w:bCs/>
          <w:sz w:val="24"/>
          <w:szCs w:val="24"/>
        </w:rPr>
        <w:t>Recruitment</w:t>
      </w:r>
    </w:p>
    <w:p w14:paraId="5E843610" w14:textId="3BD03690" w:rsidR="00CB73CF" w:rsidRDefault="00DC741A" w:rsidP="00F15F30">
      <w:pPr>
        <w:pStyle w:val="ListParagraph"/>
        <w:numPr>
          <w:ilvl w:val="0"/>
          <w:numId w:val="6"/>
        </w:numPr>
        <w:rPr>
          <w:rFonts w:cstheme="minorHAnsi"/>
          <w:sz w:val="24"/>
          <w:szCs w:val="24"/>
        </w:rPr>
      </w:pPr>
      <w:r>
        <w:rPr>
          <w:rFonts w:cstheme="minorHAnsi"/>
          <w:sz w:val="24"/>
          <w:szCs w:val="24"/>
        </w:rPr>
        <w:t>Equality data for each directorate is being reviewed and assessed by a d</w:t>
      </w:r>
      <w:r w:rsidR="00CB73CF">
        <w:rPr>
          <w:rFonts w:cstheme="minorHAnsi"/>
          <w:sz w:val="24"/>
          <w:szCs w:val="24"/>
        </w:rPr>
        <w:t>edicated People Partner</w:t>
      </w:r>
      <w:r>
        <w:rPr>
          <w:rFonts w:cstheme="minorHAnsi"/>
          <w:sz w:val="24"/>
          <w:szCs w:val="24"/>
        </w:rPr>
        <w:t xml:space="preserve">. Each People Partner will be working closely with each directorate to ensure a more tailored and dedicated </w:t>
      </w:r>
      <w:r w:rsidR="00A77306">
        <w:rPr>
          <w:rFonts w:cstheme="minorHAnsi"/>
          <w:sz w:val="24"/>
          <w:szCs w:val="24"/>
        </w:rPr>
        <w:t xml:space="preserve">recruitment campaign, which can </w:t>
      </w:r>
      <w:r>
        <w:rPr>
          <w:rFonts w:cstheme="minorHAnsi"/>
          <w:sz w:val="24"/>
          <w:szCs w:val="24"/>
        </w:rPr>
        <w:t xml:space="preserve">support </w:t>
      </w:r>
      <w:r w:rsidR="00A77306">
        <w:rPr>
          <w:rFonts w:cstheme="minorHAnsi"/>
          <w:sz w:val="24"/>
          <w:szCs w:val="24"/>
        </w:rPr>
        <w:t xml:space="preserve">to </w:t>
      </w:r>
      <w:r>
        <w:rPr>
          <w:rFonts w:cstheme="minorHAnsi"/>
          <w:sz w:val="24"/>
          <w:szCs w:val="24"/>
        </w:rPr>
        <w:t xml:space="preserve">address </w:t>
      </w:r>
      <w:r w:rsidR="00A77306">
        <w:rPr>
          <w:rFonts w:cstheme="minorHAnsi"/>
          <w:sz w:val="24"/>
          <w:szCs w:val="24"/>
        </w:rPr>
        <w:t>any</w:t>
      </w:r>
      <w:r>
        <w:rPr>
          <w:rFonts w:cstheme="minorHAnsi"/>
          <w:sz w:val="24"/>
          <w:szCs w:val="24"/>
        </w:rPr>
        <w:t xml:space="preserve"> equality </w:t>
      </w:r>
      <w:r w:rsidR="00A77306">
        <w:rPr>
          <w:rFonts w:cstheme="minorHAnsi"/>
          <w:sz w:val="24"/>
          <w:szCs w:val="24"/>
        </w:rPr>
        <w:t xml:space="preserve">deficit / </w:t>
      </w:r>
      <w:r>
        <w:rPr>
          <w:rFonts w:cstheme="minorHAnsi"/>
          <w:sz w:val="24"/>
          <w:szCs w:val="24"/>
        </w:rPr>
        <w:t>requirements.</w:t>
      </w:r>
      <w:r w:rsidR="00CB73CF">
        <w:rPr>
          <w:rFonts w:cstheme="minorHAnsi"/>
          <w:sz w:val="24"/>
          <w:szCs w:val="24"/>
        </w:rPr>
        <w:t xml:space="preserve">  </w:t>
      </w:r>
    </w:p>
    <w:p w14:paraId="37129A36" w14:textId="074AE01C" w:rsidR="00E57261" w:rsidRDefault="00485083" w:rsidP="00F15F30">
      <w:pPr>
        <w:pStyle w:val="ListParagraph"/>
        <w:numPr>
          <w:ilvl w:val="0"/>
          <w:numId w:val="6"/>
        </w:numPr>
        <w:rPr>
          <w:rFonts w:cstheme="minorHAnsi"/>
          <w:sz w:val="24"/>
          <w:szCs w:val="24"/>
        </w:rPr>
      </w:pPr>
      <w:r w:rsidRPr="004A5259">
        <w:rPr>
          <w:rFonts w:cstheme="minorHAnsi"/>
          <w:sz w:val="24"/>
          <w:szCs w:val="24"/>
        </w:rPr>
        <w:t xml:space="preserve">The </w:t>
      </w:r>
      <w:r w:rsidR="008853C8" w:rsidRPr="004A5259">
        <w:rPr>
          <w:rFonts w:cstheme="minorHAnsi"/>
          <w:sz w:val="24"/>
          <w:szCs w:val="24"/>
        </w:rPr>
        <w:t xml:space="preserve">continued promotion of </w:t>
      </w:r>
      <w:r w:rsidR="00B664E6">
        <w:rPr>
          <w:rFonts w:cstheme="minorHAnsi"/>
          <w:sz w:val="24"/>
          <w:szCs w:val="24"/>
        </w:rPr>
        <w:t xml:space="preserve">a </w:t>
      </w:r>
      <w:r w:rsidR="00A42F0F">
        <w:rPr>
          <w:rFonts w:cstheme="minorHAnsi"/>
          <w:sz w:val="24"/>
          <w:szCs w:val="24"/>
        </w:rPr>
        <w:t>p</w:t>
      </w:r>
      <w:r w:rsidR="00B664E6">
        <w:rPr>
          <w:rFonts w:cstheme="minorHAnsi"/>
          <w:sz w:val="24"/>
          <w:szCs w:val="24"/>
        </w:rPr>
        <w:t>art time pool for those employee</w:t>
      </w:r>
      <w:r w:rsidR="00E57261">
        <w:rPr>
          <w:rFonts w:cstheme="minorHAnsi"/>
          <w:sz w:val="24"/>
          <w:szCs w:val="24"/>
        </w:rPr>
        <w:t>s</w:t>
      </w:r>
      <w:r w:rsidR="00B664E6">
        <w:rPr>
          <w:rFonts w:cstheme="minorHAnsi"/>
          <w:sz w:val="24"/>
          <w:szCs w:val="24"/>
        </w:rPr>
        <w:t xml:space="preserve"> wishing to undertake additional hours</w:t>
      </w:r>
      <w:r>
        <w:rPr>
          <w:rFonts w:cstheme="minorHAnsi"/>
          <w:sz w:val="24"/>
          <w:szCs w:val="24"/>
        </w:rPr>
        <w:t>,</w:t>
      </w:r>
      <w:r w:rsidR="00B664E6">
        <w:rPr>
          <w:rFonts w:cstheme="minorHAnsi"/>
          <w:sz w:val="24"/>
          <w:szCs w:val="24"/>
        </w:rPr>
        <w:t xml:space="preserve"> either withi</w:t>
      </w:r>
      <w:r w:rsidR="00E57261">
        <w:rPr>
          <w:rFonts w:cstheme="minorHAnsi"/>
          <w:sz w:val="24"/>
          <w:szCs w:val="24"/>
        </w:rPr>
        <w:t>n</w:t>
      </w:r>
      <w:r w:rsidR="00B664E6">
        <w:rPr>
          <w:rFonts w:cstheme="minorHAnsi"/>
          <w:sz w:val="24"/>
          <w:szCs w:val="24"/>
        </w:rPr>
        <w:t xml:space="preserve"> their existing </w:t>
      </w:r>
      <w:r w:rsidR="00E57261">
        <w:rPr>
          <w:rFonts w:cstheme="minorHAnsi"/>
          <w:sz w:val="24"/>
          <w:szCs w:val="24"/>
        </w:rPr>
        <w:t xml:space="preserve">service </w:t>
      </w:r>
      <w:r w:rsidR="00B664E6">
        <w:rPr>
          <w:rFonts w:cstheme="minorHAnsi"/>
          <w:sz w:val="24"/>
          <w:szCs w:val="24"/>
        </w:rPr>
        <w:t>are</w:t>
      </w:r>
      <w:r w:rsidR="00E57261">
        <w:rPr>
          <w:rFonts w:cstheme="minorHAnsi"/>
          <w:sz w:val="24"/>
          <w:szCs w:val="24"/>
        </w:rPr>
        <w:t>a</w:t>
      </w:r>
      <w:r w:rsidR="00B664E6">
        <w:rPr>
          <w:rFonts w:cstheme="minorHAnsi"/>
          <w:sz w:val="24"/>
          <w:szCs w:val="24"/>
        </w:rPr>
        <w:t xml:space="preserve"> </w:t>
      </w:r>
      <w:r w:rsidR="00E57261">
        <w:rPr>
          <w:rFonts w:cstheme="minorHAnsi"/>
          <w:sz w:val="24"/>
          <w:szCs w:val="24"/>
        </w:rPr>
        <w:t xml:space="preserve">or </w:t>
      </w:r>
      <w:r w:rsidR="00B664E6">
        <w:rPr>
          <w:rFonts w:cstheme="minorHAnsi"/>
          <w:sz w:val="24"/>
          <w:szCs w:val="24"/>
        </w:rPr>
        <w:t xml:space="preserve">within other </w:t>
      </w:r>
      <w:r w:rsidR="00B664E6">
        <w:rPr>
          <w:rFonts w:cstheme="minorHAnsi"/>
          <w:sz w:val="24"/>
          <w:szCs w:val="24"/>
        </w:rPr>
        <w:lastRenderedPageBreak/>
        <w:t>departmen</w:t>
      </w:r>
      <w:r w:rsidR="00E57261">
        <w:rPr>
          <w:rFonts w:cstheme="minorHAnsi"/>
          <w:sz w:val="24"/>
          <w:szCs w:val="24"/>
        </w:rPr>
        <w:t>t</w:t>
      </w:r>
      <w:r w:rsidR="00B664E6">
        <w:rPr>
          <w:rFonts w:cstheme="minorHAnsi"/>
          <w:sz w:val="24"/>
          <w:szCs w:val="24"/>
        </w:rPr>
        <w:t>s so th</w:t>
      </w:r>
      <w:r w:rsidR="00E57261">
        <w:rPr>
          <w:rFonts w:cstheme="minorHAnsi"/>
          <w:sz w:val="24"/>
          <w:szCs w:val="24"/>
        </w:rPr>
        <w:t>a</w:t>
      </w:r>
      <w:r w:rsidR="00B664E6">
        <w:rPr>
          <w:rFonts w:cstheme="minorHAnsi"/>
          <w:sz w:val="24"/>
          <w:szCs w:val="24"/>
        </w:rPr>
        <w:t xml:space="preserve">t </w:t>
      </w:r>
      <w:r w:rsidR="00E57261">
        <w:rPr>
          <w:rFonts w:cstheme="minorHAnsi"/>
          <w:sz w:val="24"/>
          <w:szCs w:val="24"/>
        </w:rPr>
        <w:t>t</w:t>
      </w:r>
      <w:r w:rsidR="00B664E6">
        <w:rPr>
          <w:rFonts w:cstheme="minorHAnsi"/>
          <w:sz w:val="24"/>
          <w:szCs w:val="24"/>
        </w:rPr>
        <w:t>h</w:t>
      </w:r>
      <w:r w:rsidR="00E57261">
        <w:rPr>
          <w:rFonts w:cstheme="minorHAnsi"/>
          <w:sz w:val="24"/>
          <w:szCs w:val="24"/>
        </w:rPr>
        <w:t>e</w:t>
      </w:r>
      <w:r w:rsidR="00B664E6">
        <w:rPr>
          <w:rFonts w:cstheme="minorHAnsi"/>
          <w:sz w:val="24"/>
          <w:szCs w:val="24"/>
        </w:rPr>
        <w:t xml:space="preserve">y can improve and </w:t>
      </w:r>
      <w:r w:rsidR="00E57261">
        <w:rPr>
          <w:rFonts w:cstheme="minorHAnsi"/>
          <w:sz w:val="24"/>
          <w:szCs w:val="24"/>
        </w:rPr>
        <w:t>enhance their knowledge and skills to boost their career options, moving forward</w:t>
      </w:r>
    </w:p>
    <w:p w14:paraId="15C6FE4D" w14:textId="2F42ECFB" w:rsidR="00E57261" w:rsidRDefault="00E57261" w:rsidP="00F15F30">
      <w:pPr>
        <w:pStyle w:val="ListParagraph"/>
        <w:numPr>
          <w:ilvl w:val="0"/>
          <w:numId w:val="6"/>
        </w:numPr>
        <w:rPr>
          <w:rFonts w:cstheme="minorHAnsi"/>
          <w:sz w:val="24"/>
          <w:szCs w:val="24"/>
        </w:rPr>
      </w:pPr>
      <w:r>
        <w:rPr>
          <w:rFonts w:cstheme="minorHAnsi"/>
          <w:sz w:val="24"/>
          <w:szCs w:val="24"/>
        </w:rPr>
        <w:t>Internal recruitment first for all roles up and including SO</w:t>
      </w:r>
      <w:r w:rsidR="00485083">
        <w:rPr>
          <w:rFonts w:cstheme="minorHAnsi"/>
          <w:sz w:val="24"/>
          <w:szCs w:val="24"/>
        </w:rPr>
        <w:t>2</w:t>
      </w:r>
      <w:r w:rsidR="004D2D16">
        <w:rPr>
          <w:rFonts w:cstheme="minorHAnsi"/>
          <w:sz w:val="24"/>
          <w:szCs w:val="24"/>
        </w:rPr>
        <w:t xml:space="preserve"> along with </w:t>
      </w:r>
      <w:r w:rsidR="00A77306">
        <w:rPr>
          <w:rFonts w:cstheme="minorHAnsi"/>
          <w:sz w:val="24"/>
          <w:szCs w:val="24"/>
        </w:rPr>
        <w:t xml:space="preserve">the supportive actions within </w:t>
      </w:r>
      <w:r w:rsidR="00A42F0F">
        <w:rPr>
          <w:rFonts w:cstheme="minorHAnsi"/>
          <w:sz w:val="24"/>
          <w:szCs w:val="24"/>
        </w:rPr>
        <w:t xml:space="preserve">the </w:t>
      </w:r>
      <w:hyperlink r:id="rId12" w:history="1">
        <w:r w:rsidR="00265E92" w:rsidRPr="00265E92">
          <w:rPr>
            <w:rStyle w:val="Hyperlink"/>
            <w:rFonts w:cstheme="minorHAnsi"/>
            <w:sz w:val="24"/>
            <w:szCs w:val="24"/>
          </w:rPr>
          <w:t xml:space="preserve">Workforce </w:t>
        </w:r>
        <w:r w:rsidR="00A42F0F" w:rsidRPr="00265E92">
          <w:rPr>
            <w:rStyle w:val="Hyperlink"/>
            <w:rFonts w:cstheme="minorHAnsi"/>
            <w:sz w:val="24"/>
            <w:szCs w:val="24"/>
          </w:rPr>
          <w:t xml:space="preserve">Positive </w:t>
        </w:r>
        <w:r w:rsidR="00265E92" w:rsidRPr="00265E92">
          <w:rPr>
            <w:rStyle w:val="Hyperlink"/>
            <w:rFonts w:cstheme="minorHAnsi"/>
            <w:sz w:val="24"/>
            <w:szCs w:val="24"/>
          </w:rPr>
          <w:t>A</w:t>
        </w:r>
        <w:r w:rsidR="00A42F0F" w:rsidRPr="00265E92">
          <w:rPr>
            <w:rStyle w:val="Hyperlink"/>
            <w:rFonts w:cstheme="minorHAnsi"/>
            <w:sz w:val="24"/>
            <w:szCs w:val="24"/>
          </w:rPr>
          <w:t xml:space="preserve">ction </w:t>
        </w:r>
        <w:r w:rsidR="00265E92" w:rsidRPr="00265E92">
          <w:rPr>
            <w:rStyle w:val="Hyperlink"/>
            <w:rFonts w:cstheme="minorHAnsi"/>
            <w:sz w:val="24"/>
            <w:szCs w:val="24"/>
          </w:rPr>
          <w:t>P</w:t>
        </w:r>
        <w:r w:rsidR="00A42F0F" w:rsidRPr="00265E92">
          <w:rPr>
            <w:rStyle w:val="Hyperlink"/>
            <w:rFonts w:cstheme="minorHAnsi"/>
            <w:sz w:val="24"/>
            <w:szCs w:val="24"/>
          </w:rPr>
          <w:t>olicy</w:t>
        </w:r>
      </w:hyperlink>
      <w:r w:rsidR="00A42F0F">
        <w:rPr>
          <w:rFonts w:cstheme="minorHAnsi"/>
          <w:sz w:val="24"/>
          <w:szCs w:val="24"/>
        </w:rPr>
        <w:t xml:space="preserve"> </w:t>
      </w:r>
    </w:p>
    <w:p w14:paraId="0B4834A4" w14:textId="6C87DF1F" w:rsidR="00265E92" w:rsidRDefault="00E57261" w:rsidP="00F15F30">
      <w:pPr>
        <w:pStyle w:val="ListParagraph"/>
        <w:numPr>
          <w:ilvl w:val="0"/>
          <w:numId w:val="6"/>
        </w:numPr>
        <w:rPr>
          <w:rFonts w:cstheme="minorHAnsi"/>
          <w:sz w:val="24"/>
          <w:szCs w:val="24"/>
        </w:rPr>
      </w:pPr>
      <w:r>
        <w:rPr>
          <w:rFonts w:cstheme="minorHAnsi"/>
          <w:sz w:val="24"/>
          <w:szCs w:val="24"/>
        </w:rPr>
        <w:t>Anonymised application process for all applicants</w:t>
      </w:r>
      <w:r w:rsidR="00485083">
        <w:rPr>
          <w:rFonts w:cstheme="minorHAnsi"/>
          <w:sz w:val="24"/>
          <w:szCs w:val="24"/>
        </w:rPr>
        <w:t>,</w:t>
      </w:r>
      <w:r>
        <w:rPr>
          <w:rFonts w:cstheme="minorHAnsi"/>
          <w:sz w:val="24"/>
          <w:szCs w:val="24"/>
        </w:rPr>
        <w:t xml:space="preserve"> </w:t>
      </w:r>
      <w:r w:rsidR="00485083">
        <w:rPr>
          <w:rFonts w:cstheme="minorHAnsi"/>
          <w:sz w:val="24"/>
          <w:szCs w:val="24"/>
        </w:rPr>
        <w:t xml:space="preserve">both </w:t>
      </w:r>
      <w:r>
        <w:rPr>
          <w:rFonts w:cstheme="minorHAnsi"/>
          <w:sz w:val="24"/>
          <w:szCs w:val="24"/>
        </w:rPr>
        <w:t>non</w:t>
      </w:r>
      <w:r w:rsidR="00485083">
        <w:rPr>
          <w:rFonts w:cstheme="minorHAnsi"/>
          <w:sz w:val="24"/>
          <w:szCs w:val="24"/>
        </w:rPr>
        <w:t>-</w:t>
      </w:r>
      <w:r>
        <w:rPr>
          <w:rFonts w:cstheme="minorHAnsi"/>
          <w:sz w:val="24"/>
          <w:szCs w:val="24"/>
        </w:rPr>
        <w:t>chief officer and chief officers</w:t>
      </w:r>
      <w:r w:rsidR="00485083">
        <w:rPr>
          <w:rFonts w:cstheme="minorHAnsi"/>
          <w:sz w:val="24"/>
          <w:szCs w:val="24"/>
        </w:rPr>
        <w:t xml:space="preserve"> advertised roles</w:t>
      </w:r>
      <w:r>
        <w:rPr>
          <w:rFonts w:cstheme="minorHAnsi"/>
          <w:sz w:val="24"/>
          <w:szCs w:val="24"/>
        </w:rPr>
        <w:t xml:space="preserve">. No personal </w:t>
      </w:r>
      <w:r w:rsidR="00265E92">
        <w:rPr>
          <w:rFonts w:cstheme="minorHAnsi"/>
          <w:sz w:val="24"/>
          <w:szCs w:val="24"/>
        </w:rPr>
        <w:t xml:space="preserve">identifying </w:t>
      </w:r>
      <w:r>
        <w:rPr>
          <w:rFonts w:cstheme="minorHAnsi"/>
          <w:sz w:val="24"/>
          <w:szCs w:val="24"/>
        </w:rPr>
        <w:t>details are released until after shortlisting has been completed.</w:t>
      </w:r>
      <w:r w:rsidR="00265E92">
        <w:rPr>
          <w:rFonts w:cstheme="minorHAnsi"/>
          <w:sz w:val="24"/>
          <w:szCs w:val="24"/>
        </w:rPr>
        <w:t xml:space="preserve"> Removing any potential for unconscious bias</w:t>
      </w:r>
    </w:p>
    <w:p w14:paraId="2D901F72" w14:textId="77777777" w:rsidR="00990123" w:rsidRDefault="00990123" w:rsidP="00761CB5">
      <w:pPr>
        <w:pStyle w:val="ListParagraph"/>
        <w:rPr>
          <w:rFonts w:cstheme="minorHAnsi"/>
          <w:sz w:val="24"/>
          <w:szCs w:val="24"/>
        </w:rPr>
      </w:pPr>
    </w:p>
    <w:p w14:paraId="0C2DB737" w14:textId="3FAB791F" w:rsidR="00A42F0F" w:rsidRPr="00072AC5" w:rsidRDefault="004A5259" w:rsidP="00072AC5">
      <w:pPr>
        <w:rPr>
          <w:rFonts w:cstheme="minorHAnsi"/>
          <w:b/>
          <w:bCs/>
          <w:sz w:val="24"/>
          <w:szCs w:val="24"/>
        </w:rPr>
      </w:pPr>
      <w:r>
        <w:rPr>
          <w:rFonts w:cstheme="minorHAnsi"/>
          <w:b/>
          <w:bCs/>
          <w:sz w:val="24"/>
          <w:szCs w:val="24"/>
        </w:rPr>
        <w:t xml:space="preserve">Networking, </w:t>
      </w:r>
      <w:r w:rsidR="00A42F0F" w:rsidRPr="00072AC5">
        <w:rPr>
          <w:rFonts w:cstheme="minorHAnsi"/>
          <w:b/>
          <w:bCs/>
          <w:sz w:val="24"/>
          <w:szCs w:val="24"/>
        </w:rPr>
        <w:t>Family Friendly and Health</w:t>
      </w:r>
      <w:r w:rsidR="00AC0AD9">
        <w:rPr>
          <w:rFonts w:cstheme="minorHAnsi"/>
          <w:b/>
          <w:bCs/>
          <w:sz w:val="24"/>
          <w:szCs w:val="24"/>
        </w:rPr>
        <w:t xml:space="preserve"> and well-being</w:t>
      </w:r>
      <w:r w:rsidR="00A42F0F" w:rsidRPr="00072AC5">
        <w:rPr>
          <w:rFonts w:cstheme="minorHAnsi"/>
          <w:b/>
          <w:bCs/>
          <w:sz w:val="24"/>
          <w:szCs w:val="24"/>
        </w:rPr>
        <w:t xml:space="preserve"> Development</w:t>
      </w:r>
    </w:p>
    <w:p w14:paraId="520099D9" w14:textId="7C1B05A7" w:rsidR="004A5259" w:rsidRDefault="004A5259" w:rsidP="00F15F30">
      <w:pPr>
        <w:pStyle w:val="ListParagraph"/>
        <w:numPr>
          <w:ilvl w:val="0"/>
          <w:numId w:val="6"/>
        </w:numPr>
        <w:rPr>
          <w:rFonts w:cstheme="minorHAnsi"/>
          <w:sz w:val="24"/>
          <w:szCs w:val="24"/>
        </w:rPr>
      </w:pPr>
      <w:r>
        <w:rPr>
          <w:rFonts w:cstheme="minorHAnsi"/>
          <w:sz w:val="24"/>
          <w:szCs w:val="24"/>
        </w:rPr>
        <w:t>Further development of the Women’s Forum</w:t>
      </w:r>
    </w:p>
    <w:p w14:paraId="0292176C" w14:textId="5BF7F1B5" w:rsidR="00A42F0F" w:rsidRDefault="00A42F0F" w:rsidP="00F15F30">
      <w:pPr>
        <w:pStyle w:val="ListParagraph"/>
        <w:numPr>
          <w:ilvl w:val="0"/>
          <w:numId w:val="6"/>
        </w:numPr>
        <w:rPr>
          <w:rFonts w:cstheme="minorHAnsi"/>
          <w:sz w:val="24"/>
          <w:szCs w:val="24"/>
        </w:rPr>
      </w:pPr>
      <w:r>
        <w:rPr>
          <w:rFonts w:cstheme="minorHAnsi"/>
          <w:sz w:val="24"/>
          <w:szCs w:val="24"/>
        </w:rPr>
        <w:t>Introduction of Miscarriage Leave {3 days} to support employees dealing with this traumatic experience</w:t>
      </w:r>
    </w:p>
    <w:p w14:paraId="67155FCB" w14:textId="12F3B73A" w:rsidR="00A42F0F" w:rsidRDefault="00A42F0F" w:rsidP="00F15F30">
      <w:pPr>
        <w:pStyle w:val="ListParagraph"/>
        <w:numPr>
          <w:ilvl w:val="0"/>
          <w:numId w:val="6"/>
        </w:numPr>
        <w:rPr>
          <w:rFonts w:cstheme="minorHAnsi"/>
          <w:sz w:val="24"/>
          <w:szCs w:val="24"/>
        </w:rPr>
      </w:pPr>
      <w:r>
        <w:rPr>
          <w:rFonts w:cstheme="minorHAnsi"/>
          <w:sz w:val="24"/>
          <w:szCs w:val="24"/>
        </w:rPr>
        <w:t xml:space="preserve">Development and promotion of Menopause guidance for those affected </w:t>
      </w:r>
    </w:p>
    <w:p w14:paraId="15488BF2" w14:textId="305268F0" w:rsidR="00E57261" w:rsidRDefault="004D0F64" w:rsidP="00F15F30">
      <w:pPr>
        <w:pStyle w:val="ListParagraph"/>
        <w:numPr>
          <w:ilvl w:val="0"/>
          <w:numId w:val="6"/>
        </w:numPr>
        <w:rPr>
          <w:rFonts w:cstheme="minorHAnsi"/>
          <w:sz w:val="24"/>
          <w:szCs w:val="24"/>
        </w:rPr>
      </w:pPr>
      <w:r>
        <w:rPr>
          <w:rFonts w:cstheme="minorHAnsi"/>
          <w:sz w:val="24"/>
          <w:szCs w:val="24"/>
        </w:rPr>
        <w:t xml:space="preserve">Winners of Working Dads Employer Awards: </w:t>
      </w:r>
      <w:r w:rsidR="00A77306">
        <w:rPr>
          <w:rFonts w:cstheme="minorHAnsi"/>
          <w:sz w:val="24"/>
          <w:szCs w:val="24"/>
        </w:rPr>
        <w:t>P</w:t>
      </w:r>
      <w:r>
        <w:rPr>
          <w:rFonts w:cstheme="minorHAnsi"/>
          <w:sz w:val="24"/>
          <w:szCs w:val="24"/>
        </w:rPr>
        <w:t xml:space="preserve">arental </w:t>
      </w:r>
      <w:r w:rsidR="00A77306">
        <w:rPr>
          <w:rFonts w:cstheme="minorHAnsi"/>
          <w:sz w:val="24"/>
          <w:szCs w:val="24"/>
        </w:rPr>
        <w:t>L</w:t>
      </w:r>
      <w:r>
        <w:rPr>
          <w:rFonts w:cstheme="minorHAnsi"/>
          <w:sz w:val="24"/>
          <w:szCs w:val="24"/>
        </w:rPr>
        <w:t>eave Policies Award 2022 for our e</w:t>
      </w:r>
      <w:r w:rsidR="00E57261">
        <w:rPr>
          <w:rFonts w:cstheme="minorHAnsi"/>
          <w:sz w:val="24"/>
          <w:szCs w:val="24"/>
        </w:rPr>
        <w:t>nhanced offer to fathers and partners on shared parental leave and other appointments for young families</w:t>
      </w:r>
      <w:r w:rsidR="005A6D06">
        <w:rPr>
          <w:rFonts w:cstheme="minorHAnsi"/>
          <w:sz w:val="24"/>
          <w:szCs w:val="24"/>
        </w:rPr>
        <w:t>, which in turn can support th</w:t>
      </w:r>
      <w:r w:rsidR="003746FE">
        <w:rPr>
          <w:rFonts w:cstheme="minorHAnsi"/>
          <w:sz w:val="24"/>
          <w:szCs w:val="24"/>
        </w:rPr>
        <w:t>eir</w:t>
      </w:r>
      <w:r w:rsidR="005A6D06">
        <w:rPr>
          <w:rFonts w:cstheme="minorHAnsi"/>
          <w:sz w:val="24"/>
          <w:szCs w:val="24"/>
        </w:rPr>
        <w:t xml:space="preserve"> partners </w:t>
      </w:r>
    </w:p>
    <w:p w14:paraId="68413100" w14:textId="77777777" w:rsidR="00485083" w:rsidRDefault="00E57261" w:rsidP="00F15F30">
      <w:pPr>
        <w:pStyle w:val="ListParagraph"/>
        <w:numPr>
          <w:ilvl w:val="0"/>
          <w:numId w:val="6"/>
        </w:numPr>
        <w:rPr>
          <w:rFonts w:cstheme="minorHAnsi"/>
          <w:sz w:val="24"/>
          <w:szCs w:val="24"/>
        </w:rPr>
      </w:pPr>
      <w:r>
        <w:rPr>
          <w:rFonts w:cstheme="minorHAnsi"/>
          <w:sz w:val="24"/>
          <w:szCs w:val="24"/>
        </w:rPr>
        <w:t>Enhanced offer to partner adopters on shared parental leave and other appointment for families</w:t>
      </w:r>
    </w:p>
    <w:p w14:paraId="008A6A83" w14:textId="77777777" w:rsidR="008853C8" w:rsidRDefault="00485083" w:rsidP="00F15F30">
      <w:pPr>
        <w:pStyle w:val="ListParagraph"/>
        <w:numPr>
          <w:ilvl w:val="0"/>
          <w:numId w:val="6"/>
        </w:numPr>
        <w:rPr>
          <w:rFonts w:cstheme="minorHAnsi"/>
          <w:sz w:val="24"/>
          <w:szCs w:val="24"/>
        </w:rPr>
      </w:pPr>
      <w:r>
        <w:rPr>
          <w:rFonts w:cstheme="minorHAnsi"/>
          <w:sz w:val="24"/>
          <w:szCs w:val="24"/>
        </w:rPr>
        <w:t>Support for those employees returning from maternity leave</w:t>
      </w:r>
    </w:p>
    <w:p w14:paraId="269B7D72" w14:textId="201107D3" w:rsidR="006E23F4" w:rsidRPr="006E23F4" w:rsidRDefault="006E23F4" w:rsidP="006E23F4">
      <w:pPr>
        <w:rPr>
          <w:rFonts w:cstheme="minorHAnsi"/>
          <w:sz w:val="24"/>
          <w:szCs w:val="24"/>
        </w:rPr>
      </w:pPr>
      <w:r w:rsidRPr="006E23F4">
        <w:rPr>
          <w:rFonts w:cstheme="minorHAnsi"/>
          <w:sz w:val="24"/>
          <w:szCs w:val="24"/>
        </w:rPr>
        <w:t xml:space="preserve">Our </w:t>
      </w:r>
      <w:r w:rsidR="00495296">
        <w:rPr>
          <w:rFonts w:cstheme="minorHAnsi"/>
          <w:sz w:val="24"/>
          <w:szCs w:val="24"/>
        </w:rPr>
        <w:t>ultimate goal</w:t>
      </w:r>
      <w:r w:rsidRPr="006E23F4">
        <w:rPr>
          <w:rFonts w:cstheme="minorHAnsi"/>
          <w:sz w:val="24"/>
          <w:szCs w:val="24"/>
        </w:rPr>
        <w:t xml:space="preserve"> is to ensure that all women employed by the council are well supported </w:t>
      </w:r>
      <w:r w:rsidR="005C496D">
        <w:rPr>
          <w:rFonts w:cstheme="minorHAnsi"/>
          <w:sz w:val="24"/>
          <w:szCs w:val="24"/>
        </w:rPr>
        <w:t>with</w:t>
      </w:r>
      <w:r w:rsidRPr="006E23F4">
        <w:rPr>
          <w:rFonts w:cstheme="minorHAnsi"/>
          <w:sz w:val="24"/>
          <w:szCs w:val="24"/>
        </w:rPr>
        <w:t xml:space="preserve">in the workplace and have the best possible opportunity to progress and achieve their </w:t>
      </w:r>
      <w:r w:rsidR="00495296">
        <w:rPr>
          <w:rFonts w:cstheme="minorHAnsi"/>
          <w:sz w:val="24"/>
          <w:szCs w:val="24"/>
        </w:rPr>
        <w:t>ambitions</w:t>
      </w:r>
      <w:r w:rsidR="00151DCD">
        <w:rPr>
          <w:rFonts w:cstheme="minorHAnsi"/>
          <w:sz w:val="24"/>
          <w:szCs w:val="24"/>
        </w:rPr>
        <w:t xml:space="preserve"> to their full potential</w:t>
      </w:r>
      <w:r w:rsidRPr="006E23F4">
        <w:rPr>
          <w:rFonts w:cstheme="minorHAnsi"/>
          <w:sz w:val="24"/>
          <w:szCs w:val="24"/>
        </w:rPr>
        <w:t>.</w:t>
      </w:r>
    </w:p>
    <w:p w14:paraId="11793E7D" w14:textId="699E9AE2" w:rsidR="00DC741A" w:rsidRDefault="00DC741A" w:rsidP="006E23F4">
      <w:pPr>
        <w:rPr>
          <w:rFonts w:cstheme="minorHAnsi"/>
          <w:b/>
          <w:sz w:val="24"/>
          <w:szCs w:val="24"/>
        </w:rPr>
      </w:pPr>
      <w:r>
        <w:rPr>
          <w:rFonts w:cstheme="minorHAnsi"/>
          <w:b/>
          <w:sz w:val="24"/>
          <w:szCs w:val="24"/>
        </w:rPr>
        <w:t>Next steps</w:t>
      </w:r>
    </w:p>
    <w:p w14:paraId="04A8B63C" w14:textId="3BEEF65B" w:rsidR="00D64BEA" w:rsidRDefault="00D64BEA" w:rsidP="006E23F4">
      <w:pPr>
        <w:rPr>
          <w:rFonts w:cstheme="minorHAnsi"/>
          <w:b/>
          <w:sz w:val="24"/>
          <w:szCs w:val="24"/>
        </w:rPr>
      </w:pPr>
      <w:r w:rsidRPr="2210AC69">
        <w:rPr>
          <w:b/>
          <w:bCs/>
          <w:sz w:val="24"/>
          <w:szCs w:val="24"/>
        </w:rPr>
        <w:t>To support our ongoing efforts to narrow the gender pay gap we plan to develop Phase Two of the Council’s People Programme in early 2023. This programme of work aligns to the priorities and commitments as outlined in the Council’s People Strategy.</w:t>
      </w:r>
    </w:p>
    <w:p w14:paraId="40BB163B" w14:textId="798AECE2" w:rsidR="006E23F4" w:rsidRPr="006E23F4" w:rsidRDefault="006E23F4" w:rsidP="006E23F4">
      <w:pPr>
        <w:rPr>
          <w:rFonts w:cstheme="minorHAnsi"/>
          <w:b/>
          <w:sz w:val="24"/>
          <w:szCs w:val="24"/>
        </w:rPr>
      </w:pPr>
      <w:r w:rsidRPr="006E23F4">
        <w:rPr>
          <w:rFonts w:cstheme="minorHAnsi"/>
          <w:b/>
          <w:sz w:val="24"/>
          <w:szCs w:val="24"/>
        </w:rPr>
        <w:t>Declaration</w:t>
      </w:r>
    </w:p>
    <w:p w14:paraId="1F1E7A13" w14:textId="31D8A053" w:rsidR="004D0F64" w:rsidRDefault="006E23F4" w:rsidP="006E23F4">
      <w:pPr>
        <w:rPr>
          <w:sz w:val="24"/>
          <w:szCs w:val="24"/>
        </w:rPr>
      </w:pPr>
      <w:r w:rsidRPr="006E23F4">
        <w:rPr>
          <w:rFonts w:cstheme="minorHAnsi"/>
          <w:sz w:val="24"/>
          <w:szCs w:val="24"/>
        </w:rPr>
        <w:t xml:space="preserve">Our gender pay gap calculations follow the legislative requirements set out in the Equality Act 2010 (Specific Duties and Public Authorities) Regulations 2017. All employees who were deemed to be full paid relevant employees </w:t>
      </w:r>
      <w:r w:rsidR="00A42F0F">
        <w:rPr>
          <w:rFonts w:cstheme="minorHAnsi"/>
          <w:sz w:val="24"/>
          <w:szCs w:val="24"/>
        </w:rPr>
        <w:t xml:space="preserve">as </w:t>
      </w:r>
      <w:r w:rsidRPr="006E23F4">
        <w:rPr>
          <w:rFonts w:cstheme="minorHAnsi"/>
          <w:sz w:val="24"/>
          <w:szCs w:val="24"/>
        </w:rPr>
        <w:t>at</w:t>
      </w:r>
      <w:r w:rsidR="00072AC5">
        <w:rPr>
          <w:rFonts w:cstheme="minorHAnsi"/>
          <w:sz w:val="24"/>
          <w:szCs w:val="24"/>
        </w:rPr>
        <w:t>,</w:t>
      </w:r>
      <w:r w:rsidRPr="006E23F4">
        <w:rPr>
          <w:rFonts w:cstheme="minorHAnsi"/>
          <w:sz w:val="24"/>
          <w:szCs w:val="24"/>
        </w:rPr>
        <w:t xml:space="preserve"> 31 </w:t>
      </w:r>
      <w:r w:rsidRPr="006E23F4">
        <w:rPr>
          <w:sz w:val="24"/>
          <w:szCs w:val="24"/>
        </w:rPr>
        <w:t>March 20</w:t>
      </w:r>
      <w:r w:rsidR="00485083">
        <w:rPr>
          <w:sz w:val="24"/>
          <w:szCs w:val="24"/>
        </w:rPr>
        <w:t>2</w:t>
      </w:r>
      <w:r w:rsidR="000C7454">
        <w:rPr>
          <w:sz w:val="24"/>
          <w:szCs w:val="24"/>
        </w:rPr>
        <w:t>2</w:t>
      </w:r>
      <w:r w:rsidRPr="006E23F4">
        <w:rPr>
          <w:sz w:val="24"/>
          <w:szCs w:val="24"/>
        </w:rPr>
        <w:t xml:space="preserve"> have been included in our </w:t>
      </w:r>
      <w:r w:rsidRPr="006E23F4">
        <w:rPr>
          <w:sz w:val="24"/>
          <w:szCs w:val="24"/>
        </w:rPr>
        <w:lastRenderedPageBreak/>
        <w:t>calculations.</w:t>
      </w:r>
      <w:r w:rsidR="00E47EF0" w:rsidRPr="00E47EF0">
        <w:rPr>
          <w:rFonts w:cstheme="minorHAnsi"/>
          <w:b/>
          <w:noProof/>
          <w:sz w:val="24"/>
          <w:szCs w:val="24"/>
        </w:rPr>
        <w:t xml:space="preserve"> </w:t>
      </w:r>
      <w:r w:rsidR="00761CB5">
        <w:rPr>
          <w:noProof/>
          <w:sz w:val="24"/>
          <w:szCs w:val="24"/>
        </w:rPr>
        <w:drawing>
          <wp:inline distT="0" distB="0" distL="0" distR="0" wp14:anchorId="4FB19E30" wp14:editId="577558B2">
            <wp:extent cx="5731510" cy="3117850"/>
            <wp:effectExtent l="0" t="0" r="2540" b="635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117850"/>
                    </a:xfrm>
                    <a:prstGeom prst="rect">
                      <a:avLst/>
                    </a:prstGeom>
                  </pic:spPr>
                </pic:pic>
              </a:graphicData>
            </a:graphic>
          </wp:inline>
        </w:drawing>
      </w:r>
    </w:p>
    <w:p w14:paraId="67C46C05" w14:textId="212B8DD9" w:rsidR="007255B4" w:rsidRPr="006E23F4" w:rsidRDefault="007255B4" w:rsidP="006E23F4">
      <w:pPr>
        <w:rPr>
          <w:sz w:val="24"/>
          <w:szCs w:val="24"/>
        </w:rPr>
      </w:pPr>
    </w:p>
    <w:sectPr w:rsidR="007255B4" w:rsidRPr="006E23F4" w:rsidSect="00EE7E2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FE"/>
    <w:multiLevelType w:val="hybridMultilevel"/>
    <w:tmpl w:val="664C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FC4"/>
    <w:multiLevelType w:val="hybridMultilevel"/>
    <w:tmpl w:val="E3A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42D0"/>
    <w:multiLevelType w:val="hybridMultilevel"/>
    <w:tmpl w:val="77CE7B84"/>
    <w:lvl w:ilvl="0" w:tplc="2BDAD9CE">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1B7"/>
    <w:multiLevelType w:val="hybridMultilevel"/>
    <w:tmpl w:val="93C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20812"/>
    <w:multiLevelType w:val="hybridMultilevel"/>
    <w:tmpl w:val="70E8D8F0"/>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5" w15:restartNumberingAfterBreak="0">
    <w:nsid w:val="2B4E1917"/>
    <w:multiLevelType w:val="hybridMultilevel"/>
    <w:tmpl w:val="72C0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F5CC5"/>
    <w:multiLevelType w:val="hybridMultilevel"/>
    <w:tmpl w:val="732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570F1"/>
    <w:multiLevelType w:val="hybridMultilevel"/>
    <w:tmpl w:val="2B6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34DEC"/>
    <w:multiLevelType w:val="hybridMultilevel"/>
    <w:tmpl w:val="36C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171E2"/>
    <w:multiLevelType w:val="hybridMultilevel"/>
    <w:tmpl w:val="F65E3CA8"/>
    <w:lvl w:ilvl="0" w:tplc="4ECA0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76654"/>
    <w:multiLevelType w:val="hybridMultilevel"/>
    <w:tmpl w:val="FDF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10"/>
  </w:num>
  <w:num w:numId="6">
    <w:abstractNumId w:val="6"/>
  </w:num>
  <w:num w:numId="7">
    <w:abstractNumId w:val="9"/>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59"/>
    <w:rsid w:val="00001879"/>
    <w:rsid w:val="000500EB"/>
    <w:rsid w:val="00072AC5"/>
    <w:rsid w:val="000C7454"/>
    <w:rsid w:val="001336CF"/>
    <w:rsid w:val="00147F20"/>
    <w:rsid w:val="00151DCD"/>
    <w:rsid w:val="00154233"/>
    <w:rsid w:val="0016047A"/>
    <w:rsid w:val="00176979"/>
    <w:rsid w:val="001C0EE0"/>
    <w:rsid w:val="0024736E"/>
    <w:rsid w:val="00265E92"/>
    <w:rsid w:val="002C4023"/>
    <w:rsid w:val="0032037B"/>
    <w:rsid w:val="0032290A"/>
    <w:rsid w:val="0033417A"/>
    <w:rsid w:val="00347796"/>
    <w:rsid w:val="003746FE"/>
    <w:rsid w:val="003B02C3"/>
    <w:rsid w:val="003C6089"/>
    <w:rsid w:val="003D6C6D"/>
    <w:rsid w:val="003E4FE4"/>
    <w:rsid w:val="00427DA8"/>
    <w:rsid w:val="004365FA"/>
    <w:rsid w:val="00440A34"/>
    <w:rsid w:val="00485083"/>
    <w:rsid w:val="00495296"/>
    <w:rsid w:val="004A5259"/>
    <w:rsid w:val="004D0F64"/>
    <w:rsid w:val="004D2D16"/>
    <w:rsid w:val="005234E0"/>
    <w:rsid w:val="00591005"/>
    <w:rsid w:val="00597F22"/>
    <w:rsid w:val="005A6D06"/>
    <w:rsid w:val="005B3D55"/>
    <w:rsid w:val="005B450D"/>
    <w:rsid w:val="005C496D"/>
    <w:rsid w:val="005D6F9D"/>
    <w:rsid w:val="005F66BE"/>
    <w:rsid w:val="00614728"/>
    <w:rsid w:val="00652A59"/>
    <w:rsid w:val="00664DF5"/>
    <w:rsid w:val="006721AB"/>
    <w:rsid w:val="006761DB"/>
    <w:rsid w:val="006A6CAB"/>
    <w:rsid w:val="006C1A92"/>
    <w:rsid w:val="006D2497"/>
    <w:rsid w:val="006E23F4"/>
    <w:rsid w:val="006F71D8"/>
    <w:rsid w:val="007128BB"/>
    <w:rsid w:val="00724CA3"/>
    <w:rsid w:val="007255B4"/>
    <w:rsid w:val="00732409"/>
    <w:rsid w:val="00761CB5"/>
    <w:rsid w:val="00784A17"/>
    <w:rsid w:val="00793D60"/>
    <w:rsid w:val="007F200C"/>
    <w:rsid w:val="008853C8"/>
    <w:rsid w:val="008A6C8E"/>
    <w:rsid w:val="008C1A6D"/>
    <w:rsid w:val="008D09F1"/>
    <w:rsid w:val="008E164D"/>
    <w:rsid w:val="008E4700"/>
    <w:rsid w:val="008F1739"/>
    <w:rsid w:val="00937500"/>
    <w:rsid w:val="00990123"/>
    <w:rsid w:val="00996963"/>
    <w:rsid w:val="009D475A"/>
    <w:rsid w:val="009D6AC6"/>
    <w:rsid w:val="009E6E20"/>
    <w:rsid w:val="00A018E8"/>
    <w:rsid w:val="00A035C6"/>
    <w:rsid w:val="00A053E2"/>
    <w:rsid w:val="00A15E14"/>
    <w:rsid w:val="00A35F42"/>
    <w:rsid w:val="00A42F0F"/>
    <w:rsid w:val="00A72C44"/>
    <w:rsid w:val="00A77306"/>
    <w:rsid w:val="00A8799E"/>
    <w:rsid w:val="00A92E42"/>
    <w:rsid w:val="00AA30AA"/>
    <w:rsid w:val="00AA7301"/>
    <w:rsid w:val="00AC0AD9"/>
    <w:rsid w:val="00B42865"/>
    <w:rsid w:val="00B664E6"/>
    <w:rsid w:val="00B86722"/>
    <w:rsid w:val="00BE299D"/>
    <w:rsid w:val="00BF4946"/>
    <w:rsid w:val="00C04DC8"/>
    <w:rsid w:val="00C219C6"/>
    <w:rsid w:val="00C4059C"/>
    <w:rsid w:val="00C73A4F"/>
    <w:rsid w:val="00C935C8"/>
    <w:rsid w:val="00CB73CF"/>
    <w:rsid w:val="00CD53A7"/>
    <w:rsid w:val="00CE0565"/>
    <w:rsid w:val="00CF507C"/>
    <w:rsid w:val="00D20793"/>
    <w:rsid w:val="00D20E5F"/>
    <w:rsid w:val="00D304BE"/>
    <w:rsid w:val="00D64BEA"/>
    <w:rsid w:val="00D848B9"/>
    <w:rsid w:val="00DA4588"/>
    <w:rsid w:val="00DC741A"/>
    <w:rsid w:val="00DD5F9C"/>
    <w:rsid w:val="00E47EF0"/>
    <w:rsid w:val="00E53B86"/>
    <w:rsid w:val="00E57261"/>
    <w:rsid w:val="00ED2494"/>
    <w:rsid w:val="00EE7E2A"/>
    <w:rsid w:val="00F15F30"/>
    <w:rsid w:val="00F169B6"/>
    <w:rsid w:val="00F438FD"/>
    <w:rsid w:val="00F669D3"/>
    <w:rsid w:val="00F91018"/>
    <w:rsid w:val="00F96D0D"/>
    <w:rsid w:val="00FE0837"/>
    <w:rsid w:val="00FE2FFF"/>
    <w:rsid w:val="2210AC69"/>
    <w:rsid w:val="42FE66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E99"/>
  <w15:docId w15:val="{E1CA6C7D-D339-45AC-82C9-2945521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table" w:styleId="TableGrid">
    <w:name w:val="Table Grid"/>
    <w:basedOn w:val="TableNormal"/>
    <w:uiPriority w:val="59"/>
    <w:rsid w:val="00F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4"/>
    <w:rPr>
      <w:rFonts w:ascii="Tahoma" w:hAnsi="Tahoma" w:cs="Tahoma"/>
      <w:sz w:val="16"/>
      <w:szCs w:val="16"/>
    </w:rPr>
  </w:style>
  <w:style w:type="character" w:styleId="CommentReference">
    <w:name w:val="annotation reference"/>
    <w:basedOn w:val="DefaultParagraphFont"/>
    <w:uiPriority w:val="99"/>
    <w:semiHidden/>
    <w:unhideWhenUsed/>
    <w:rsid w:val="003E4FE4"/>
    <w:rPr>
      <w:sz w:val="16"/>
      <w:szCs w:val="16"/>
    </w:rPr>
  </w:style>
  <w:style w:type="paragraph" w:styleId="CommentText">
    <w:name w:val="annotation text"/>
    <w:basedOn w:val="Normal"/>
    <w:link w:val="CommentTextChar"/>
    <w:uiPriority w:val="99"/>
    <w:unhideWhenUsed/>
    <w:rsid w:val="003E4FE4"/>
    <w:pPr>
      <w:spacing w:line="240" w:lineRule="auto"/>
    </w:pPr>
    <w:rPr>
      <w:sz w:val="20"/>
      <w:szCs w:val="20"/>
    </w:rPr>
  </w:style>
  <w:style w:type="character" w:customStyle="1" w:styleId="CommentTextChar">
    <w:name w:val="Comment Text Char"/>
    <w:basedOn w:val="DefaultParagraphFont"/>
    <w:link w:val="CommentText"/>
    <w:uiPriority w:val="99"/>
    <w:rsid w:val="003E4FE4"/>
    <w:rPr>
      <w:sz w:val="20"/>
      <w:szCs w:val="20"/>
    </w:rPr>
  </w:style>
  <w:style w:type="paragraph" w:styleId="CommentSubject">
    <w:name w:val="annotation subject"/>
    <w:basedOn w:val="CommentText"/>
    <w:next w:val="CommentText"/>
    <w:link w:val="CommentSubjectChar"/>
    <w:uiPriority w:val="99"/>
    <w:semiHidden/>
    <w:unhideWhenUsed/>
    <w:rsid w:val="003E4FE4"/>
    <w:rPr>
      <w:b/>
      <w:bCs/>
    </w:rPr>
  </w:style>
  <w:style w:type="character" w:customStyle="1" w:styleId="CommentSubjectChar">
    <w:name w:val="Comment Subject Char"/>
    <w:basedOn w:val="CommentTextChar"/>
    <w:link w:val="CommentSubject"/>
    <w:uiPriority w:val="99"/>
    <w:semiHidden/>
    <w:rsid w:val="003E4FE4"/>
    <w:rPr>
      <w:b/>
      <w:bCs/>
      <w:sz w:val="20"/>
      <w:szCs w:val="20"/>
    </w:rPr>
  </w:style>
  <w:style w:type="character" w:styleId="Hyperlink">
    <w:name w:val="Hyperlink"/>
    <w:basedOn w:val="DefaultParagraphFont"/>
    <w:uiPriority w:val="99"/>
    <w:unhideWhenUsed/>
    <w:rsid w:val="00A42F0F"/>
    <w:rPr>
      <w:color w:val="0000FF" w:themeColor="hyperlink"/>
      <w:u w:val="single"/>
    </w:rPr>
  </w:style>
  <w:style w:type="character" w:styleId="UnresolvedMention">
    <w:name w:val="Unresolved Mention"/>
    <w:basedOn w:val="DefaultParagraphFont"/>
    <w:uiPriority w:val="99"/>
    <w:semiHidden/>
    <w:unhideWhenUsed/>
    <w:rsid w:val="00A42F0F"/>
    <w:rPr>
      <w:color w:val="605E5C"/>
      <w:shd w:val="clear" w:color="auto" w:fill="E1DFDD"/>
    </w:rPr>
  </w:style>
  <w:style w:type="paragraph" w:styleId="Revision">
    <w:name w:val="Revision"/>
    <w:hidden/>
    <w:uiPriority w:val="99"/>
    <w:semiHidden/>
    <w:rsid w:val="005D6F9D"/>
    <w:pPr>
      <w:spacing w:after="0" w:line="240" w:lineRule="auto"/>
    </w:pPr>
  </w:style>
  <w:style w:type="character" w:styleId="FollowedHyperlink">
    <w:name w:val="FollowedHyperlink"/>
    <w:basedOn w:val="DefaultParagraphFont"/>
    <w:uiPriority w:val="99"/>
    <w:semiHidden/>
    <w:unhideWhenUsed/>
    <w:rsid w:val="009D475A"/>
    <w:rPr>
      <w:color w:val="800080" w:themeColor="followedHyperlink"/>
      <w:u w:val="single"/>
    </w:rPr>
  </w:style>
  <w:style w:type="character" w:styleId="Strong">
    <w:name w:val="Strong"/>
    <w:basedOn w:val="DefaultParagraphFont"/>
    <w:uiPriority w:val="22"/>
    <w:qFormat/>
    <w:rsid w:val="004D0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1590">
      <w:bodyDiv w:val="1"/>
      <w:marLeft w:val="0"/>
      <w:marRight w:val="0"/>
      <w:marTop w:val="0"/>
      <w:marBottom w:val="0"/>
      <w:divBdr>
        <w:top w:val="none" w:sz="0" w:space="0" w:color="auto"/>
        <w:left w:val="none" w:sz="0" w:space="0" w:color="auto"/>
        <w:bottom w:val="none" w:sz="0" w:space="0" w:color="auto"/>
        <w:right w:val="none" w:sz="0" w:space="0" w:color="auto"/>
      </w:divBdr>
    </w:div>
    <w:div w:id="697656398">
      <w:bodyDiv w:val="1"/>
      <w:marLeft w:val="0"/>
      <w:marRight w:val="0"/>
      <w:marTop w:val="0"/>
      <w:marBottom w:val="0"/>
      <w:divBdr>
        <w:top w:val="none" w:sz="0" w:space="0" w:color="auto"/>
        <w:left w:val="none" w:sz="0" w:space="0" w:color="auto"/>
        <w:bottom w:val="none" w:sz="0" w:space="0" w:color="auto"/>
        <w:right w:val="none" w:sz="0" w:space="0" w:color="auto"/>
      </w:divBdr>
    </w:div>
    <w:div w:id="974262988">
      <w:bodyDiv w:val="1"/>
      <w:marLeft w:val="0"/>
      <w:marRight w:val="0"/>
      <w:marTop w:val="0"/>
      <w:marBottom w:val="0"/>
      <w:divBdr>
        <w:top w:val="none" w:sz="0" w:space="0" w:color="auto"/>
        <w:left w:val="none" w:sz="0" w:space="0" w:color="auto"/>
        <w:bottom w:val="none" w:sz="0" w:space="0" w:color="auto"/>
        <w:right w:val="none" w:sz="0" w:space="0" w:color="auto"/>
      </w:divBdr>
    </w:div>
    <w:div w:id="1272475925">
      <w:bodyDiv w:val="1"/>
      <w:marLeft w:val="0"/>
      <w:marRight w:val="0"/>
      <w:marTop w:val="0"/>
      <w:marBottom w:val="0"/>
      <w:divBdr>
        <w:top w:val="none" w:sz="0" w:space="0" w:color="auto"/>
        <w:left w:val="none" w:sz="0" w:space="0" w:color="auto"/>
        <w:bottom w:val="none" w:sz="0" w:space="0" w:color="auto"/>
        <w:right w:val="none" w:sz="0" w:space="0" w:color="auto"/>
      </w:divBdr>
    </w:div>
    <w:div w:id="1420130586">
      <w:bodyDiv w:val="1"/>
      <w:marLeft w:val="0"/>
      <w:marRight w:val="0"/>
      <w:marTop w:val="0"/>
      <w:marBottom w:val="0"/>
      <w:divBdr>
        <w:top w:val="none" w:sz="0" w:space="0" w:color="auto"/>
        <w:left w:val="none" w:sz="0" w:space="0" w:color="auto"/>
        <w:bottom w:val="none" w:sz="0" w:space="0" w:color="auto"/>
        <w:right w:val="none" w:sz="0" w:space="0" w:color="auto"/>
      </w:divBdr>
    </w:div>
    <w:div w:id="1908107054">
      <w:bodyDiv w:val="1"/>
      <w:marLeft w:val="0"/>
      <w:marRight w:val="0"/>
      <w:marTop w:val="0"/>
      <w:marBottom w:val="0"/>
      <w:divBdr>
        <w:top w:val="none" w:sz="0" w:space="0" w:color="auto"/>
        <w:left w:val="none" w:sz="0" w:space="0" w:color="auto"/>
        <w:bottom w:val="none" w:sz="0" w:space="0" w:color="auto"/>
        <w:right w:val="none" w:sz="0" w:space="0" w:color="auto"/>
      </w:divBdr>
    </w:div>
    <w:div w:id="19560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esthub.walthamforest.gov.uk/sites/default/files/workforce_positive_action_policy_final_29.11.2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wf.sharepoint.com/sites/FellowshipSquare/SitePages/Hybrid-Working-Toolki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protect-eu.mimecast.com/s/FQnqCVvRVIk7AAwcJ7li3" TargetMode="External"/><Relationship Id="rId4" Type="http://schemas.openxmlformats.org/officeDocument/2006/relationships/customXml" Target="../customXml/item4.xml"/><Relationship Id="rId9" Type="http://schemas.openxmlformats.org/officeDocument/2006/relationships/hyperlink" Target="https://lbwf.sharepoint.com/sites/FellowshipSquare/Shared%20Documents/Forms/AllItems.aspx?id=/sites/FellowshipSquare/Shared%20Documents/Courageous-Conversations-toolkit-for-managers_4209.pdf&amp;parent=/sites/FellowshipSquare/Shared%20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a88b9-c19f-429a-be97-294c679c963a">
      <Terms xmlns="http://schemas.microsoft.com/office/infopath/2007/PartnerControls"/>
    </lcf76f155ced4ddcb4097134ff3c332f>
    <TaxCatchAll xmlns="127afdf2-292a-4abb-bbcd-efbed5ebd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36EA35D75EC9478F9ED3CB04FC0733" ma:contentTypeVersion="14" ma:contentTypeDescription="Create a new document." ma:contentTypeScope="" ma:versionID="9f77ac6f3817cd69bdc9c3371d933758">
  <xsd:schema xmlns:xsd="http://www.w3.org/2001/XMLSchema" xmlns:xs="http://www.w3.org/2001/XMLSchema" xmlns:p="http://schemas.microsoft.com/office/2006/metadata/properties" xmlns:ns2="509a88b9-c19f-429a-be97-294c679c963a" xmlns:ns3="127afdf2-292a-4abb-bbcd-efbed5ebdbfa" targetNamespace="http://schemas.microsoft.com/office/2006/metadata/properties" ma:root="true" ma:fieldsID="46b91acfb73f51f886e6bc7a37c78ca7" ns2:_="" ns3:_="">
    <xsd:import namespace="509a88b9-c19f-429a-be97-294c679c963a"/>
    <xsd:import namespace="127afdf2-292a-4abb-bbcd-efbed5ebdb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88b9-c19f-429a-be97-294c679c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afdf2-292a-4abb-bbcd-efbed5ebdb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f7eec0-c268-403c-b747-f1a2416a5cdb}" ma:internalName="TaxCatchAll" ma:showField="CatchAllData" ma:web="127afdf2-292a-4abb-bbcd-efbed5ebdb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D4EF7-1014-4556-92E5-0F663D81922D}">
  <ds:schemaRefs>
    <ds:schemaRef ds:uri="http://schemas.openxmlformats.org/officeDocument/2006/bibliography"/>
  </ds:schemaRefs>
</ds:datastoreItem>
</file>

<file path=customXml/itemProps2.xml><?xml version="1.0" encoding="utf-8"?>
<ds:datastoreItem xmlns:ds="http://schemas.openxmlformats.org/officeDocument/2006/customXml" ds:itemID="{49D5E6E1-63A5-4E6E-ADE4-B877841860DD}">
  <ds:schemaRefs>
    <ds:schemaRef ds:uri="http://schemas.microsoft.com/sharepoint/v3/contenttype/forms"/>
  </ds:schemaRefs>
</ds:datastoreItem>
</file>

<file path=customXml/itemProps3.xml><?xml version="1.0" encoding="utf-8"?>
<ds:datastoreItem xmlns:ds="http://schemas.openxmlformats.org/officeDocument/2006/customXml" ds:itemID="{4A888964-43F3-4066-9817-2F44CE390FD6}">
  <ds:schemaRefs>
    <ds:schemaRef ds:uri="http://schemas.microsoft.com/office/2006/metadata/properties"/>
    <ds:schemaRef ds:uri="http://schemas.microsoft.com/office/infopath/2007/PartnerControls"/>
    <ds:schemaRef ds:uri="509a88b9-c19f-429a-be97-294c679c963a"/>
    <ds:schemaRef ds:uri="127afdf2-292a-4abb-bbcd-efbed5ebdbfa"/>
  </ds:schemaRefs>
</ds:datastoreItem>
</file>

<file path=customXml/itemProps4.xml><?xml version="1.0" encoding="utf-8"?>
<ds:datastoreItem xmlns:ds="http://schemas.openxmlformats.org/officeDocument/2006/customXml" ds:itemID="{49094A45-2058-4A3B-997B-6013BD52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88b9-c19f-429a-be97-294c679c963a"/>
    <ds:schemaRef ds:uri="127afdf2-292a-4abb-bbcd-efbed5eb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7052</Characters>
  <Application>Microsoft Office Word</Application>
  <DocSecurity>0</DocSecurity>
  <Lines>58</Lines>
  <Paragraphs>16</Paragraphs>
  <ScaleCrop>false</ScaleCrop>
  <Company>London Borough of Waltham Forest</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Tulloch</dc:creator>
  <cp:keywords/>
  <cp:lastModifiedBy>Joy Hume</cp:lastModifiedBy>
  <cp:revision>5</cp:revision>
  <dcterms:created xsi:type="dcterms:W3CDTF">2023-03-08T00:02:00Z</dcterms:created>
  <dcterms:modified xsi:type="dcterms:W3CDTF">2023-03-08T00:04:00Z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0x010100E136EA35D75EC9478F9ED3CB04FC0733</vt:lpwstr>
  </property>
</Properties>
</file>