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5A29" w14:textId="776142F5" w:rsidR="00D17023" w:rsidRPr="00F4774D" w:rsidRDefault="00BC0BA3" w:rsidP="00D17023">
      <w:pPr>
        <w:rPr>
          <w:rFonts w:ascii="Century Gothic" w:hAnsi="Century Gothic"/>
          <w:b/>
          <w:bCs/>
          <w:sz w:val="32"/>
          <w:szCs w:val="32"/>
          <w:lang w:eastAsia="en-GB"/>
        </w:rPr>
      </w:pPr>
      <w:r w:rsidRPr="00BC0BA3">
        <w:rPr>
          <w:noProof/>
          <w:sz w:val="28"/>
          <w:szCs w:val="28"/>
        </w:rPr>
        <w:drawing>
          <wp:anchor distT="0" distB="0" distL="114300" distR="114300" simplePos="0" relativeHeight="251658240" behindDoc="1" locked="0" layoutInCell="1" allowOverlap="1" wp14:anchorId="5735C8D1" wp14:editId="1BE54E35">
            <wp:simplePos x="0" y="0"/>
            <wp:positionH relativeFrom="column">
              <wp:posOffset>5547360</wp:posOffset>
            </wp:positionH>
            <wp:positionV relativeFrom="paragraph">
              <wp:posOffset>4445</wp:posOffset>
            </wp:positionV>
            <wp:extent cx="1228090" cy="717550"/>
            <wp:effectExtent l="0" t="0" r="3810" b="6350"/>
            <wp:wrapTight wrapText="bothSides">
              <wp:wrapPolygon edited="0">
                <wp:start x="0" y="0"/>
                <wp:lineTo x="0" y="21409"/>
                <wp:lineTo x="21444" y="21409"/>
                <wp:lineTo x="21444" y="0"/>
                <wp:lineTo x="0" y="0"/>
              </wp:wrapPolygon>
            </wp:wrapTight>
            <wp:docPr id="793047030" name="Picture 1" descr="A logo with a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047030" name="Picture 1" descr="A logo with a tree and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090" cy="717550"/>
                    </a:xfrm>
                    <a:prstGeom prst="rect">
                      <a:avLst/>
                    </a:prstGeom>
                  </pic:spPr>
                </pic:pic>
              </a:graphicData>
            </a:graphic>
            <wp14:sizeRelH relativeFrom="page">
              <wp14:pctWidth>0</wp14:pctWidth>
            </wp14:sizeRelH>
            <wp14:sizeRelV relativeFrom="page">
              <wp14:pctHeight>0</wp14:pctHeight>
            </wp14:sizeRelV>
          </wp:anchor>
        </w:drawing>
      </w:r>
      <w:r w:rsidR="00F56AAE" w:rsidRPr="00F4774D">
        <w:rPr>
          <w:rFonts w:ascii="Century Gothic" w:hAnsi="Century Gothic"/>
          <w:b/>
          <w:bCs/>
          <w:sz w:val="32"/>
          <w:szCs w:val="32"/>
          <w:lang w:eastAsia="en-GB"/>
        </w:rPr>
        <w:t>Proposal to SEND Strategic Board</w:t>
      </w:r>
      <w:r>
        <w:fldChar w:fldCharType="begin"/>
      </w:r>
      <w:r>
        <w:instrText xml:space="preserve"> INCLUDEPICTURE "https://www.walthamforest.gov.uk/themes/custom/localgov_theme_wf_replatform/logo.svg" \* MERGEFORMATINET </w:instrText>
      </w:r>
      <w:r>
        <w:fldChar w:fldCharType="separate"/>
      </w:r>
      <w:r>
        <w:rPr>
          <w:noProof/>
        </w:rPr>
        <mc:AlternateContent>
          <mc:Choice Requires="wps">
            <w:drawing>
              <wp:inline distT="0" distB="0" distL="0" distR="0" wp14:anchorId="2CE9253B" wp14:editId="5C4D02F1">
                <wp:extent cx="301625" cy="301625"/>
                <wp:effectExtent l="0" t="0" r="0" b="0"/>
                <wp:docPr id="1946322943" name="Rectangle 1" descr="London Borough of Waltham Forest home p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3C1C73" id="Rectangle 1" o:spid="_x0000_s1026" alt="London Borough of Waltham Forest home pag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" filled="f" stroked="f">
                <o:lock v:ext="edit" aspectratio="t"/>
                <w10:anchorlock/>
              </v:rect>
            </w:pict>
          </mc:Fallback>
        </mc:AlternateContent>
      </w:r>
      <w:r>
        <w:fldChar w:fldCharType="end"/>
      </w:r>
      <w:r w:rsidRPr="00BC0BA3">
        <w:rPr>
          <w:noProof/>
        </w:rPr>
        <w:t xml:space="preserve"> </w:t>
      </w:r>
    </w:p>
    <w:p w14:paraId="6404B8A7" w14:textId="77777777" w:rsidR="00F56AAE" w:rsidRDefault="00F56AAE" w:rsidP="00D17023">
      <w:pPr>
        <w:rPr>
          <w:rFonts w:ascii="Century Gothic" w:hAnsi="Century Gothic"/>
          <w:lang w:eastAsia="en-GB"/>
        </w:rPr>
      </w:pPr>
    </w:p>
    <w:p w14:paraId="6823F153" w14:textId="643F60EE" w:rsidR="00F56AAE" w:rsidRPr="00F4774D" w:rsidRDefault="00F56AAE" w:rsidP="00F56AAE">
      <w:pPr>
        <w:rPr>
          <w:rFonts w:ascii="Century Gothic" w:hAnsi="Century Gothic"/>
          <w:b/>
          <w:bCs/>
          <w:i/>
          <w:iCs/>
          <w:sz w:val="22"/>
          <w:szCs w:val="22"/>
          <w:lang w:eastAsia="en-GB"/>
        </w:rPr>
      </w:pPr>
      <w:r w:rsidRPr="00F56AAE">
        <w:rPr>
          <w:rFonts w:ascii="Century Gothic" w:hAnsi="Century Gothic"/>
          <w:b/>
          <w:bCs/>
          <w:i/>
          <w:iCs/>
          <w:sz w:val="22"/>
          <w:szCs w:val="22"/>
          <w:lang w:eastAsia="en-GB"/>
        </w:rPr>
        <w:t>Adoption of an Ordinarily Available Provision Guide for Parents</w:t>
      </w:r>
      <w:r w:rsidR="001B76B7" w:rsidRPr="00F4774D">
        <w:rPr>
          <w:rFonts w:ascii="Century Gothic" w:hAnsi="Century Gothic"/>
          <w:b/>
          <w:bCs/>
          <w:i/>
          <w:iCs/>
          <w:sz w:val="22"/>
          <w:szCs w:val="22"/>
          <w:lang w:eastAsia="en-GB"/>
        </w:rPr>
        <w:t xml:space="preserve">, Carers </w:t>
      </w:r>
      <w:r w:rsidRPr="00F56AAE">
        <w:rPr>
          <w:rFonts w:ascii="Century Gothic" w:hAnsi="Century Gothic"/>
          <w:b/>
          <w:bCs/>
          <w:i/>
          <w:iCs/>
          <w:sz w:val="22"/>
          <w:szCs w:val="22"/>
          <w:lang w:eastAsia="en-GB"/>
        </w:rPr>
        <w:t>and Professionals of Children with Special Educational Needs and Disabilities (SEND)</w:t>
      </w:r>
    </w:p>
    <w:p w14:paraId="400A006B" w14:textId="77777777" w:rsidR="00F56AAE" w:rsidRPr="00F4774D" w:rsidRDefault="00F56AAE" w:rsidP="00F56AAE">
      <w:pPr>
        <w:rPr>
          <w:sz w:val="23"/>
          <w:szCs w:val="23"/>
          <w:lang w:eastAsia="en-GB"/>
        </w:rPr>
      </w:pPr>
    </w:p>
    <w:p w14:paraId="646B9B85" w14:textId="5E658C9E" w:rsidR="00EA57FB" w:rsidRPr="00F4774D" w:rsidRDefault="00EA57FB" w:rsidP="00F56AAE">
      <w:pPr>
        <w:rPr>
          <w:b/>
          <w:bCs/>
          <w:i/>
          <w:iCs/>
          <w:sz w:val="23"/>
          <w:szCs w:val="23"/>
          <w:lang w:eastAsia="en-GB"/>
        </w:rPr>
      </w:pPr>
      <w:r w:rsidRPr="00F4774D">
        <w:rPr>
          <w:b/>
          <w:bCs/>
          <w:i/>
          <w:iCs/>
          <w:sz w:val="23"/>
          <w:szCs w:val="23"/>
          <w:lang w:eastAsia="en-GB"/>
        </w:rPr>
        <w:t>Aim:</w:t>
      </w:r>
    </w:p>
    <w:p w14:paraId="3DCBB404" w14:textId="79FC7042" w:rsidR="001B76B7" w:rsidRPr="00F4774D" w:rsidRDefault="00F56AAE" w:rsidP="00F56AAE">
      <w:pPr>
        <w:rPr>
          <w:sz w:val="23"/>
          <w:szCs w:val="23"/>
          <w:lang w:eastAsia="en-GB"/>
        </w:rPr>
      </w:pPr>
      <w:r w:rsidRPr="00F56AAE">
        <w:rPr>
          <w:sz w:val="23"/>
          <w:szCs w:val="23"/>
          <w:lang w:eastAsia="en-GB"/>
        </w:rPr>
        <w:t>The aim of this proposal is to introduce an Ordinarily Available Provision (OAP) guide tailored for parents</w:t>
      </w:r>
      <w:r w:rsidR="001B76B7" w:rsidRPr="00F4774D">
        <w:rPr>
          <w:sz w:val="23"/>
          <w:szCs w:val="23"/>
          <w:lang w:eastAsia="en-GB"/>
        </w:rPr>
        <w:t>, carers</w:t>
      </w:r>
      <w:r w:rsidRPr="00F56AAE">
        <w:rPr>
          <w:sz w:val="23"/>
          <w:szCs w:val="23"/>
          <w:lang w:eastAsia="en-GB"/>
        </w:rPr>
        <w:t xml:space="preserve"> and professionals supporting children with Special Educational Needs and Disabilities (SEND). This guide intends to provide comprehensive information and resources </w:t>
      </w:r>
      <w:r w:rsidR="001B76B7" w:rsidRPr="00F4774D">
        <w:rPr>
          <w:sz w:val="23"/>
          <w:szCs w:val="23"/>
          <w:lang w:eastAsia="en-GB"/>
        </w:rPr>
        <w:t>which can</w:t>
      </w:r>
      <w:r w:rsidRPr="00F56AAE">
        <w:rPr>
          <w:sz w:val="23"/>
          <w:szCs w:val="23"/>
          <w:lang w:eastAsia="en-GB"/>
        </w:rPr>
        <w:t xml:space="preserve"> </w:t>
      </w:r>
      <w:r w:rsidR="001B76B7" w:rsidRPr="00F4774D">
        <w:rPr>
          <w:sz w:val="23"/>
          <w:szCs w:val="23"/>
          <w:lang w:eastAsia="en-GB"/>
        </w:rPr>
        <w:t>be used to support</w:t>
      </w:r>
      <w:r w:rsidRPr="00F56AAE">
        <w:rPr>
          <w:sz w:val="23"/>
          <w:szCs w:val="23"/>
          <w:lang w:eastAsia="en-GB"/>
        </w:rPr>
        <w:t xml:space="preserve"> children </w:t>
      </w:r>
      <w:r w:rsidR="001B76B7" w:rsidRPr="00F4774D">
        <w:rPr>
          <w:sz w:val="23"/>
          <w:szCs w:val="23"/>
          <w:lang w:eastAsia="en-GB"/>
        </w:rPr>
        <w:t xml:space="preserve">and young people </w:t>
      </w:r>
      <w:r w:rsidRPr="00F56AAE">
        <w:rPr>
          <w:sz w:val="23"/>
          <w:szCs w:val="23"/>
          <w:lang w:eastAsia="en-GB"/>
        </w:rPr>
        <w:t>with SEND</w:t>
      </w:r>
      <w:r w:rsidR="001B76B7" w:rsidRPr="00F4774D">
        <w:rPr>
          <w:sz w:val="23"/>
          <w:szCs w:val="23"/>
          <w:lang w:eastAsia="en-GB"/>
        </w:rPr>
        <w:t>, prior to or in the interim period of, applying for further intervention or assessment</w:t>
      </w:r>
      <w:r w:rsidRPr="00F56AAE">
        <w:rPr>
          <w:sz w:val="23"/>
          <w:szCs w:val="23"/>
          <w:lang w:eastAsia="en-GB"/>
        </w:rPr>
        <w:t xml:space="preserve">. </w:t>
      </w:r>
    </w:p>
    <w:p w14:paraId="1FDBECB5" w14:textId="77777777" w:rsidR="001B76B7" w:rsidRPr="00F4774D" w:rsidRDefault="001B76B7" w:rsidP="00F56AAE">
      <w:pPr>
        <w:rPr>
          <w:sz w:val="23"/>
          <w:szCs w:val="23"/>
          <w:lang w:eastAsia="en-GB"/>
        </w:rPr>
      </w:pPr>
    </w:p>
    <w:p w14:paraId="45EDE29B" w14:textId="49EA552B" w:rsidR="00F56AAE" w:rsidRPr="00F4774D" w:rsidRDefault="00F56AAE" w:rsidP="00F56AAE">
      <w:pPr>
        <w:rPr>
          <w:sz w:val="23"/>
          <w:szCs w:val="23"/>
          <w:lang w:eastAsia="en-GB"/>
        </w:rPr>
      </w:pPr>
      <w:r w:rsidRPr="00F56AAE">
        <w:rPr>
          <w:sz w:val="23"/>
          <w:szCs w:val="23"/>
          <w:lang w:eastAsia="en-GB"/>
        </w:rPr>
        <w:t xml:space="preserve">By adopting </w:t>
      </w:r>
      <w:r w:rsidR="001B76B7" w:rsidRPr="00F4774D">
        <w:rPr>
          <w:sz w:val="23"/>
          <w:szCs w:val="23"/>
          <w:lang w:eastAsia="en-GB"/>
        </w:rPr>
        <w:t>a</w:t>
      </w:r>
      <w:r w:rsidRPr="00F56AAE">
        <w:rPr>
          <w:sz w:val="23"/>
          <w:szCs w:val="23"/>
          <w:lang w:eastAsia="en-GB"/>
        </w:rPr>
        <w:t xml:space="preserve"> guide, we aim to empower parents</w:t>
      </w:r>
      <w:r w:rsidR="001B76B7" w:rsidRPr="00F4774D">
        <w:rPr>
          <w:sz w:val="23"/>
          <w:szCs w:val="23"/>
          <w:lang w:eastAsia="en-GB"/>
        </w:rPr>
        <w:t xml:space="preserve">, </w:t>
      </w:r>
      <w:r w:rsidR="00810CC3" w:rsidRPr="00F4774D">
        <w:rPr>
          <w:sz w:val="23"/>
          <w:szCs w:val="23"/>
          <w:lang w:eastAsia="en-GB"/>
        </w:rPr>
        <w:t>carers,</w:t>
      </w:r>
      <w:r w:rsidRPr="00F56AAE">
        <w:rPr>
          <w:sz w:val="23"/>
          <w:szCs w:val="23"/>
          <w:lang w:eastAsia="en-GB"/>
        </w:rPr>
        <w:t xml:space="preserve"> and professionals to better understand and access the services</w:t>
      </w:r>
      <w:r w:rsidR="001B76B7" w:rsidRPr="00F4774D">
        <w:rPr>
          <w:sz w:val="23"/>
          <w:szCs w:val="23"/>
          <w:lang w:eastAsia="en-GB"/>
        </w:rPr>
        <w:t>, resources, strategies</w:t>
      </w:r>
      <w:r w:rsidRPr="00F56AAE">
        <w:rPr>
          <w:sz w:val="23"/>
          <w:szCs w:val="23"/>
          <w:lang w:eastAsia="en-GB"/>
        </w:rPr>
        <w:t xml:space="preserve"> and provisions available</w:t>
      </w:r>
      <w:r w:rsidR="001B76B7" w:rsidRPr="00F4774D">
        <w:rPr>
          <w:sz w:val="23"/>
          <w:szCs w:val="23"/>
          <w:lang w:eastAsia="en-GB"/>
        </w:rPr>
        <w:t>; fostering,</w:t>
      </w:r>
      <w:r w:rsidRPr="00F56AAE">
        <w:rPr>
          <w:sz w:val="23"/>
          <w:szCs w:val="23"/>
          <w:lang w:eastAsia="en-GB"/>
        </w:rPr>
        <w:t xml:space="preserve"> </w:t>
      </w:r>
      <w:r w:rsidRPr="00F4774D">
        <w:rPr>
          <w:sz w:val="23"/>
          <w:szCs w:val="23"/>
          <w:lang w:eastAsia="en-GB"/>
        </w:rPr>
        <w:t xml:space="preserve">and empowering </w:t>
      </w:r>
      <w:r w:rsidR="001B76B7" w:rsidRPr="00F4774D">
        <w:rPr>
          <w:sz w:val="23"/>
          <w:szCs w:val="23"/>
          <w:lang w:eastAsia="en-GB"/>
        </w:rPr>
        <w:t xml:space="preserve">early intervention, </w:t>
      </w:r>
      <w:r w:rsidRPr="00F56AAE">
        <w:rPr>
          <w:sz w:val="23"/>
          <w:szCs w:val="23"/>
          <w:lang w:eastAsia="en-GB"/>
        </w:rPr>
        <w:t xml:space="preserve">inclusivity and support for children with SEND </w:t>
      </w:r>
      <w:r w:rsidR="001B76B7" w:rsidRPr="00F4774D">
        <w:rPr>
          <w:sz w:val="23"/>
          <w:szCs w:val="23"/>
          <w:lang w:eastAsia="en-GB"/>
        </w:rPr>
        <w:t xml:space="preserve">both at home and </w:t>
      </w:r>
      <w:r w:rsidRPr="00F56AAE">
        <w:rPr>
          <w:sz w:val="23"/>
          <w:szCs w:val="23"/>
          <w:lang w:eastAsia="en-GB"/>
        </w:rPr>
        <w:t>in educational settings.</w:t>
      </w:r>
    </w:p>
    <w:p w14:paraId="4A324EF8" w14:textId="77777777" w:rsidR="00F56AAE" w:rsidRPr="00F4774D" w:rsidRDefault="00F56AAE" w:rsidP="00F56AAE">
      <w:pPr>
        <w:rPr>
          <w:sz w:val="23"/>
          <w:szCs w:val="23"/>
          <w:lang w:eastAsia="en-GB"/>
        </w:rPr>
      </w:pPr>
    </w:p>
    <w:p w14:paraId="7FC337FC" w14:textId="78D05FCA" w:rsidR="00F56AAE" w:rsidRPr="00F56AAE" w:rsidRDefault="00F56AAE" w:rsidP="00F56AAE">
      <w:pPr>
        <w:rPr>
          <w:b/>
          <w:bCs/>
          <w:i/>
          <w:iCs/>
          <w:sz w:val="23"/>
          <w:szCs w:val="23"/>
          <w:lang w:eastAsia="en-GB"/>
        </w:rPr>
      </w:pPr>
      <w:r w:rsidRPr="00F4774D">
        <w:rPr>
          <w:b/>
          <w:bCs/>
          <w:i/>
          <w:iCs/>
          <w:sz w:val="23"/>
          <w:szCs w:val="23"/>
          <w:lang w:eastAsia="en-GB"/>
        </w:rPr>
        <w:t>Context</w:t>
      </w:r>
      <w:r w:rsidR="00EA57FB" w:rsidRPr="00F4774D">
        <w:rPr>
          <w:b/>
          <w:bCs/>
          <w:i/>
          <w:iCs/>
          <w:sz w:val="23"/>
          <w:szCs w:val="23"/>
          <w:lang w:eastAsia="en-GB"/>
        </w:rPr>
        <w:t>:</w:t>
      </w:r>
    </w:p>
    <w:p w14:paraId="521B2BE6" w14:textId="1A26E882" w:rsidR="00F56AAE" w:rsidRPr="00F56AAE" w:rsidRDefault="00F56AAE" w:rsidP="00F56AAE">
      <w:pPr>
        <w:rPr>
          <w:sz w:val="23"/>
          <w:szCs w:val="23"/>
          <w:lang w:eastAsia="en-GB"/>
        </w:rPr>
      </w:pPr>
      <w:r w:rsidRPr="00F56AAE">
        <w:rPr>
          <w:sz w:val="23"/>
          <w:szCs w:val="23"/>
          <w:lang w:eastAsia="en-GB"/>
        </w:rPr>
        <w:t>Children with Special Educational Needs and Disabilities (SEND) often require additional support to access education and achieve their full potential. However, navigating the complex landscape of available provisions and services can be challenging for parents and professionals alike. Many struggle to understand what support is available, how to access it, and how to advocate effectively for their child or students.</w:t>
      </w:r>
      <w:r w:rsidR="001B76B7" w:rsidRPr="00F4774D">
        <w:rPr>
          <w:sz w:val="23"/>
          <w:szCs w:val="23"/>
          <w:lang w:eastAsia="en-GB"/>
        </w:rPr>
        <w:t xml:space="preserve">  Lengthy waiting times for referrals to services often means that support can be delayed</w:t>
      </w:r>
      <w:r w:rsidR="001E0B74" w:rsidRPr="00F4774D">
        <w:rPr>
          <w:sz w:val="23"/>
          <w:szCs w:val="23"/>
          <w:lang w:eastAsia="en-GB"/>
        </w:rPr>
        <w:t>, further impacting on the needs of the child or young person.</w:t>
      </w:r>
    </w:p>
    <w:p w14:paraId="4CD86133" w14:textId="77777777" w:rsidR="00F56AAE" w:rsidRPr="00F4774D" w:rsidRDefault="00F56AAE" w:rsidP="00F56AAE">
      <w:pPr>
        <w:rPr>
          <w:sz w:val="23"/>
          <w:szCs w:val="23"/>
          <w:lang w:eastAsia="en-GB"/>
        </w:rPr>
      </w:pPr>
    </w:p>
    <w:p w14:paraId="776FFD5A" w14:textId="719B1734" w:rsidR="00F56AAE" w:rsidRPr="00F4774D" w:rsidRDefault="00F56AAE" w:rsidP="00F56AAE">
      <w:pPr>
        <w:rPr>
          <w:sz w:val="23"/>
          <w:szCs w:val="23"/>
          <w:lang w:eastAsia="en-GB"/>
        </w:rPr>
      </w:pPr>
      <w:r w:rsidRPr="00F56AAE">
        <w:rPr>
          <w:sz w:val="23"/>
          <w:szCs w:val="23"/>
          <w:lang w:eastAsia="en-GB"/>
        </w:rPr>
        <w:t xml:space="preserve">An Ordinarily Available Provision (OAP) guide outlines the support and resources that </w:t>
      </w:r>
      <w:r w:rsidRPr="00F4774D">
        <w:rPr>
          <w:sz w:val="23"/>
          <w:szCs w:val="23"/>
          <w:lang w:eastAsia="en-GB"/>
        </w:rPr>
        <w:t xml:space="preserve">can be used to support parents’ </w:t>
      </w:r>
      <w:r w:rsidR="001E0B74" w:rsidRPr="00F4774D">
        <w:rPr>
          <w:sz w:val="23"/>
          <w:szCs w:val="23"/>
          <w:lang w:eastAsia="en-GB"/>
        </w:rPr>
        <w:t xml:space="preserve">and </w:t>
      </w:r>
      <w:r w:rsidRPr="00F56AAE">
        <w:rPr>
          <w:sz w:val="23"/>
          <w:szCs w:val="23"/>
          <w:lang w:eastAsia="en-GB"/>
        </w:rPr>
        <w:t>settings for children</w:t>
      </w:r>
      <w:r w:rsidR="001E0B74" w:rsidRPr="00F4774D">
        <w:rPr>
          <w:sz w:val="23"/>
          <w:szCs w:val="23"/>
          <w:lang w:eastAsia="en-GB"/>
        </w:rPr>
        <w:t xml:space="preserve"> and young people</w:t>
      </w:r>
      <w:r w:rsidRPr="00F56AAE">
        <w:rPr>
          <w:sz w:val="23"/>
          <w:szCs w:val="23"/>
          <w:lang w:eastAsia="en-GB"/>
        </w:rPr>
        <w:t xml:space="preserve"> with SEND</w:t>
      </w:r>
      <w:r w:rsidR="001E0B74" w:rsidRPr="00F4774D">
        <w:rPr>
          <w:sz w:val="23"/>
          <w:szCs w:val="23"/>
          <w:lang w:eastAsia="en-GB"/>
        </w:rPr>
        <w:t xml:space="preserve"> from Early Years to Post 16</w:t>
      </w:r>
      <w:r w:rsidRPr="00F56AAE">
        <w:rPr>
          <w:sz w:val="23"/>
          <w:szCs w:val="23"/>
          <w:lang w:eastAsia="en-GB"/>
        </w:rPr>
        <w:t xml:space="preserve">. It provides clear and accessible information about the various interventions, accommodations, and strategies that can be implemented to support these children </w:t>
      </w:r>
      <w:r w:rsidRPr="00F4774D">
        <w:rPr>
          <w:sz w:val="23"/>
          <w:szCs w:val="23"/>
          <w:lang w:eastAsia="en-GB"/>
        </w:rPr>
        <w:t xml:space="preserve">and young people </w:t>
      </w:r>
      <w:r w:rsidRPr="00F56AAE">
        <w:rPr>
          <w:sz w:val="23"/>
          <w:szCs w:val="23"/>
          <w:lang w:eastAsia="en-GB"/>
        </w:rPr>
        <w:t xml:space="preserve">effectively. By adopting such a guide, we can </w:t>
      </w:r>
      <w:r w:rsidR="001B76B7" w:rsidRPr="00F4774D">
        <w:rPr>
          <w:sz w:val="23"/>
          <w:szCs w:val="23"/>
          <w:lang w:eastAsia="en-GB"/>
        </w:rPr>
        <w:t xml:space="preserve">empower parents, carers, and professionals to </w:t>
      </w:r>
      <w:r w:rsidRPr="00F56AAE">
        <w:rPr>
          <w:sz w:val="23"/>
          <w:szCs w:val="23"/>
          <w:lang w:eastAsia="en-GB"/>
        </w:rPr>
        <w:t>access support</w:t>
      </w:r>
      <w:r w:rsidR="001B76B7" w:rsidRPr="00F4774D">
        <w:rPr>
          <w:sz w:val="23"/>
          <w:szCs w:val="23"/>
          <w:lang w:eastAsia="en-GB"/>
        </w:rPr>
        <w:t xml:space="preserve"> quickly and efficiently</w:t>
      </w:r>
      <w:r w:rsidRPr="00F56AAE">
        <w:rPr>
          <w:sz w:val="23"/>
          <w:szCs w:val="23"/>
          <w:lang w:eastAsia="en-GB"/>
        </w:rPr>
        <w:t>, improv</w:t>
      </w:r>
      <w:r w:rsidR="001B76B7" w:rsidRPr="00F4774D">
        <w:rPr>
          <w:sz w:val="23"/>
          <w:szCs w:val="23"/>
          <w:lang w:eastAsia="en-GB"/>
        </w:rPr>
        <w:t>ing</w:t>
      </w:r>
      <w:r w:rsidRPr="00F56AAE">
        <w:rPr>
          <w:sz w:val="23"/>
          <w:szCs w:val="23"/>
          <w:lang w:eastAsia="en-GB"/>
        </w:rPr>
        <w:t xml:space="preserve"> collaboration between parents and professionals, and ultimately enhance outcomes for children with SEND.</w:t>
      </w:r>
    </w:p>
    <w:p w14:paraId="433AA2CB" w14:textId="77777777" w:rsidR="00EA57FB" w:rsidRPr="00F4774D" w:rsidRDefault="00EA57FB" w:rsidP="00F56AAE">
      <w:pPr>
        <w:rPr>
          <w:sz w:val="23"/>
          <w:szCs w:val="23"/>
          <w:lang w:eastAsia="en-GB"/>
        </w:rPr>
      </w:pPr>
    </w:p>
    <w:p w14:paraId="54F0A3DB" w14:textId="2C01796C" w:rsidR="00EA57FB" w:rsidRPr="00F4774D" w:rsidRDefault="00EA57FB" w:rsidP="00F56AAE">
      <w:pPr>
        <w:rPr>
          <w:sz w:val="23"/>
          <w:szCs w:val="23"/>
          <w:lang w:eastAsia="en-GB"/>
        </w:rPr>
      </w:pPr>
      <w:r w:rsidRPr="00F4774D">
        <w:rPr>
          <w:sz w:val="23"/>
          <w:szCs w:val="23"/>
          <w:lang w:eastAsia="en-GB"/>
        </w:rPr>
        <w:t xml:space="preserve">OAP guides have been successfully implemented in other </w:t>
      </w:r>
      <w:r w:rsidR="006B2817" w:rsidRPr="00F4774D">
        <w:rPr>
          <w:sz w:val="23"/>
          <w:szCs w:val="23"/>
          <w:lang w:eastAsia="en-GB"/>
        </w:rPr>
        <w:t>localities but</w:t>
      </w:r>
      <w:r w:rsidRPr="00F4774D">
        <w:rPr>
          <w:sz w:val="23"/>
          <w:szCs w:val="23"/>
          <w:lang w:eastAsia="en-GB"/>
        </w:rPr>
        <w:t xml:space="preserve"> focus only on supporting schools.  The proposed Waltham Forest guide </w:t>
      </w:r>
      <w:r w:rsidR="006B2817" w:rsidRPr="00F4774D">
        <w:rPr>
          <w:sz w:val="23"/>
          <w:szCs w:val="23"/>
          <w:lang w:eastAsia="en-GB"/>
        </w:rPr>
        <w:t>aims to bring together a tool which speaks to parents, carers, and professionals; supporting children and young people accessing a range of learning environments from elective home education, early years settings to post 16.  Including resources and strategies which can be implemented both in the home and educational settings, and for use by a range of individuals from parents/carers to early help, health visitors, teachers, and teaching assistants etc.</w:t>
      </w:r>
    </w:p>
    <w:p w14:paraId="2AA63C29" w14:textId="77777777" w:rsidR="006B2817" w:rsidRPr="00F4774D" w:rsidRDefault="006B2817" w:rsidP="00F56AAE">
      <w:pPr>
        <w:rPr>
          <w:sz w:val="23"/>
          <w:szCs w:val="23"/>
          <w:lang w:eastAsia="en-GB"/>
        </w:rPr>
      </w:pPr>
    </w:p>
    <w:p w14:paraId="38EB75A4" w14:textId="0408F7C9" w:rsidR="006B2817" w:rsidRPr="00F4774D" w:rsidRDefault="006B2817" w:rsidP="00F56AAE">
      <w:pPr>
        <w:rPr>
          <w:sz w:val="23"/>
          <w:szCs w:val="23"/>
          <w:lang w:eastAsia="en-GB"/>
        </w:rPr>
      </w:pPr>
      <w:r w:rsidRPr="00F4774D">
        <w:rPr>
          <w:sz w:val="23"/>
          <w:szCs w:val="23"/>
          <w:lang w:eastAsia="en-GB"/>
        </w:rPr>
        <w:t>Examples of OAP guides include:</w:t>
      </w:r>
    </w:p>
    <w:p w14:paraId="1AE3B01E" w14:textId="77777777" w:rsidR="00F4774D" w:rsidRPr="00F4774D" w:rsidRDefault="00F4774D" w:rsidP="00F56AAE">
      <w:pPr>
        <w:rPr>
          <w:sz w:val="23"/>
          <w:szCs w:val="23"/>
          <w:lang w:eastAsia="en-GB"/>
        </w:rPr>
        <w:sectPr w:rsidR="00F4774D" w:rsidRPr="00F4774D" w:rsidSect="00D17023">
          <w:pgSz w:w="11906" w:h="16838"/>
          <w:pgMar w:top="720" w:right="720" w:bottom="720" w:left="720" w:header="708" w:footer="708" w:gutter="0"/>
          <w:cols w:space="708"/>
          <w:docGrid w:linePitch="360"/>
        </w:sectPr>
      </w:pPr>
    </w:p>
    <w:p w14:paraId="6453B46E" w14:textId="3F31C77F" w:rsidR="006B2817" w:rsidRPr="00F4774D" w:rsidRDefault="008B304F" w:rsidP="00F56AAE">
      <w:pPr>
        <w:rPr>
          <w:sz w:val="23"/>
          <w:szCs w:val="23"/>
          <w:lang w:eastAsia="en-GB"/>
        </w:rPr>
      </w:pPr>
      <w:hyperlink r:id="rId10" w:history="1">
        <w:r w:rsidR="006B2817" w:rsidRPr="00F4774D">
          <w:rPr>
            <w:rStyle w:val="Hyperlink"/>
            <w:sz w:val="23"/>
            <w:szCs w:val="23"/>
            <w:lang w:eastAsia="en-GB"/>
          </w:rPr>
          <w:t>Wandsworth</w:t>
        </w:r>
      </w:hyperlink>
    </w:p>
    <w:p w14:paraId="44253E95" w14:textId="4BC08D73" w:rsidR="006B2817" w:rsidRPr="00F4774D" w:rsidRDefault="008B304F" w:rsidP="00F56AAE">
      <w:pPr>
        <w:rPr>
          <w:sz w:val="23"/>
          <w:szCs w:val="23"/>
          <w:lang w:eastAsia="en-GB"/>
        </w:rPr>
      </w:pPr>
      <w:hyperlink r:id="rId11" w:history="1">
        <w:r w:rsidR="00F4774D" w:rsidRPr="00F4774D">
          <w:rPr>
            <w:rStyle w:val="Hyperlink"/>
            <w:sz w:val="23"/>
            <w:szCs w:val="23"/>
            <w:lang w:eastAsia="en-GB"/>
          </w:rPr>
          <w:t>Merton</w:t>
        </w:r>
      </w:hyperlink>
    </w:p>
    <w:p w14:paraId="3FCE6836" w14:textId="25AF7DC0" w:rsidR="00F4774D" w:rsidRPr="00F4774D" w:rsidRDefault="008B304F" w:rsidP="00F56AAE">
      <w:pPr>
        <w:rPr>
          <w:sz w:val="23"/>
          <w:szCs w:val="23"/>
          <w:lang w:eastAsia="en-GB"/>
        </w:rPr>
      </w:pPr>
      <w:hyperlink r:id="rId12" w:history="1">
        <w:r w:rsidR="00F4774D" w:rsidRPr="00F4774D">
          <w:rPr>
            <w:rStyle w:val="Hyperlink"/>
            <w:sz w:val="23"/>
            <w:szCs w:val="23"/>
            <w:lang w:eastAsia="en-GB"/>
          </w:rPr>
          <w:t>Barnet</w:t>
        </w:r>
      </w:hyperlink>
    </w:p>
    <w:p w14:paraId="0FD75B91" w14:textId="1AC3DC19" w:rsidR="00F4774D" w:rsidRPr="00F4774D" w:rsidRDefault="008B304F" w:rsidP="00F56AAE">
      <w:pPr>
        <w:rPr>
          <w:sz w:val="23"/>
          <w:szCs w:val="23"/>
          <w:lang w:eastAsia="en-GB"/>
        </w:rPr>
      </w:pPr>
      <w:hyperlink r:id="rId13" w:history="1">
        <w:r w:rsidR="00F4774D" w:rsidRPr="00F4774D">
          <w:rPr>
            <w:rStyle w:val="Hyperlink"/>
            <w:sz w:val="23"/>
            <w:szCs w:val="23"/>
            <w:lang w:eastAsia="en-GB"/>
          </w:rPr>
          <w:t>Essex</w:t>
        </w:r>
      </w:hyperlink>
    </w:p>
    <w:p w14:paraId="228BE201" w14:textId="53345D14" w:rsidR="00F4774D" w:rsidRPr="00F56AAE" w:rsidRDefault="008B304F" w:rsidP="00F56AAE">
      <w:pPr>
        <w:rPr>
          <w:sz w:val="23"/>
          <w:szCs w:val="23"/>
          <w:lang w:eastAsia="en-GB"/>
        </w:rPr>
      </w:pPr>
      <w:hyperlink r:id="rId14" w:history="1">
        <w:r w:rsidR="00F4774D" w:rsidRPr="00F4774D">
          <w:rPr>
            <w:rStyle w:val="Hyperlink"/>
            <w:sz w:val="23"/>
            <w:szCs w:val="23"/>
            <w:lang w:eastAsia="en-GB"/>
          </w:rPr>
          <w:t>West Sussex</w:t>
        </w:r>
      </w:hyperlink>
    </w:p>
    <w:p w14:paraId="2BE83F4C" w14:textId="77777777" w:rsidR="00F4774D" w:rsidRPr="00F4774D" w:rsidRDefault="00F4774D" w:rsidP="00F56AAE">
      <w:pPr>
        <w:rPr>
          <w:sz w:val="23"/>
          <w:szCs w:val="23"/>
          <w:lang w:eastAsia="en-GB"/>
        </w:rPr>
        <w:sectPr w:rsidR="00F4774D" w:rsidRPr="00F4774D" w:rsidSect="00F4774D">
          <w:type w:val="continuous"/>
          <w:pgSz w:w="11906" w:h="16838"/>
          <w:pgMar w:top="720" w:right="720" w:bottom="720" w:left="720" w:header="708" w:footer="708" w:gutter="0"/>
          <w:cols w:num="3" w:space="708"/>
          <w:docGrid w:linePitch="360"/>
        </w:sectPr>
      </w:pPr>
    </w:p>
    <w:p w14:paraId="2327D8FA" w14:textId="77777777" w:rsidR="001B76B7" w:rsidRPr="00F4774D" w:rsidRDefault="001B76B7" w:rsidP="00F56AAE">
      <w:pPr>
        <w:rPr>
          <w:sz w:val="23"/>
          <w:szCs w:val="23"/>
          <w:lang w:eastAsia="en-GB"/>
        </w:rPr>
      </w:pPr>
    </w:p>
    <w:p w14:paraId="1E576DFE" w14:textId="6CF7B2C7" w:rsidR="00F56AAE" w:rsidRPr="00F56AAE" w:rsidRDefault="00F56AAE" w:rsidP="00F56AAE">
      <w:pPr>
        <w:rPr>
          <w:b/>
          <w:bCs/>
          <w:i/>
          <w:iCs/>
          <w:sz w:val="23"/>
          <w:szCs w:val="23"/>
          <w:lang w:eastAsia="en-GB"/>
        </w:rPr>
      </w:pPr>
      <w:r w:rsidRPr="00F56AAE">
        <w:rPr>
          <w:b/>
          <w:bCs/>
          <w:i/>
          <w:iCs/>
          <w:sz w:val="23"/>
          <w:szCs w:val="23"/>
          <w:lang w:eastAsia="en-GB"/>
        </w:rPr>
        <w:t>Objectives</w:t>
      </w:r>
      <w:r w:rsidR="00EA57FB" w:rsidRPr="00F4774D">
        <w:rPr>
          <w:b/>
          <w:bCs/>
          <w:i/>
          <w:iCs/>
          <w:sz w:val="23"/>
          <w:szCs w:val="23"/>
          <w:lang w:eastAsia="en-GB"/>
        </w:rPr>
        <w:t>:</w:t>
      </w:r>
    </w:p>
    <w:p w14:paraId="78B1A99A" w14:textId="553CBAE0" w:rsidR="00810CC3" w:rsidRPr="00810CC3" w:rsidRDefault="00810CC3" w:rsidP="00810CC3">
      <w:pPr>
        <w:pStyle w:val="ListParagraph"/>
        <w:numPr>
          <w:ilvl w:val="0"/>
          <w:numId w:val="16"/>
        </w:numPr>
        <w:rPr>
          <w:sz w:val="23"/>
          <w:szCs w:val="23"/>
          <w:lang w:eastAsia="en-GB"/>
        </w:rPr>
      </w:pPr>
      <w:r w:rsidRPr="00F4774D">
        <w:rPr>
          <w:sz w:val="23"/>
          <w:szCs w:val="23"/>
          <w:lang w:eastAsia="en-GB"/>
        </w:rPr>
        <w:t>To use and share specialist knowledge, skills, and strategies already within the system to build capacity for early intervention; accelerating support for children and young people, who may otherwise be waiting for referrals to specialist services without additional support.</w:t>
      </w:r>
    </w:p>
    <w:p w14:paraId="1B236C56" w14:textId="4439CE71" w:rsidR="00F56AAE" w:rsidRPr="00F4774D" w:rsidRDefault="00F56AAE" w:rsidP="001E0B74">
      <w:pPr>
        <w:pStyle w:val="ListParagraph"/>
        <w:numPr>
          <w:ilvl w:val="0"/>
          <w:numId w:val="16"/>
        </w:numPr>
        <w:rPr>
          <w:sz w:val="23"/>
          <w:szCs w:val="23"/>
          <w:lang w:eastAsia="en-GB"/>
        </w:rPr>
      </w:pPr>
      <w:r w:rsidRPr="00F4774D">
        <w:rPr>
          <w:sz w:val="23"/>
          <w:szCs w:val="23"/>
          <w:lang w:eastAsia="en-GB"/>
        </w:rPr>
        <w:t>To provide parents and professionals with a comprehensive understanding of the support</w:t>
      </w:r>
      <w:r w:rsidR="001E0B74" w:rsidRPr="00F4774D">
        <w:rPr>
          <w:sz w:val="23"/>
          <w:szCs w:val="23"/>
          <w:lang w:eastAsia="en-GB"/>
        </w:rPr>
        <w:t xml:space="preserve"> and strategies available, which can be implemented at home and </w:t>
      </w:r>
      <w:r w:rsidRPr="00F4774D">
        <w:rPr>
          <w:sz w:val="23"/>
          <w:szCs w:val="23"/>
          <w:lang w:eastAsia="en-GB"/>
        </w:rPr>
        <w:t>within mainstream education settings for children with SEND.</w:t>
      </w:r>
    </w:p>
    <w:p w14:paraId="38FFE886" w14:textId="77777777" w:rsidR="00F56AAE" w:rsidRPr="00F4774D" w:rsidRDefault="00F56AAE" w:rsidP="001E0B74">
      <w:pPr>
        <w:pStyle w:val="ListParagraph"/>
        <w:numPr>
          <w:ilvl w:val="0"/>
          <w:numId w:val="16"/>
        </w:numPr>
        <w:rPr>
          <w:sz w:val="23"/>
          <w:szCs w:val="23"/>
          <w:lang w:eastAsia="en-GB"/>
        </w:rPr>
      </w:pPr>
      <w:r w:rsidRPr="00F4774D">
        <w:rPr>
          <w:sz w:val="23"/>
          <w:szCs w:val="23"/>
          <w:lang w:eastAsia="en-GB"/>
        </w:rPr>
        <w:t>To empower parents and professionals to advocate effectively for their child or students by equipping them with relevant information and resources.</w:t>
      </w:r>
    </w:p>
    <w:p w14:paraId="4C8828E2" w14:textId="77777777" w:rsidR="00F56AAE" w:rsidRPr="00F4774D" w:rsidRDefault="00F56AAE" w:rsidP="001E0B74">
      <w:pPr>
        <w:pStyle w:val="ListParagraph"/>
        <w:numPr>
          <w:ilvl w:val="0"/>
          <w:numId w:val="16"/>
        </w:numPr>
        <w:rPr>
          <w:sz w:val="23"/>
          <w:szCs w:val="23"/>
          <w:lang w:eastAsia="en-GB"/>
        </w:rPr>
      </w:pPr>
      <w:r w:rsidRPr="00F4774D">
        <w:rPr>
          <w:sz w:val="23"/>
          <w:szCs w:val="23"/>
          <w:lang w:eastAsia="en-GB"/>
        </w:rPr>
        <w:t>To promote inclusivity and accessibility within educational settings by raising awareness of available provisions and encouraging their implementation.</w:t>
      </w:r>
    </w:p>
    <w:p w14:paraId="1E953587" w14:textId="5157F4CF" w:rsidR="00F56AAE" w:rsidRPr="00F4774D" w:rsidRDefault="00F56AAE" w:rsidP="001E0B74">
      <w:pPr>
        <w:pStyle w:val="ListParagraph"/>
        <w:numPr>
          <w:ilvl w:val="0"/>
          <w:numId w:val="16"/>
        </w:numPr>
        <w:rPr>
          <w:sz w:val="23"/>
          <w:szCs w:val="23"/>
          <w:lang w:eastAsia="en-GB"/>
        </w:rPr>
      </w:pPr>
      <w:r w:rsidRPr="00F4774D">
        <w:rPr>
          <w:sz w:val="23"/>
          <w:szCs w:val="23"/>
          <w:lang w:eastAsia="en-GB"/>
        </w:rPr>
        <w:lastRenderedPageBreak/>
        <w:t xml:space="preserve">To facilitate collaboration and communication between parents, educators, and other stakeholders involved in supporting children </w:t>
      </w:r>
      <w:r w:rsidR="001E0B74" w:rsidRPr="00F4774D">
        <w:rPr>
          <w:sz w:val="23"/>
          <w:szCs w:val="23"/>
          <w:lang w:eastAsia="en-GB"/>
        </w:rPr>
        <w:t xml:space="preserve">and young people </w:t>
      </w:r>
      <w:r w:rsidRPr="00F4774D">
        <w:rPr>
          <w:sz w:val="23"/>
          <w:szCs w:val="23"/>
          <w:lang w:eastAsia="en-GB"/>
        </w:rPr>
        <w:t>with SEND.</w:t>
      </w:r>
    </w:p>
    <w:p w14:paraId="60B478BE" w14:textId="77777777" w:rsidR="001E0B74" w:rsidRPr="00F4774D" w:rsidRDefault="001E0B74" w:rsidP="00F56AAE">
      <w:pPr>
        <w:rPr>
          <w:sz w:val="23"/>
          <w:szCs w:val="23"/>
          <w:lang w:eastAsia="en-GB"/>
        </w:rPr>
      </w:pPr>
    </w:p>
    <w:p w14:paraId="5D334433" w14:textId="1F9B9EFF" w:rsidR="00F56AAE" w:rsidRPr="00F56AAE" w:rsidRDefault="00EA57FB" w:rsidP="00F56AAE">
      <w:pPr>
        <w:rPr>
          <w:b/>
          <w:bCs/>
          <w:i/>
          <w:iCs/>
          <w:sz w:val="23"/>
          <w:szCs w:val="23"/>
          <w:lang w:eastAsia="en-GB"/>
        </w:rPr>
      </w:pPr>
      <w:r w:rsidRPr="00F4774D">
        <w:rPr>
          <w:b/>
          <w:bCs/>
          <w:i/>
          <w:iCs/>
          <w:sz w:val="23"/>
          <w:szCs w:val="23"/>
          <w:lang w:eastAsia="en-GB"/>
        </w:rPr>
        <w:t>Key Concepts of the OAP guide:</w:t>
      </w:r>
    </w:p>
    <w:p w14:paraId="12CC2F4C" w14:textId="78C5FC6A" w:rsidR="00F56AAE" w:rsidRPr="00F56AAE" w:rsidRDefault="00F56AAE" w:rsidP="00F56AAE">
      <w:pPr>
        <w:rPr>
          <w:sz w:val="23"/>
          <w:szCs w:val="23"/>
          <w:lang w:eastAsia="en-GB"/>
        </w:rPr>
      </w:pPr>
      <w:r w:rsidRPr="00F56AAE">
        <w:rPr>
          <w:sz w:val="23"/>
          <w:szCs w:val="23"/>
          <w:lang w:eastAsia="en-GB"/>
        </w:rPr>
        <w:t>Collaborate with experts in the field</w:t>
      </w:r>
      <w:r w:rsidR="00810CC3">
        <w:rPr>
          <w:sz w:val="23"/>
          <w:szCs w:val="23"/>
          <w:lang w:eastAsia="en-GB"/>
        </w:rPr>
        <w:t xml:space="preserve"> (health, education, CSC, SEND parents etc.) </w:t>
      </w:r>
      <w:r w:rsidRPr="00F56AAE">
        <w:rPr>
          <w:sz w:val="23"/>
          <w:szCs w:val="23"/>
          <w:lang w:eastAsia="en-GB"/>
        </w:rPr>
        <w:t>to develop a comprehensive guide outlining the support and resources available within mainstream education settings for children with SEND. The guide should cover a wide range of topics, including but not limited to:</w:t>
      </w:r>
    </w:p>
    <w:p w14:paraId="37F9E404" w14:textId="77777777" w:rsidR="00EA57FB" w:rsidRPr="00F4774D" w:rsidRDefault="00EA57FB" w:rsidP="00F56AAE">
      <w:pPr>
        <w:rPr>
          <w:sz w:val="23"/>
          <w:szCs w:val="23"/>
          <w:lang w:eastAsia="en-GB"/>
        </w:rPr>
      </w:pPr>
    </w:p>
    <w:p w14:paraId="3E3F3720" w14:textId="77EC1BF8" w:rsidR="00F56AAE" w:rsidRPr="00F4774D" w:rsidRDefault="00F56AAE" w:rsidP="00EA57FB">
      <w:pPr>
        <w:pStyle w:val="ListParagraph"/>
        <w:numPr>
          <w:ilvl w:val="0"/>
          <w:numId w:val="17"/>
        </w:numPr>
        <w:rPr>
          <w:sz w:val="23"/>
          <w:szCs w:val="23"/>
          <w:lang w:eastAsia="en-GB"/>
        </w:rPr>
      </w:pPr>
      <w:r w:rsidRPr="00F4774D">
        <w:rPr>
          <w:sz w:val="23"/>
          <w:szCs w:val="23"/>
          <w:lang w:eastAsia="en-GB"/>
        </w:rPr>
        <w:t>Different types of SEND and their characteristics.</w:t>
      </w:r>
    </w:p>
    <w:p w14:paraId="1A32892A" w14:textId="77777777" w:rsidR="00F56AAE" w:rsidRPr="00F4774D" w:rsidRDefault="00F56AAE" w:rsidP="00EA57FB">
      <w:pPr>
        <w:pStyle w:val="ListParagraph"/>
        <w:numPr>
          <w:ilvl w:val="0"/>
          <w:numId w:val="17"/>
        </w:numPr>
        <w:rPr>
          <w:sz w:val="23"/>
          <w:szCs w:val="23"/>
          <w:lang w:eastAsia="en-GB"/>
        </w:rPr>
      </w:pPr>
      <w:r w:rsidRPr="00F4774D">
        <w:rPr>
          <w:sz w:val="23"/>
          <w:szCs w:val="23"/>
          <w:lang w:eastAsia="en-GB"/>
        </w:rPr>
        <w:t>Strategies for identifying and assessing SEND.</w:t>
      </w:r>
    </w:p>
    <w:p w14:paraId="1FC4CF20" w14:textId="5D254321" w:rsidR="00F56AAE" w:rsidRPr="00F4774D" w:rsidRDefault="00F56AAE" w:rsidP="00EA57FB">
      <w:pPr>
        <w:pStyle w:val="ListParagraph"/>
        <w:numPr>
          <w:ilvl w:val="0"/>
          <w:numId w:val="17"/>
        </w:numPr>
        <w:rPr>
          <w:sz w:val="23"/>
          <w:szCs w:val="23"/>
          <w:lang w:eastAsia="en-GB"/>
        </w:rPr>
      </w:pPr>
      <w:r w:rsidRPr="00F4774D">
        <w:rPr>
          <w:sz w:val="23"/>
          <w:szCs w:val="23"/>
          <w:lang w:eastAsia="en-GB"/>
        </w:rPr>
        <w:t>Interventions and accommodations available within mainstream classrooms</w:t>
      </w:r>
      <w:r w:rsidR="00EA57FB" w:rsidRPr="00F4774D">
        <w:rPr>
          <w:sz w:val="23"/>
          <w:szCs w:val="23"/>
          <w:lang w:eastAsia="en-GB"/>
        </w:rPr>
        <w:t xml:space="preserve"> and a range of settings including home</w:t>
      </w:r>
      <w:r w:rsidRPr="00F4774D">
        <w:rPr>
          <w:sz w:val="23"/>
          <w:szCs w:val="23"/>
          <w:lang w:eastAsia="en-GB"/>
        </w:rPr>
        <w:t>.</w:t>
      </w:r>
    </w:p>
    <w:p w14:paraId="5C4AC14F" w14:textId="77777777" w:rsidR="00F56AAE" w:rsidRPr="00F4774D" w:rsidRDefault="00F56AAE" w:rsidP="00EA57FB">
      <w:pPr>
        <w:pStyle w:val="ListParagraph"/>
        <w:numPr>
          <w:ilvl w:val="0"/>
          <w:numId w:val="17"/>
        </w:numPr>
        <w:rPr>
          <w:sz w:val="23"/>
          <w:szCs w:val="23"/>
          <w:lang w:eastAsia="en-GB"/>
        </w:rPr>
      </w:pPr>
      <w:r w:rsidRPr="00F4774D">
        <w:rPr>
          <w:sz w:val="23"/>
          <w:szCs w:val="23"/>
          <w:lang w:eastAsia="en-GB"/>
        </w:rPr>
        <w:t>Rights and entitlements of children with SEND and their families.</w:t>
      </w:r>
    </w:p>
    <w:p w14:paraId="3AE6E6DD" w14:textId="77777777" w:rsidR="00F56AAE" w:rsidRPr="00F4774D" w:rsidRDefault="00F56AAE" w:rsidP="00EA57FB">
      <w:pPr>
        <w:pStyle w:val="ListParagraph"/>
        <w:numPr>
          <w:ilvl w:val="0"/>
          <w:numId w:val="17"/>
        </w:numPr>
        <w:rPr>
          <w:sz w:val="23"/>
          <w:szCs w:val="23"/>
          <w:lang w:eastAsia="en-GB"/>
        </w:rPr>
      </w:pPr>
      <w:r w:rsidRPr="00F4774D">
        <w:rPr>
          <w:sz w:val="23"/>
          <w:szCs w:val="23"/>
          <w:lang w:eastAsia="en-GB"/>
        </w:rPr>
        <w:t>Practical tips for effective advocacy and collaboration.</w:t>
      </w:r>
    </w:p>
    <w:p w14:paraId="5A2CEAD9" w14:textId="77777777" w:rsidR="00EA57FB" w:rsidRPr="00F4774D" w:rsidRDefault="00EA57FB" w:rsidP="00F56AAE">
      <w:pPr>
        <w:rPr>
          <w:sz w:val="23"/>
          <w:szCs w:val="23"/>
          <w:lang w:eastAsia="en-GB"/>
        </w:rPr>
      </w:pPr>
    </w:p>
    <w:p w14:paraId="4489E1EA" w14:textId="77777777" w:rsidR="00EA57FB" w:rsidRPr="00F4774D" w:rsidRDefault="00F56AAE" w:rsidP="00F56AAE">
      <w:pPr>
        <w:rPr>
          <w:b/>
          <w:bCs/>
          <w:i/>
          <w:iCs/>
          <w:sz w:val="23"/>
          <w:szCs w:val="23"/>
          <w:lang w:eastAsia="en-GB"/>
        </w:rPr>
      </w:pPr>
      <w:r w:rsidRPr="00F56AAE">
        <w:rPr>
          <w:b/>
          <w:bCs/>
          <w:i/>
          <w:iCs/>
          <w:sz w:val="23"/>
          <w:szCs w:val="23"/>
          <w:lang w:eastAsia="en-GB"/>
        </w:rPr>
        <w:t xml:space="preserve">Distribution and dissemination: </w:t>
      </w:r>
    </w:p>
    <w:p w14:paraId="47338D18" w14:textId="083A6D90" w:rsidR="00F56AAE" w:rsidRPr="00F56AAE" w:rsidRDefault="00F56AAE" w:rsidP="00F56AAE">
      <w:pPr>
        <w:rPr>
          <w:sz w:val="23"/>
          <w:szCs w:val="23"/>
          <w:lang w:eastAsia="en-GB"/>
        </w:rPr>
      </w:pPr>
      <w:r w:rsidRPr="00F56AAE">
        <w:rPr>
          <w:sz w:val="23"/>
          <w:szCs w:val="23"/>
          <w:lang w:eastAsia="en-GB"/>
        </w:rPr>
        <w:t>Once developed, the OAP guide should be made readily available to parents, educators, healthcare professionals, and other relevant stakeholders. It can be distributed through various channels, including:</w:t>
      </w:r>
    </w:p>
    <w:p w14:paraId="24EA1A23" w14:textId="77777777" w:rsidR="00EA57FB" w:rsidRPr="00F4774D" w:rsidRDefault="00EA57FB" w:rsidP="00F56AAE">
      <w:pPr>
        <w:rPr>
          <w:sz w:val="23"/>
          <w:szCs w:val="23"/>
          <w:lang w:eastAsia="en-GB"/>
        </w:rPr>
      </w:pPr>
    </w:p>
    <w:p w14:paraId="1FB89F46" w14:textId="302F62B2" w:rsidR="00F56AAE" w:rsidRPr="00F4774D" w:rsidRDefault="00F56AAE" w:rsidP="00EA57FB">
      <w:pPr>
        <w:pStyle w:val="ListParagraph"/>
        <w:numPr>
          <w:ilvl w:val="0"/>
          <w:numId w:val="18"/>
        </w:numPr>
        <w:rPr>
          <w:sz w:val="23"/>
          <w:szCs w:val="23"/>
          <w:lang w:eastAsia="en-GB"/>
        </w:rPr>
      </w:pPr>
      <w:r w:rsidRPr="00F4774D">
        <w:rPr>
          <w:sz w:val="23"/>
          <w:szCs w:val="23"/>
          <w:lang w:eastAsia="en-GB"/>
        </w:rPr>
        <w:t>School websites and newsletters.</w:t>
      </w:r>
    </w:p>
    <w:p w14:paraId="08C2F3D6" w14:textId="5E71565B" w:rsidR="00F56AAE" w:rsidRPr="00F4774D" w:rsidRDefault="00F56AAE" w:rsidP="00EA57FB">
      <w:pPr>
        <w:pStyle w:val="ListParagraph"/>
        <w:numPr>
          <w:ilvl w:val="0"/>
          <w:numId w:val="18"/>
        </w:numPr>
        <w:rPr>
          <w:sz w:val="23"/>
          <w:szCs w:val="23"/>
          <w:lang w:eastAsia="en-GB"/>
        </w:rPr>
      </w:pPr>
      <w:r w:rsidRPr="00F4774D">
        <w:rPr>
          <w:sz w:val="23"/>
          <w:szCs w:val="23"/>
          <w:lang w:eastAsia="en-GB"/>
        </w:rPr>
        <w:t>Parent-teacher associations</w:t>
      </w:r>
      <w:r w:rsidR="00810CC3">
        <w:rPr>
          <w:sz w:val="23"/>
          <w:szCs w:val="23"/>
          <w:lang w:eastAsia="en-GB"/>
        </w:rPr>
        <w:t xml:space="preserve">, parent forums and </w:t>
      </w:r>
      <w:r w:rsidRPr="00F4774D">
        <w:rPr>
          <w:sz w:val="23"/>
          <w:szCs w:val="23"/>
          <w:lang w:eastAsia="en-GB"/>
        </w:rPr>
        <w:t>support groups.</w:t>
      </w:r>
    </w:p>
    <w:p w14:paraId="3A10FD15" w14:textId="74555422" w:rsidR="00F56AAE" w:rsidRPr="00F4774D" w:rsidRDefault="00EA57FB" w:rsidP="00EA57FB">
      <w:pPr>
        <w:pStyle w:val="ListParagraph"/>
        <w:numPr>
          <w:ilvl w:val="0"/>
          <w:numId w:val="18"/>
        </w:numPr>
        <w:rPr>
          <w:sz w:val="23"/>
          <w:szCs w:val="23"/>
          <w:lang w:eastAsia="en-GB"/>
        </w:rPr>
      </w:pPr>
      <w:r w:rsidRPr="00F4774D">
        <w:rPr>
          <w:sz w:val="23"/>
          <w:szCs w:val="23"/>
          <w:lang w:eastAsia="en-GB"/>
        </w:rPr>
        <w:t>Waltham Forest Hub</w:t>
      </w:r>
      <w:r w:rsidR="00F56AAE" w:rsidRPr="00F4774D">
        <w:rPr>
          <w:sz w:val="23"/>
          <w:szCs w:val="23"/>
          <w:lang w:eastAsia="en-GB"/>
        </w:rPr>
        <w:t xml:space="preserve"> and educational organi</w:t>
      </w:r>
      <w:r w:rsidRPr="00F4774D">
        <w:rPr>
          <w:sz w:val="23"/>
          <w:szCs w:val="23"/>
          <w:lang w:eastAsia="en-GB"/>
        </w:rPr>
        <w:t>s</w:t>
      </w:r>
      <w:r w:rsidR="00F56AAE" w:rsidRPr="00F4774D">
        <w:rPr>
          <w:sz w:val="23"/>
          <w:szCs w:val="23"/>
          <w:lang w:eastAsia="en-GB"/>
        </w:rPr>
        <w:t>ations.</w:t>
      </w:r>
    </w:p>
    <w:p w14:paraId="38C9EC24" w14:textId="77777777" w:rsidR="00F56AAE" w:rsidRPr="00F4774D" w:rsidRDefault="00F56AAE" w:rsidP="00EA57FB">
      <w:pPr>
        <w:pStyle w:val="ListParagraph"/>
        <w:numPr>
          <w:ilvl w:val="0"/>
          <w:numId w:val="18"/>
        </w:numPr>
        <w:rPr>
          <w:sz w:val="23"/>
          <w:szCs w:val="23"/>
          <w:lang w:eastAsia="en-GB"/>
        </w:rPr>
      </w:pPr>
      <w:r w:rsidRPr="00F4774D">
        <w:rPr>
          <w:sz w:val="23"/>
          <w:szCs w:val="23"/>
          <w:lang w:eastAsia="en-GB"/>
        </w:rPr>
        <w:t>Healthcare facilities and clinics.</w:t>
      </w:r>
    </w:p>
    <w:p w14:paraId="3574EEEE" w14:textId="77777777" w:rsidR="00F56AAE" w:rsidRPr="00F4774D" w:rsidRDefault="00F56AAE" w:rsidP="00EA57FB">
      <w:pPr>
        <w:pStyle w:val="ListParagraph"/>
        <w:numPr>
          <w:ilvl w:val="0"/>
          <w:numId w:val="18"/>
        </w:numPr>
        <w:rPr>
          <w:sz w:val="23"/>
          <w:szCs w:val="23"/>
          <w:lang w:eastAsia="en-GB"/>
        </w:rPr>
      </w:pPr>
      <w:r w:rsidRPr="00F4774D">
        <w:rPr>
          <w:sz w:val="23"/>
          <w:szCs w:val="23"/>
          <w:lang w:eastAsia="en-GB"/>
        </w:rPr>
        <w:t>Online platforms and social media channels.</w:t>
      </w:r>
    </w:p>
    <w:p w14:paraId="2289E26F" w14:textId="77777777" w:rsidR="00EA57FB" w:rsidRPr="00F4774D" w:rsidRDefault="00EA57FB" w:rsidP="00F56AAE">
      <w:pPr>
        <w:rPr>
          <w:sz w:val="23"/>
          <w:szCs w:val="23"/>
          <w:lang w:eastAsia="en-GB"/>
        </w:rPr>
      </w:pPr>
    </w:p>
    <w:p w14:paraId="09D3AFFA" w14:textId="77777777" w:rsidR="00EA57FB" w:rsidRPr="00F4774D" w:rsidRDefault="00F56AAE" w:rsidP="00F56AAE">
      <w:pPr>
        <w:rPr>
          <w:b/>
          <w:bCs/>
          <w:i/>
          <w:iCs/>
          <w:sz w:val="23"/>
          <w:szCs w:val="23"/>
          <w:lang w:eastAsia="en-GB"/>
        </w:rPr>
      </w:pPr>
      <w:r w:rsidRPr="00F56AAE">
        <w:rPr>
          <w:b/>
          <w:bCs/>
          <w:i/>
          <w:iCs/>
          <w:sz w:val="23"/>
          <w:szCs w:val="23"/>
          <w:lang w:eastAsia="en-GB"/>
        </w:rPr>
        <w:t xml:space="preserve">Training and workshops: </w:t>
      </w:r>
    </w:p>
    <w:p w14:paraId="61FEEFBC" w14:textId="5EBAB295" w:rsidR="00F56AAE" w:rsidRPr="00F4774D" w:rsidRDefault="00F56AAE" w:rsidP="00F56AAE">
      <w:pPr>
        <w:rPr>
          <w:sz w:val="23"/>
          <w:szCs w:val="23"/>
          <w:lang w:eastAsia="en-GB"/>
        </w:rPr>
      </w:pPr>
      <w:r w:rsidRPr="00F56AAE">
        <w:rPr>
          <w:sz w:val="23"/>
          <w:szCs w:val="23"/>
          <w:lang w:eastAsia="en-GB"/>
        </w:rPr>
        <w:t>Offer training sessions and workshops for parents, educators, and other professionals to familiari</w:t>
      </w:r>
      <w:r w:rsidR="00EA57FB" w:rsidRPr="00F4774D">
        <w:rPr>
          <w:sz w:val="23"/>
          <w:szCs w:val="23"/>
          <w:lang w:eastAsia="en-GB"/>
        </w:rPr>
        <w:t>s</w:t>
      </w:r>
      <w:r w:rsidRPr="00F56AAE">
        <w:rPr>
          <w:sz w:val="23"/>
          <w:szCs w:val="23"/>
          <w:lang w:eastAsia="en-GB"/>
        </w:rPr>
        <w:t>e them with the contents of the OAP guide and how to effectively utilize it. These sessions can cover topics such as understanding SEND, implementing inclusive practices, and advocating for children with SEND.</w:t>
      </w:r>
    </w:p>
    <w:p w14:paraId="36014BB6" w14:textId="77777777" w:rsidR="00EA57FB" w:rsidRPr="00F56AAE" w:rsidRDefault="00EA57FB" w:rsidP="00F56AAE">
      <w:pPr>
        <w:rPr>
          <w:sz w:val="23"/>
          <w:szCs w:val="23"/>
          <w:lang w:eastAsia="en-GB"/>
        </w:rPr>
      </w:pPr>
    </w:p>
    <w:p w14:paraId="3B4F0ADF" w14:textId="77777777" w:rsidR="00EA57FB" w:rsidRPr="00F4774D" w:rsidRDefault="00F56AAE" w:rsidP="00F56AAE">
      <w:pPr>
        <w:rPr>
          <w:b/>
          <w:bCs/>
          <w:i/>
          <w:iCs/>
          <w:sz w:val="23"/>
          <w:szCs w:val="23"/>
          <w:lang w:eastAsia="en-GB"/>
        </w:rPr>
      </w:pPr>
      <w:r w:rsidRPr="00F56AAE">
        <w:rPr>
          <w:b/>
          <w:bCs/>
          <w:i/>
          <w:iCs/>
          <w:sz w:val="23"/>
          <w:szCs w:val="23"/>
          <w:lang w:eastAsia="en-GB"/>
        </w:rPr>
        <w:t xml:space="preserve">Monitoring and evaluation: </w:t>
      </w:r>
    </w:p>
    <w:p w14:paraId="0C3FDFE2" w14:textId="6260D012" w:rsidR="00F56AAE" w:rsidRPr="00F56AAE" w:rsidRDefault="00F56AAE" w:rsidP="00F56AAE">
      <w:pPr>
        <w:rPr>
          <w:sz w:val="23"/>
          <w:szCs w:val="23"/>
          <w:lang w:eastAsia="en-GB"/>
        </w:rPr>
      </w:pPr>
      <w:r w:rsidRPr="00F56AAE">
        <w:rPr>
          <w:sz w:val="23"/>
          <w:szCs w:val="23"/>
          <w:lang w:eastAsia="en-GB"/>
        </w:rPr>
        <w:t>Establish mechanisms for monitoring the adoption and impact of the OAP guide. Collect feedback from parents, educators, and other stakeholders to identify areas for improvement and ensure ongoing relevance and effectiveness.</w:t>
      </w:r>
    </w:p>
    <w:p w14:paraId="097AD038" w14:textId="77777777" w:rsidR="00EA57FB" w:rsidRPr="00F4774D" w:rsidRDefault="00EA57FB" w:rsidP="00F56AAE">
      <w:pPr>
        <w:rPr>
          <w:sz w:val="23"/>
          <w:szCs w:val="23"/>
          <w:lang w:eastAsia="en-GB"/>
        </w:rPr>
      </w:pPr>
    </w:p>
    <w:p w14:paraId="097C99C0" w14:textId="6AA86477" w:rsidR="00F56AAE" w:rsidRPr="00F56AAE" w:rsidRDefault="00EA57FB" w:rsidP="00F56AAE">
      <w:pPr>
        <w:rPr>
          <w:b/>
          <w:bCs/>
          <w:i/>
          <w:iCs/>
          <w:sz w:val="23"/>
          <w:szCs w:val="23"/>
          <w:lang w:eastAsia="en-GB"/>
        </w:rPr>
      </w:pPr>
      <w:r w:rsidRPr="00F4774D">
        <w:rPr>
          <w:b/>
          <w:bCs/>
          <w:i/>
          <w:iCs/>
          <w:sz w:val="23"/>
          <w:szCs w:val="23"/>
          <w:lang w:eastAsia="en-GB"/>
        </w:rPr>
        <w:t>Timeline:</w:t>
      </w:r>
    </w:p>
    <w:p w14:paraId="0C231A84" w14:textId="33474C86" w:rsidR="00F56AAE" w:rsidRPr="00F56AAE" w:rsidRDefault="00F56AAE" w:rsidP="00F56AAE">
      <w:pPr>
        <w:rPr>
          <w:sz w:val="23"/>
          <w:szCs w:val="23"/>
          <w:lang w:eastAsia="en-GB"/>
        </w:rPr>
      </w:pPr>
      <w:r w:rsidRPr="00F56AAE">
        <w:rPr>
          <w:sz w:val="23"/>
          <w:szCs w:val="23"/>
          <w:lang w:eastAsia="en-GB"/>
        </w:rPr>
        <w:t xml:space="preserve">Development of OAP guide: </w:t>
      </w:r>
      <w:r w:rsidR="00EA57FB" w:rsidRPr="00F4774D">
        <w:rPr>
          <w:sz w:val="23"/>
          <w:szCs w:val="23"/>
          <w:lang w:eastAsia="en-GB"/>
        </w:rPr>
        <w:t>5</w:t>
      </w:r>
      <w:r w:rsidRPr="00F56AAE">
        <w:rPr>
          <w:sz w:val="23"/>
          <w:szCs w:val="23"/>
          <w:lang w:eastAsia="en-GB"/>
        </w:rPr>
        <w:t xml:space="preserve"> months</w:t>
      </w:r>
    </w:p>
    <w:p w14:paraId="39BD0389" w14:textId="77777777" w:rsidR="00F56AAE" w:rsidRPr="00F56AAE" w:rsidRDefault="00F56AAE" w:rsidP="00F56AAE">
      <w:pPr>
        <w:rPr>
          <w:sz w:val="23"/>
          <w:szCs w:val="23"/>
          <w:lang w:eastAsia="en-GB"/>
        </w:rPr>
      </w:pPr>
      <w:r w:rsidRPr="00F56AAE">
        <w:rPr>
          <w:sz w:val="23"/>
          <w:szCs w:val="23"/>
          <w:lang w:eastAsia="en-GB"/>
        </w:rPr>
        <w:t>Distribution and dissemination: Ongoing</w:t>
      </w:r>
    </w:p>
    <w:p w14:paraId="233D607C" w14:textId="7FC47618" w:rsidR="00F56AAE" w:rsidRPr="00F56AAE" w:rsidRDefault="00F56AAE" w:rsidP="00F56AAE">
      <w:pPr>
        <w:rPr>
          <w:sz w:val="23"/>
          <w:szCs w:val="23"/>
          <w:lang w:eastAsia="en-GB"/>
        </w:rPr>
      </w:pPr>
      <w:r w:rsidRPr="00F56AAE">
        <w:rPr>
          <w:sz w:val="23"/>
          <w:szCs w:val="23"/>
          <w:lang w:eastAsia="en-GB"/>
        </w:rPr>
        <w:t xml:space="preserve">Training and workshops: Conducted </w:t>
      </w:r>
      <w:r w:rsidR="003C490A">
        <w:rPr>
          <w:sz w:val="23"/>
          <w:szCs w:val="23"/>
          <w:lang w:eastAsia="en-GB"/>
        </w:rPr>
        <w:t>termly</w:t>
      </w:r>
    </w:p>
    <w:p w14:paraId="04AB33FE" w14:textId="6F5514CF" w:rsidR="00F56AAE" w:rsidRPr="00F56AAE" w:rsidRDefault="00F56AAE" w:rsidP="00F56AAE">
      <w:pPr>
        <w:rPr>
          <w:sz w:val="23"/>
          <w:szCs w:val="23"/>
          <w:lang w:eastAsia="en-GB"/>
        </w:rPr>
      </w:pPr>
      <w:r w:rsidRPr="00F56AAE">
        <w:rPr>
          <w:sz w:val="23"/>
          <w:szCs w:val="23"/>
          <w:lang w:eastAsia="en-GB"/>
        </w:rPr>
        <w:t xml:space="preserve">Monitoring and evaluation: </w:t>
      </w:r>
      <w:r w:rsidR="003C490A">
        <w:rPr>
          <w:sz w:val="23"/>
          <w:szCs w:val="23"/>
          <w:lang w:eastAsia="en-GB"/>
        </w:rPr>
        <w:t>Via SEND strategic board</w:t>
      </w:r>
    </w:p>
    <w:p w14:paraId="74B57426" w14:textId="77777777" w:rsidR="00EA57FB" w:rsidRPr="00F4774D" w:rsidRDefault="00EA57FB" w:rsidP="00F56AAE">
      <w:pPr>
        <w:rPr>
          <w:sz w:val="23"/>
          <w:szCs w:val="23"/>
          <w:lang w:eastAsia="en-GB"/>
        </w:rPr>
      </w:pPr>
    </w:p>
    <w:p w14:paraId="59775DE5" w14:textId="3BDFB4FE" w:rsidR="00EA57FB" w:rsidRPr="00F4774D" w:rsidRDefault="00F56AAE" w:rsidP="00F56AAE">
      <w:pPr>
        <w:rPr>
          <w:b/>
          <w:bCs/>
          <w:i/>
          <w:iCs/>
          <w:sz w:val="23"/>
          <w:szCs w:val="23"/>
          <w:lang w:eastAsia="en-GB"/>
        </w:rPr>
      </w:pPr>
      <w:r w:rsidRPr="00F56AAE">
        <w:rPr>
          <w:b/>
          <w:bCs/>
          <w:i/>
          <w:iCs/>
          <w:sz w:val="23"/>
          <w:szCs w:val="23"/>
          <w:lang w:eastAsia="en-GB"/>
        </w:rPr>
        <w:t xml:space="preserve">Budget: </w:t>
      </w:r>
    </w:p>
    <w:p w14:paraId="36F63A91" w14:textId="4C89D1D3" w:rsidR="00F56AAE" w:rsidRPr="00F4774D" w:rsidRDefault="00F56AAE" w:rsidP="00F56AAE">
      <w:pPr>
        <w:rPr>
          <w:sz w:val="23"/>
          <w:szCs w:val="23"/>
          <w:lang w:eastAsia="en-GB"/>
        </w:rPr>
      </w:pPr>
      <w:r w:rsidRPr="00F56AAE">
        <w:rPr>
          <w:sz w:val="23"/>
          <w:szCs w:val="23"/>
          <w:lang w:eastAsia="en-GB"/>
        </w:rPr>
        <w:t>The budget for this proposal will primarily cover the costs associated with the development</w:t>
      </w:r>
      <w:r w:rsidR="00EA57FB" w:rsidRPr="00F4774D">
        <w:rPr>
          <w:sz w:val="23"/>
          <w:szCs w:val="23"/>
          <w:lang w:eastAsia="en-GB"/>
        </w:rPr>
        <w:t xml:space="preserve"> </w:t>
      </w:r>
      <w:r w:rsidRPr="00F56AAE">
        <w:rPr>
          <w:sz w:val="23"/>
          <w:szCs w:val="23"/>
          <w:lang w:eastAsia="en-GB"/>
        </w:rPr>
        <w:t>and distribution of the OAP guide, as well as expenses related to training sessions and workshops. A detailed budget breakdown will be provided upon request</w:t>
      </w:r>
      <w:r w:rsidR="00EA57FB" w:rsidRPr="00F4774D">
        <w:rPr>
          <w:sz w:val="23"/>
          <w:szCs w:val="23"/>
          <w:lang w:eastAsia="en-GB"/>
        </w:rPr>
        <w:t xml:space="preserve"> once the initial proposal has been agreed</w:t>
      </w:r>
      <w:r w:rsidRPr="00F56AAE">
        <w:rPr>
          <w:sz w:val="23"/>
          <w:szCs w:val="23"/>
          <w:lang w:eastAsia="en-GB"/>
        </w:rPr>
        <w:t>.</w:t>
      </w:r>
    </w:p>
    <w:p w14:paraId="038F2C4B" w14:textId="77777777" w:rsidR="00EA57FB" w:rsidRPr="00F56AAE" w:rsidRDefault="00EA57FB" w:rsidP="00F56AAE">
      <w:pPr>
        <w:rPr>
          <w:sz w:val="23"/>
          <w:szCs w:val="23"/>
          <w:lang w:eastAsia="en-GB"/>
        </w:rPr>
      </w:pPr>
    </w:p>
    <w:p w14:paraId="1F31955C" w14:textId="0D9A21D8" w:rsidR="00F56AAE" w:rsidRPr="00F56AAE" w:rsidRDefault="00F56AAE" w:rsidP="00F56AAE">
      <w:pPr>
        <w:rPr>
          <w:sz w:val="23"/>
          <w:szCs w:val="23"/>
          <w:lang w:eastAsia="en-GB"/>
        </w:rPr>
      </w:pPr>
      <w:r w:rsidRPr="00F56AAE">
        <w:rPr>
          <w:sz w:val="23"/>
          <w:szCs w:val="23"/>
          <w:lang w:eastAsia="en-GB"/>
        </w:rPr>
        <w:t>The adoption of an Ordinarily Available Provision (OAP) guide has the potential to significantly enhance support for children with Special Educational Needs and Disabilities (SEND) within mainstream education settings</w:t>
      </w:r>
      <w:r w:rsidR="00EA57FB" w:rsidRPr="00F4774D">
        <w:rPr>
          <w:sz w:val="23"/>
          <w:szCs w:val="23"/>
          <w:lang w:eastAsia="en-GB"/>
        </w:rPr>
        <w:t xml:space="preserve"> and at home</w:t>
      </w:r>
      <w:r w:rsidRPr="00F56AAE">
        <w:rPr>
          <w:sz w:val="23"/>
          <w:szCs w:val="23"/>
          <w:lang w:eastAsia="en-GB"/>
        </w:rPr>
        <w:t>. By providing clear and accessible information about available provisions and resources, we can empower parents and professionals to better advocate for and support these children, ultimately fostering inclusivity and improving outcomes. We urge the stakeholders to support the adoption of this guide and collaborate in its implementation for the benefit of all children with SEND.</w:t>
      </w:r>
    </w:p>
    <w:p w14:paraId="2F38FCD3" w14:textId="77777777" w:rsidR="00C85C02" w:rsidRPr="00F4774D" w:rsidRDefault="00C85C02" w:rsidP="00D17023">
      <w:pPr>
        <w:rPr>
          <w:rFonts w:ascii="Century Gothic" w:hAnsi="Century Gothic"/>
          <w:sz w:val="23"/>
          <w:szCs w:val="23"/>
        </w:rPr>
      </w:pPr>
    </w:p>
    <w:sectPr w:rsidR="00C85C02" w:rsidRPr="00F4774D" w:rsidSect="00F4774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F04"/>
    <w:multiLevelType w:val="hybridMultilevel"/>
    <w:tmpl w:val="84B47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7C4CAF"/>
    <w:multiLevelType w:val="hybridMultilevel"/>
    <w:tmpl w:val="3C4C7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A4348B"/>
    <w:multiLevelType w:val="hybridMultilevel"/>
    <w:tmpl w:val="D234A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9B192A"/>
    <w:multiLevelType w:val="hybridMultilevel"/>
    <w:tmpl w:val="1F8CB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7E1FEB"/>
    <w:multiLevelType w:val="multilevel"/>
    <w:tmpl w:val="700C1D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EB4832"/>
    <w:multiLevelType w:val="hybridMultilevel"/>
    <w:tmpl w:val="BA083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527D08"/>
    <w:multiLevelType w:val="multilevel"/>
    <w:tmpl w:val="D05A86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DC2335"/>
    <w:multiLevelType w:val="multilevel"/>
    <w:tmpl w:val="A978D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D9169B"/>
    <w:multiLevelType w:val="multilevel"/>
    <w:tmpl w:val="D862DA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754054"/>
    <w:multiLevelType w:val="hybridMultilevel"/>
    <w:tmpl w:val="4A90F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D0463D"/>
    <w:multiLevelType w:val="hybridMultilevel"/>
    <w:tmpl w:val="8CE6D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AD072F"/>
    <w:multiLevelType w:val="multilevel"/>
    <w:tmpl w:val="84FA0D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452FB7"/>
    <w:multiLevelType w:val="hybridMultilevel"/>
    <w:tmpl w:val="58D0B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5C0F73"/>
    <w:multiLevelType w:val="hybridMultilevel"/>
    <w:tmpl w:val="B8DE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E57278"/>
    <w:multiLevelType w:val="multilevel"/>
    <w:tmpl w:val="6E80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130D96"/>
    <w:multiLevelType w:val="hybridMultilevel"/>
    <w:tmpl w:val="CB982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2E11D4"/>
    <w:multiLevelType w:val="hybridMultilevel"/>
    <w:tmpl w:val="7158D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BA23BE4"/>
    <w:multiLevelType w:val="multilevel"/>
    <w:tmpl w:val="C44AF3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4640987">
    <w:abstractNumId w:val="8"/>
  </w:num>
  <w:num w:numId="2" w16cid:durableId="1072310567">
    <w:abstractNumId w:val="6"/>
  </w:num>
  <w:num w:numId="3" w16cid:durableId="1316758595">
    <w:abstractNumId w:val="17"/>
  </w:num>
  <w:num w:numId="4" w16cid:durableId="401949500">
    <w:abstractNumId w:val="11"/>
  </w:num>
  <w:num w:numId="5" w16cid:durableId="2079743629">
    <w:abstractNumId w:val="0"/>
  </w:num>
  <w:num w:numId="6" w16cid:durableId="1919438089">
    <w:abstractNumId w:val="1"/>
  </w:num>
  <w:num w:numId="7" w16cid:durableId="1923679453">
    <w:abstractNumId w:val="10"/>
  </w:num>
  <w:num w:numId="8" w16cid:durableId="274678198">
    <w:abstractNumId w:val="2"/>
  </w:num>
  <w:num w:numId="9" w16cid:durableId="1782644991">
    <w:abstractNumId w:val="15"/>
  </w:num>
  <w:num w:numId="10" w16cid:durableId="138614185">
    <w:abstractNumId w:val="9"/>
  </w:num>
  <w:num w:numId="11" w16cid:durableId="1784883670">
    <w:abstractNumId w:val="5"/>
  </w:num>
  <w:num w:numId="12" w16cid:durableId="751707732">
    <w:abstractNumId w:val="3"/>
  </w:num>
  <w:num w:numId="13" w16cid:durableId="600646575">
    <w:abstractNumId w:val="7"/>
  </w:num>
  <w:num w:numId="14" w16cid:durableId="380442430">
    <w:abstractNumId w:val="4"/>
  </w:num>
  <w:num w:numId="15" w16cid:durableId="8603269">
    <w:abstractNumId w:val="14"/>
  </w:num>
  <w:num w:numId="16" w16cid:durableId="1816946776">
    <w:abstractNumId w:val="12"/>
  </w:num>
  <w:num w:numId="17" w16cid:durableId="2015646240">
    <w:abstractNumId w:val="13"/>
  </w:num>
  <w:num w:numId="18" w16cid:durableId="1531813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23"/>
    <w:rsid w:val="001B76B7"/>
    <w:rsid w:val="001E0B74"/>
    <w:rsid w:val="003C490A"/>
    <w:rsid w:val="006A6197"/>
    <w:rsid w:val="006B2817"/>
    <w:rsid w:val="00810CC3"/>
    <w:rsid w:val="008B304F"/>
    <w:rsid w:val="008C787C"/>
    <w:rsid w:val="00BC0BA3"/>
    <w:rsid w:val="00C85C02"/>
    <w:rsid w:val="00CB6FB4"/>
    <w:rsid w:val="00D17023"/>
    <w:rsid w:val="00DD1862"/>
    <w:rsid w:val="00EA57FB"/>
    <w:rsid w:val="00F4774D"/>
    <w:rsid w:val="00F56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AFC9"/>
  <w15:chartTrackingRefBased/>
  <w15:docId w15:val="{1D2ED18C-F76B-5B43-BE66-6B4C7B36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023"/>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D17023"/>
    <w:rPr>
      <w:b/>
      <w:bCs/>
    </w:rPr>
  </w:style>
  <w:style w:type="paragraph" w:styleId="z-TopofForm">
    <w:name w:val="HTML Top of Form"/>
    <w:basedOn w:val="Normal"/>
    <w:next w:val="Normal"/>
    <w:link w:val="z-TopofFormChar"/>
    <w:hidden/>
    <w:uiPriority w:val="99"/>
    <w:semiHidden/>
    <w:unhideWhenUsed/>
    <w:rsid w:val="00D17023"/>
    <w:pPr>
      <w:pBdr>
        <w:bottom w:val="single" w:sz="6" w:space="1" w:color="auto"/>
      </w:pBdr>
      <w:jc w:val="center"/>
    </w:pPr>
    <w:rPr>
      <w:rFonts w:ascii="Arial" w:eastAsia="Times New Roman" w:hAnsi="Arial" w:cs="Arial"/>
      <w:vanish/>
      <w:kern w:val="0"/>
      <w:sz w:val="16"/>
      <w:szCs w:val="16"/>
      <w:lang w:eastAsia="en-GB"/>
      <w14:ligatures w14:val="none"/>
    </w:rPr>
  </w:style>
  <w:style w:type="character" w:customStyle="1" w:styleId="z-TopofFormChar">
    <w:name w:val="z-Top of Form Char"/>
    <w:basedOn w:val="DefaultParagraphFont"/>
    <w:link w:val="z-TopofForm"/>
    <w:uiPriority w:val="99"/>
    <w:semiHidden/>
    <w:rsid w:val="00D17023"/>
    <w:rPr>
      <w:rFonts w:ascii="Arial" w:eastAsia="Times New Roman" w:hAnsi="Arial" w:cs="Arial"/>
      <w:vanish/>
      <w:kern w:val="0"/>
      <w:sz w:val="16"/>
      <w:szCs w:val="16"/>
      <w:lang w:eastAsia="en-GB"/>
      <w14:ligatures w14:val="none"/>
    </w:rPr>
  </w:style>
  <w:style w:type="paragraph" w:styleId="z-BottomofForm">
    <w:name w:val="HTML Bottom of Form"/>
    <w:basedOn w:val="Normal"/>
    <w:next w:val="Normal"/>
    <w:link w:val="z-BottomofFormChar"/>
    <w:hidden/>
    <w:uiPriority w:val="99"/>
    <w:semiHidden/>
    <w:unhideWhenUsed/>
    <w:rsid w:val="00D17023"/>
    <w:pPr>
      <w:pBdr>
        <w:top w:val="single" w:sz="6" w:space="1" w:color="auto"/>
      </w:pBdr>
      <w:jc w:val="center"/>
    </w:pPr>
    <w:rPr>
      <w:rFonts w:ascii="Arial" w:eastAsia="Times New Roman" w:hAnsi="Arial" w:cs="Arial"/>
      <w:vanish/>
      <w:kern w:val="0"/>
      <w:sz w:val="16"/>
      <w:szCs w:val="16"/>
      <w:lang w:eastAsia="en-GB"/>
      <w14:ligatures w14:val="none"/>
    </w:rPr>
  </w:style>
  <w:style w:type="character" w:customStyle="1" w:styleId="z-BottomofFormChar">
    <w:name w:val="z-Bottom of Form Char"/>
    <w:basedOn w:val="DefaultParagraphFont"/>
    <w:link w:val="z-BottomofForm"/>
    <w:uiPriority w:val="99"/>
    <w:semiHidden/>
    <w:rsid w:val="00D17023"/>
    <w:rPr>
      <w:rFonts w:ascii="Arial" w:eastAsia="Times New Roman" w:hAnsi="Arial" w:cs="Arial"/>
      <w:vanish/>
      <w:kern w:val="0"/>
      <w:sz w:val="16"/>
      <w:szCs w:val="16"/>
      <w:lang w:eastAsia="en-GB"/>
      <w14:ligatures w14:val="none"/>
    </w:rPr>
  </w:style>
  <w:style w:type="paragraph" w:styleId="ListParagraph">
    <w:name w:val="List Paragraph"/>
    <w:basedOn w:val="Normal"/>
    <w:uiPriority w:val="34"/>
    <w:qFormat/>
    <w:rsid w:val="00D17023"/>
    <w:pPr>
      <w:ind w:left="720"/>
      <w:contextualSpacing/>
    </w:pPr>
  </w:style>
  <w:style w:type="character" w:styleId="Hyperlink">
    <w:name w:val="Hyperlink"/>
    <w:basedOn w:val="DefaultParagraphFont"/>
    <w:uiPriority w:val="99"/>
    <w:unhideWhenUsed/>
    <w:rsid w:val="006B2817"/>
    <w:rPr>
      <w:color w:val="0563C1" w:themeColor="hyperlink"/>
      <w:u w:val="single"/>
    </w:rPr>
  </w:style>
  <w:style w:type="character" w:styleId="UnresolvedMention">
    <w:name w:val="Unresolved Mention"/>
    <w:basedOn w:val="DefaultParagraphFont"/>
    <w:uiPriority w:val="99"/>
    <w:semiHidden/>
    <w:unhideWhenUsed/>
    <w:rsid w:val="006B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1555">
      <w:bodyDiv w:val="1"/>
      <w:marLeft w:val="0"/>
      <w:marRight w:val="0"/>
      <w:marTop w:val="0"/>
      <w:marBottom w:val="0"/>
      <w:divBdr>
        <w:top w:val="none" w:sz="0" w:space="0" w:color="auto"/>
        <w:left w:val="none" w:sz="0" w:space="0" w:color="auto"/>
        <w:bottom w:val="none" w:sz="0" w:space="0" w:color="auto"/>
        <w:right w:val="none" w:sz="0" w:space="0" w:color="auto"/>
      </w:divBdr>
    </w:div>
    <w:div w:id="621889724">
      <w:bodyDiv w:val="1"/>
      <w:marLeft w:val="0"/>
      <w:marRight w:val="0"/>
      <w:marTop w:val="0"/>
      <w:marBottom w:val="0"/>
      <w:divBdr>
        <w:top w:val="none" w:sz="0" w:space="0" w:color="auto"/>
        <w:left w:val="none" w:sz="0" w:space="0" w:color="auto"/>
        <w:bottom w:val="none" w:sz="0" w:space="0" w:color="auto"/>
        <w:right w:val="none" w:sz="0" w:space="0" w:color="auto"/>
      </w:divBdr>
    </w:div>
    <w:div w:id="2125417698">
      <w:bodyDiv w:val="1"/>
      <w:marLeft w:val="0"/>
      <w:marRight w:val="0"/>
      <w:marTop w:val="0"/>
      <w:marBottom w:val="0"/>
      <w:divBdr>
        <w:top w:val="none" w:sz="0" w:space="0" w:color="auto"/>
        <w:left w:val="none" w:sz="0" w:space="0" w:color="auto"/>
        <w:bottom w:val="none" w:sz="0" w:space="0" w:color="auto"/>
        <w:right w:val="none" w:sz="0" w:space="0" w:color="auto"/>
      </w:divBdr>
      <w:divsChild>
        <w:div w:id="1461916552">
          <w:marLeft w:val="0"/>
          <w:marRight w:val="0"/>
          <w:marTop w:val="0"/>
          <w:marBottom w:val="0"/>
          <w:divBdr>
            <w:top w:val="single" w:sz="2" w:space="0" w:color="E3E3E3"/>
            <w:left w:val="single" w:sz="2" w:space="0" w:color="E3E3E3"/>
            <w:bottom w:val="single" w:sz="2" w:space="0" w:color="E3E3E3"/>
            <w:right w:val="single" w:sz="2" w:space="0" w:color="E3E3E3"/>
          </w:divBdr>
          <w:divsChild>
            <w:div w:id="241137174">
              <w:marLeft w:val="0"/>
              <w:marRight w:val="0"/>
              <w:marTop w:val="0"/>
              <w:marBottom w:val="0"/>
              <w:divBdr>
                <w:top w:val="single" w:sz="2" w:space="0" w:color="E3E3E3"/>
                <w:left w:val="single" w:sz="2" w:space="0" w:color="E3E3E3"/>
                <w:bottom w:val="single" w:sz="2" w:space="0" w:color="E3E3E3"/>
                <w:right w:val="single" w:sz="2" w:space="0" w:color="E3E3E3"/>
              </w:divBdr>
              <w:divsChild>
                <w:div w:id="2138453660">
                  <w:marLeft w:val="0"/>
                  <w:marRight w:val="0"/>
                  <w:marTop w:val="0"/>
                  <w:marBottom w:val="0"/>
                  <w:divBdr>
                    <w:top w:val="single" w:sz="2" w:space="0" w:color="E3E3E3"/>
                    <w:left w:val="single" w:sz="2" w:space="0" w:color="E3E3E3"/>
                    <w:bottom w:val="single" w:sz="2" w:space="0" w:color="E3E3E3"/>
                    <w:right w:val="single" w:sz="2" w:space="0" w:color="E3E3E3"/>
                  </w:divBdr>
                  <w:divsChild>
                    <w:div w:id="1324353550">
                      <w:marLeft w:val="0"/>
                      <w:marRight w:val="0"/>
                      <w:marTop w:val="0"/>
                      <w:marBottom w:val="0"/>
                      <w:divBdr>
                        <w:top w:val="single" w:sz="2" w:space="0" w:color="E3E3E3"/>
                        <w:left w:val="single" w:sz="2" w:space="0" w:color="E3E3E3"/>
                        <w:bottom w:val="single" w:sz="2" w:space="0" w:color="E3E3E3"/>
                        <w:right w:val="single" w:sz="2" w:space="0" w:color="E3E3E3"/>
                      </w:divBdr>
                      <w:divsChild>
                        <w:div w:id="1435443571">
                          <w:marLeft w:val="0"/>
                          <w:marRight w:val="0"/>
                          <w:marTop w:val="0"/>
                          <w:marBottom w:val="0"/>
                          <w:divBdr>
                            <w:top w:val="single" w:sz="2" w:space="0" w:color="E3E3E3"/>
                            <w:left w:val="single" w:sz="2" w:space="0" w:color="E3E3E3"/>
                            <w:bottom w:val="single" w:sz="2" w:space="0" w:color="E3E3E3"/>
                            <w:right w:val="single" w:sz="2" w:space="0" w:color="E3E3E3"/>
                          </w:divBdr>
                          <w:divsChild>
                            <w:div w:id="1205748302">
                              <w:marLeft w:val="0"/>
                              <w:marRight w:val="0"/>
                              <w:marTop w:val="100"/>
                              <w:marBottom w:val="100"/>
                              <w:divBdr>
                                <w:top w:val="single" w:sz="2" w:space="0" w:color="E3E3E3"/>
                                <w:left w:val="single" w:sz="2" w:space="0" w:color="E3E3E3"/>
                                <w:bottom w:val="single" w:sz="2" w:space="0" w:color="E3E3E3"/>
                                <w:right w:val="single" w:sz="2" w:space="0" w:color="E3E3E3"/>
                              </w:divBdr>
                              <w:divsChild>
                                <w:div w:id="2113896135">
                                  <w:marLeft w:val="0"/>
                                  <w:marRight w:val="0"/>
                                  <w:marTop w:val="0"/>
                                  <w:marBottom w:val="0"/>
                                  <w:divBdr>
                                    <w:top w:val="single" w:sz="2" w:space="0" w:color="E3E3E3"/>
                                    <w:left w:val="single" w:sz="2" w:space="0" w:color="E3E3E3"/>
                                    <w:bottom w:val="single" w:sz="2" w:space="0" w:color="E3E3E3"/>
                                    <w:right w:val="single" w:sz="2" w:space="0" w:color="E3E3E3"/>
                                  </w:divBdr>
                                  <w:divsChild>
                                    <w:div w:id="912546562">
                                      <w:marLeft w:val="0"/>
                                      <w:marRight w:val="0"/>
                                      <w:marTop w:val="0"/>
                                      <w:marBottom w:val="0"/>
                                      <w:divBdr>
                                        <w:top w:val="single" w:sz="2" w:space="0" w:color="E3E3E3"/>
                                        <w:left w:val="single" w:sz="2" w:space="0" w:color="E3E3E3"/>
                                        <w:bottom w:val="single" w:sz="2" w:space="0" w:color="E3E3E3"/>
                                        <w:right w:val="single" w:sz="2" w:space="0" w:color="E3E3E3"/>
                                      </w:divBdr>
                                      <w:divsChild>
                                        <w:div w:id="333343439">
                                          <w:marLeft w:val="0"/>
                                          <w:marRight w:val="0"/>
                                          <w:marTop w:val="0"/>
                                          <w:marBottom w:val="0"/>
                                          <w:divBdr>
                                            <w:top w:val="single" w:sz="2" w:space="0" w:color="E3E3E3"/>
                                            <w:left w:val="single" w:sz="2" w:space="0" w:color="E3E3E3"/>
                                            <w:bottom w:val="single" w:sz="2" w:space="0" w:color="E3E3E3"/>
                                            <w:right w:val="single" w:sz="2" w:space="0" w:color="E3E3E3"/>
                                          </w:divBdr>
                                          <w:divsChild>
                                            <w:div w:id="1917860421">
                                              <w:marLeft w:val="0"/>
                                              <w:marRight w:val="0"/>
                                              <w:marTop w:val="0"/>
                                              <w:marBottom w:val="0"/>
                                              <w:divBdr>
                                                <w:top w:val="single" w:sz="2" w:space="0" w:color="E3E3E3"/>
                                                <w:left w:val="single" w:sz="2" w:space="0" w:color="E3E3E3"/>
                                                <w:bottom w:val="single" w:sz="2" w:space="0" w:color="E3E3E3"/>
                                                <w:right w:val="single" w:sz="2" w:space="0" w:color="E3E3E3"/>
                                              </w:divBdr>
                                              <w:divsChild>
                                                <w:div w:id="35586495">
                                                  <w:marLeft w:val="0"/>
                                                  <w:marRight w:val="0"/>
                                                  <w:marTop w:val="0"/>
                                                  <w:marBottom w:val="0"/>
                                                  <w:divBdr>
                                                    <w:top w:val="single" w:sz="2" w:space="0" w:color="E3E3E3"/>
                                                    <w:left w:val="single" w:sz="2" w:space="0" w:color="E3E3E3"/>
                                                    <w:bottom w:val="single" w:sz="2" w:space="0" w:color="E3E3E3"/>
                                                    <w:right w:val="single" w:sz="2" w:space="0" w:color="E3E3E3"/>
                                                  </w:divBdr>
                                                  <w:divsChild>
                                                    <w:div w:id="17111527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98310120">
          <w:marLeft w:val="0"/>
          <w:marRight w:val="0"/>
          <w:marTop w:val="0"/>
          <w:marBottom w:val="0"/>
          <w:divBdr>
            <w:top w:val="none" w:sz="0" w:space="0" w:color="auto"/>
            <w:left w:val="none" w:sz="0" w:space="0" w:color="auto"/>
            <w:bottom w:val="none" w:sz="0" w:space="0" w:color="auto"/>
            <w:right w:val="none" w:sz="0" w:space="0" w:color="auto"/>
          </w:divBdr>
          <w:divsChild>
            <w:div w:id="342825515">
              <w:marLeft w:val="0"/>
              <w:marRight w:val="0"/>
              <w:marTop w:val="0"/>
              <w:marBottom w:val="0"/>
              <w:divBdr>
                <w:top w:val="single" w:sz="2" w:space="0" w:color="E3E3E3"/>
                <w:left w:val="single" w:sz="2" w:space="0" w:color="E3E3E3"/>
                <w:bottom w:val="single" w:sz="2" w:space="0" w:color="E3E3E3"/>
                <w:right w:val="single" w:sz="2" w:space="0" w:color="E3E3E3"/>
              </w:divBdr>
              <w:divsChild>
                <w:div w:id="14553657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ools.essex.gov.uk/pupils/SEND/Documents/Ordinarily%20Available%20Inclusive%20Teaching%20Framework%20Sept.%202023%20(all%20pupil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5f2fe3253cd1dfa0d089-bf8b2cdb6a1dc2999fecbc372702016c.ssl.cf3.rackcdn.com/uploads/ckeditor/attachments/5860/00_Ordinarily_Available_Document_March_201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rton.gov.uk/education-and-learning/special-educational-needs-and-disabilities/ordinarily-available-guidan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search3.openobjects.com/mediamanager/wandsworth/fsd/files/ordinarily_available_provision.pdf"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schools.local-offer.org/wp-content/uploads/2020/12/WSX-OAIP-Nov-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5EE139E8FF104491499429F5F7FF93" ma:contentTypeVersion="6" ma:contentTypeDescription="Create a new document." ma:contentTypeScope="" ma:versionID="08153ab6d7cad5e2c1fc9ccac638c259">
  <xsd:schema xmlns:xsd="http://www.w3.org/2001/XMLSchema" xmlns:xs="http://www.w3.org/2001/XMLSchema" xmlns:p="http://schemas.microsoft.com/office/2006/metadata/properties" xmlns:ns2="731b73a9-9871-49c9-b994-2be1afe7a33a" xmlns:ns3="bdb07cf6-a4d8-4f8f-b4ff-61876576ad2c" targetNamespace="http://schemas.microsoft.com/office/2006/metadata/properties" ma:root="true" ma:fieldsID="767e7c733718cdcfb3db3c16dcb68f56" ns2:_="" ns3:_="">
    <xsd:import namespace="731b73a9-9871-49c9-b994-2be1afe7a33a"/>
    <xsd:import namespace="bdb07cf6-a4d8-4f8f-b4ff-61876576ad2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b73a9-9871-49c9-b994-2be1afe7a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07cf6-a4d8-4f8f-b4ff-61876576a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D393E-F995-4518-9389-8E732EAC78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1CCCC5-CD75-D641-99B0-FA6F3243D960}">
  <ds:schemaRefs>
    <ds:schemaRef ds:uri="http://schemas.openxmlformats.org/officeDocument/2006/bibliography"/>
  </ds:schemaRefs>
</ds:datastoreItem>
</file>

<file path=customXml/itemProps3.xml><?xml version="1.0" encoding="utf-8"?>
<ds:datastoreItem xmlns:ds="http://schemas.openxmlformats.org/officeDocument/2006/customXml" ds:itemID="{0174EF3D-31B2-4DFF-BA7A-0227D852C288}">
  <ds:schemaRefs>
    <ds:schemaRef ds:uri="http://schemas.microsoft.com/sharepoint/v3/contenttype/forms"/>
  </ds:schemaRefs>
</ds:datastoreItem>
</file>

<file path=customXml/itemProps4.xml><?xml version="1.0" encoding="utf-8"?>
<ds:datastoreItem xmlns:ds="http://schemas.openxmlformats.org/officeDocument/2006/customXml" ds:itemID="{C0A15B47-E36F-4E55-91E5-91C114031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b73a9-9871-49c9-b994-2be1afe7a33a"/>
    <ds:schemaRef ds:uri="bdb07cf6-a4d8-4f8f-b4ff-61876576a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1104</Words>
  <Characters>6298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Fitzgerald</dc:creator>
  <cp:keywords/>
  <dc:description/>
  <cp:lastModifiedBy>Anthony Lyseight-Goslin</cp:lastModifiedBy>
  <cp:revision>2</cp:revision>
  <dcterms:created xsi:type="dcterms:W3CDTF">2024-06-05T08:10:00Z</dcterms:created>
  <dcterms:modified xsi:type="dcterms:W3CDTF">2024-06-05T08:10:00Z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0x010100035EE139E8FF104491499429F5F7FF93</vt:lpwstr>
  </property>
</Properties>
</file>