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37E9" w14:textId="77777777" w:rsidR="008D1D31" w:rsidRDefault="008D1D31" w:rsidP="00AD3805">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14:paraId="2922C062" w14:textId="77777777" w:rsidR="008D1D31" w:rsidRDefault="008D1D31">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14:paraId="353B482B" w14:textId="77777777" w:rsidR="008D1D31" w:rsidRDefault="008D1D31">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14:paraId="3E4C67EC" w14:textId="77777777" w:rsidR="00D273A5" w:rsidRDefault="00D273A5" w:rsidP="0079329D">
      <w:pPr>
        <w:spacing w:after="120"/>
        <w:rPr>
          <w:rFonts w:ascii="Arial" w:hAnsi="Arial" w:cs="Arial"/>
          <w:szCs w:val="24"/>
        </w:rPr>
      </w:pPr>
      <w:bookmarkStart w:id="0" w:name="bmkDivision"/>
      <w:bookmarkEnd w:id="0"/>
    </w:p>
    <w:p w14:paraId="143B9B75" w14:textId="77777777" w:rsidR="005A49F2" w:rsidRPr="008733B6" w:rsidRDefault="00746DD2" w:rsidP="005A49F2">
      <w:pPr>
        <w:spacing w:before="120" w:after="120"/>
        <w:jc w:val="center"/>
        <w:rPr>
          <w:rFonts w:ascii="Arial" w:hAnsi="Arial" w:cs="Arial"/>
          <w:b/>
          <w:sz w:val="48"/>
          <w:szCs w:val="48"/>
        </w:rPr>
      </w:pPr>
      <w:r>
        <w:rPr>
          <w:rFonts w:ascii="Arial" w:hAnsi="Arial" w:cs="Arial"/>
          <w:b/>
          <w:sz w:val="48"/>
          <w:szCs w:val="48"/>
        </w:rPr>
        <w:t xml:space="preserve">London Borough of </w:t>
      </w:r>
      <w:r w:rsidR="005A49F2" w:rsidRPr="008733B6">
        <w:rPr>
          <w:rFonts w:ascii="Arial" w:hAnsi="Arial" w:cs="Arial"/>
          <w:b/>
          <w:sz w:val="48"/>
          <w:szCs w:val="48"/>
        </w:rPr>
        <w:t>Waltham Forest</w:t>
      </w:r>
    </w:p>
    <w:p w14:paraId="4DC79F5C" w14:textId="77777777" w:rsidR="005A49F2" w:rsidRPr="008733B6" w:rsidRDefault="005A49F2" w:rsidP="005A49F2">
      <w:pPr>
        <w:spacing w:before="120" w:after="120"/>
        <w:jc w:val="center"/>
        <w:rPr>
          <w:rFonts w:ascii="Arial" w:hAnsi="Arial" w:cs="Arial"/>
          <w:b/>
          <w:sz w:val="48"/>
          <w:szCs w:val="48"/>
        </w:rPr>
      </w:pPr>
    </w:p>
    <w:p w14:paraId="7E396DAD" w14:textId="77777777" w:rsidR="005A49F2" w:rsidRPr="008733B6" w:rsidRDefault="005A49F2" w:rsidP="005A49F2">
      <w:pPr>
        <w:spacing w:before="120" w:after="120"/>
        <w:jc w:val="center"/>
        <w:rPr>
          <w:rFonts w:ascii="Arial" w:hAnsi="Arial" w:cs="Arial"/>
          <w:b/>
          <w:sz w:val="48"/>
          <w:szCs w:val="48"/>
        </w:rPr>
      </w:pPr>
    </w:p>
    <w:p w14:paraId="7C317D35" w14:textId="77777777" w:rsidR="005A49F2" w:rsidRPr="008733B6" w:rsidRDefault="005A49F2" w:rsidP="005A49F2">
      <w:pPr>
        <w:spacing w:before="120" w:after="120"/>
        <w:jc w:val="center"/>
        <w:rPr>
          <w:rFonts w:ascii="Arial" w:hAnsi="Arial" w:cs="Arial"/>
          <w:b/>
          <w:sz w:val="48"/>
          <w:szCs w:val="48"/>
        </w:rPr>
      </w:pPr>
    </w:p>
    <w:p w14:paraId="119D41BC" w14:textId="77777777" w:rsidR="005A49F2" w:rsidRPr="008733B6" w:rsidRDefault="005A49F2" w:rsidP="005A49F2">
      <w:pPr>
        <w:spacing w:after="200" w:line="276" w:lineRule="auto"/>
        <w:jc w:val="center"/>
        <w:rPr>
          <w:rFonts w:ascii="Arial" w:eastAsia="Calibri" w:hAnsi="Arial" w:cs="Arial"/>
          <w:b/>
          <w:bCs/>
          <w:sz w:val="48"/>
          <w:szCs w:val="48"/>
          <w:lang w:val="en-US" w:eastAsia="en-US"/>
        </w:rPr>
      </w:pPr>
      <w:r>
        <w:rPr>
          <w:rFonts w:ascii="Arial" w:eastAsia="Calibri" w:hAnsi="Arial" w:cs="Arial"/>
          <w:b/>
          <w:bCs/>
          <w:sz w:val="48"/>
          <w:szCs w:val="48"/>
          <w:lang w:val="en-US" w:eastAsia="en-US"/>
        </w:rPr>
        <w:t>Additional</w:t>
      </w:r>
      <w:r w:rsidRPr="008733B6">
        <w:rPr>
          <w:rFonts w:ascii="Arial" w:eastAsia="Calibri" w:hAnsi="Arial" w:cs="Arial"/>
          <w:b/>
          <w:bCs/>
          <w:sz w:val="48"/>
          <w:szCs w:val="48"/>
          <w:lang w:val="en-US" w:eastAsia="en-US"/>
        </w:rPr>
        <w:t xml:space="preserve"> Licensing Scheme Designation</w:t>
      </w:r>
    </w:p>
    <w:p w14:paraId="58EF76ED" w14:textId="77777777" w:rsidR="005A49F2" w:rsidRPr="008733B6" w:rsidRDefault="005A49F2" w:rsidP="005A49F2">
      <w:pPr>
        <w:spacing w:before="120" w:after="120"/>
        <w:ind w:left="432"/>
        <w:jc w:val="both"/>
        <w:rPr>
          <w:rFonts w:ascii="Arial" w:hAnsi="Arial" w:cs="Arial"/>
          <w:i/>
          <w:iCs/>
          <w:szCs w:val="24"/>
        </w:rPr>
      </w:pPr>
    </w:p>
    <w:p w14:paraId="75B253B0" w14:textId="77777777" w:rsidR="005A49F2" w:rsidRDefault="005A49F2" w:rsidP="005A49F2">
      <w:pPr>
        <w:spacing w:before="120" w:after="120"/>
        <w:ind w:left="432"/>
        <w:jc w:val="both"/>
        <w:rPr>
          <w:rFonts w:ascii="Arial" w:hAnsi="Arial" w:cs="Arial"/>
          <w:i/>
          <w:iCs/>
          <w:szCs w:val="24"/>
        </w:rPr>
      </w:pPr>
    </w:p>
    <w:p w14:paraId="55416EDD" w14:textId="77777777" w:rsidR="00746DD2" w:rsidRDefault="00746DD2" w:rsidP="005A49F2">
      <w:pPr>
        <w:spacing w:before="120" w:after="120"/>
        <w:ind w:left="432"/>
        <w:jc w:val="both"/>
        <w:rPr>
          <w:rFonts w:ascii="Arial" w:hAnsi="Arial" w:cs="Arial"/>
          <w:i/>
          <w:iCs/>
          <w:szCs w:val="24"/>
        </w:rPr>
      </w:pPr>
    </w:p>
    <w:p w14:paraId="4A46EBBA" w14:textId="77777777" w:rsidR="00746DD2" w:rsidRDefault="00746DD2" w:rsidP="005A49F2">
      <w:pPr>
        <w:spacing w:before="120" w:after="120"/>
        <w:ind w:left="432"/>
        <w:jc w:val="both"/>
        <w:rPr>
          <w:rFonts w:ascii="Arial" w:hAnsi="Arial" w:cs="Arial"/>
          <w:i/>
          <w:iCs/>
          <w:szCs w:val="24"/>
        </w:rPr>
      </w:pPr>
    </w:p>
    <w:p w14:paraId="1DCE1770" w14:textId="77777777" w:rsidR="00746DD2" w:rsidRDefault="00746DD2" w:rsidP="005A49F2">
      <w:pPr>
        <w:spacing w:before="120" w:after="120"/>
        <w:ind w:left="432"/>
        <w:jc w:val="both"/>
        <w:rPr>
          <w:rFonts w:ascii="Arial" w:hAnsi="Arial" w:cs="Arial"/>
          <w:i/>
          <w:iCs/>
          <w:szCs w:val="24"/>
        </w:rPr>
      </w:pPr>
    </w:p>
    <w:p w14:paraId="0665E780" w14:textId="77777777" w:rsidR="00746DD2" w:rsidRDefault="00746DD2" w:rsidP="005A49F2">
      <w:pPr>
        <w:spacing w:before="120" w:after="120"/>
        <w:ind w:left="432"/>
        <w:jc w:val="both"/>
        <w:rPr>
          <w:rFonts w:ascii="Arial" w:hAnsi="Arial" w:cs="Arial"/>
          <w:i/>
          <w:iCs/>
          <w:szCs w:val="24"/>
        </w:rPr>
      </w:pPr>
    </w:p>
    <w:p w14:paraId="0E6EDBBD" w14:textId="77777777" w:rsidR="00746DD2" w:rsidRDefault="00746DD2" w:rsidP="005A49F2">
      <w:pPr>
        <w:spacing w:before="120" w:after="120"/>
        <w:ind w:left="432"/>
        <w:jc w:val="both"/>
        <w:rPr>
          <w:rFonts w:ascii="Arial" w:hAnsi="Arial" w:cs="Arial"/>
          <w:i/>
          <w:iCs/>
          <w:szCs w:val="24"/>
        </w:rPr>
      </w:pPr>
    </w:p>
    <w:p w14:paraId="4DF0AB04" w14:textId="77777777" w:rsidR="00746DD2" w:rsidRPr="008733B6" w:rsidRDefault="00746DD2" w:rsidP="005A49F2">
      <w:pPr>
        <w:spacing w:before="120" w:after="120"/>
        <w:ind w:left="432"/>
        <w:jc w:val="both"/>
        <w:rPr>
          <w:rFonts w:ascii="Arial" w:hAnsi="Arial" w:cs="Arial"/>
          <w:i/>
          <w:iCs/>
          <w:szCs w:val="24"/>
        </w:rPr>
      </w:pPr>
    </w:p>
    <w:p w14:paraId="24DD8BA0" w14:textId="77777777" w:rsidR="005A49F2" w:rsidRPr="008733B6" w:rsidRDefault="005A49F2" w:rsidP="005A49F2">
      <w:pPr>
        <w:spacing w:before="120" w:after="120"/>
        <w:ind w:left="432"/>
        <w:jc w:val="both"/>
        <w:rPr>
          <w:rFonts w:ascii="Arial" w:eastAsia="Calibri" w:hAnsi="Arial" w:cs="Arial"/>
          <w:i/>
          <w:iCs/>
          <w:szCs w:val="24"/>
          <w:lang w:eastAsia="en-US"/>
        </w:rPr>
      </w:pPr>
      <w:r w:rsidRPr="008733B6">
        <w:rPr>
          <w:rFonts w:ascii="Arial" w:eastAsia="Calibri" w:hAnsi="Arial" w:cs="Arial"/>
          <w:i/>
          <w:iCs/>
          <w:szCs w:val="24"/>
          <w:lang w:eastAsia="en-US"/>
        </w:rPr>
        <w:t xml:space="preserve">Designation and map of area covered by proposed selective licensing </w:t>
      </w:r>
      <w:proofErr w:type="gramStart"/>
      <w:r w:rsidRPr="008733B6">
        <w:rPr>
          <w:rFonts w:ascii="Arial" w:eastAsia="Calibri" w:hAnsi="Arial" w:cs="Arial"/>
          <w:i/>
          <w:iCs/>
          <w:szCs w:val="24"/>
          <w:lang w:eastAsia="en-US"/>
        </w:rPr>
        <w:t>designation</w:t>
      </w:r>
      <w:proofErr w:type="gramEnd"/>
      <w:r w:rsidRPr="008733B6">
        <w:rPr>
          <w:rFonts w:ascii="Arial" w:eastAsia="Calibri" w:hAnsi="Arial" w:cs="Arial"/>
          <w:i/>
          <w:iCs/>
          <w:szCs w:val="24"/>
          <w:lang w:eastAsia="en-US"/>
        </w:rPr>
        <w:t xml:space="preserve"> </w:t>
      </w:r>
    </w:p>
    <w:p w14:paraId="6242446D" w14:textId="77777777" w:rsidR="005A49F2" w:rsidRDefault="005A49F2" w:rsidP="0079329D">
      <w:pPr>
        <w:spacing w:after="120"/>
        <w:rPr>
          <w:rFonts w:ascii="Arial" w:hAnsi="Arial" w:cs="Arial"/>
          <w:szCs w:val="24"/>
        </w:rPr>
      </w:pPr>
    </w:p>
    <w:p w14:paraId="2347F87E" w14:textId="77777777" w:rsidR="005A49F2" w:rsidRDefault="005A49F2" w:rsidP="0079329D">
      <w:pPr>
        <w:spacing w:after="120"/>
        <w:rPr>
          <w:rFonts w:ascii="Arial" w:hAnsi="Arial" w:cs="Arial"/>
          <w:szCs w:val="24"/>
        </w:rPr>
      </w:pPr>
    </w:p>
    <w:p w14:paraId="1B14CD05" w14:textId="77777777" w:rsidR="005A49F2" w:rsidRDefault="005A49F2" w:rsidP="0079329D">
      <w:pPr>
        <w:spacing w:after="120"/>
        <w:rPr>
          <w:rFonts w:ascii="Arial" w:hAnsi="Arial" w:cs="Arial"/>
          <w:szCs w:val="24"/>
        </w:rPr>
      </w:pPr>
    </w:p>
    <w:p w14:paraId="080A0B17" w14:textId="77777777" w:rsidR="005A49F2" w:rsidRDefault="005A49F2" w:rsidP="0079329D">
      <w:pPr>
        <w:spacing w:after="120"/>
        <w:rPr>
          <w:rFonts w:ascii="Arial" w:hAnsi="Arial" w:cs="Arial"/>
          <w:szCs w:val="24"/>
        </w:rPr>
      </w:pPr>
    </w:p>
    <w:p w14:paraId="045835C5" w14:textId="77777777" w:rsidR="005A49F2" w:rsidRDefault="005A49F2" w:rsidP="0079329D">
      <w:pPr>
        <w:spacing w:after="120"/>
        <w:rPr>
          <w:rFonts w:ascii="Arial" w:hAnsi="Arial" w:cs="Arial"/>
          <w:szCs w:val="24"/>
        </w:rPr>
      </w:pPr>
    </w:p>
    <w:p w14:paraId="471373D3" w14:textId="77777777" w:rsidR="005A49F2" w:rsidRDefault="005A49F2" w:rsidP="0079329D">
      <w:pPr>
        <w:spacing w:after="120"/>
        <w:rPr>
          <w:rFonts w:ascii="Arial" w:hAnsi="Arial" w:cs="Arial"/>
          <w:szCs w:val="24"/>
        </w:rPr>
      </w:pPr>
    </w:p>
    <w:p w14:paraId="504F3467" w14:textId="77777777" w:rsidR="005A49F2" w:rsidRDefault="005A49F2" w:rsidP="0079329D">
      <w:pPr>
        <w:spacing w:after="120"/>
        <w:rPr>
          <w:rFonts w:ascii="Arial" w:hAnsi="Arial" w:cs="Arial"/>
          <w:szCs w:val="24"/>
        </w:rPr>
      </w:pPr>
    </w:p>
    <w:p w14:paraId="099A2997" w14:textId="77777777" w:rsidR="005A49F2" w:rsidRDefault="005A49F2" w:rsidP="0079329D">
      <w:pPr>
        <w:spacing w:after="120"/>
        <w:rPr>
          <w:rFonts w:ascii="Arial" w:hAnsi="Arial" w:cs="Arial"/>
          <w:szCs w:val="24"/>
        </w:rPr>
      </w:pPr>
    </w:p>
    <w:p w14:paraId="7A3A34FB" w14:textId="77777777" w:rsidR="005A49F2" w:rsidRDefault="005A49F2" w:rsidP="0079329D">
      <w:pPr>
        <w:spacing w:after="120"/>
        <w:rPr>
          <w:rFonts w:ascii="Arial" w:hAnsi="Arial" w:cs="Arial"/>
          <w:szCs w:val="24"/>
        </w:rPr>
      </w:pPr>
    </w:p>
    <w:p w14:paraId="260F8B0E" w14:textId="77777777" w:rsidR="005A49F2" w:rsidRDefault="005A49F2" w:rsidP="0079329D">
      <w:pPr>
        <w:spacing w:after="120"/>
        <w:rPr>
          <w:rFonts w:ascii="Arial" w:hAnsi="Arial" w:cs="Arial"/>
          <w:szCs w:val="24"/>
        </w:rPr>
      </w:pPr>
    </w:p>
    <w:p w14:paraId="3D5653F4" w14:textId="77777777" w:rsidR="005A49F2" w:rsidRDefault="005A49F2" w:rsidP="0079329D">
      <w:pPr>
        <w:spacing w:after="120"/>
        <w:rPr>
          <w:rFonts w:ascii="Arial" w:hAnsi="Arial" w:cs="Arial"/>
          <w:szCs w:val="24"/>
        </w:rPr>
      </w:pPr>
    </w:p>
    <w:p w14:paraId="33DF9680" w14:textId="77777777" w:rsidR="005A49F2" w:rsidRDefault="005A49F2" w:rsidP="0079329D">
      <w:pPr>
        <w:spacing w:after="120"/>
        <w:rPr>
          <w:rFonts w:ascii="Arial" w:hAnsi="Arial" w:cs="Arial"/>
          <w:szCs w:val="24"/>
        </w:rPr>
      </w:pPr>
    </w:p>
    <w:p w14:paraId="239D84B1" w14:textId="3CB778DB" w:rsidR="00014044" w:rsidRPr="00011A5B" w:rsidRDefault="0082276F" w:rsidP="0079329D">
      <w:pPr>
        <w:spacing w:after="120"/>
        <w:rPr>
          <w:rFonts w:ascii="Arial" w:hAnsi="Arial" w:cs="Arial"/>
          <w:szCs w:val="24"/>
        </w:rPr>
      </w:pPr>
      <w:r>
        <w:rPr>
          <w:rFonts w:ascii="Arial" w:hAnsi="Arial" w:cs="Arial"/>
          <w:noProof/>
          <w:sz w:val="22"/>
          <w:lang w:val="en-US"/>
        </w:rPr>
        <w:drawing>
          <wp:anchor distT="0" distB="0" distL="114300" distR="114300" simplePos="0" relativeHeight="251658752" behindDoc="1" locked="1" layoutInCell="1" allowOverlap="1" wp14:anchorId="76BAE6EC" wp14:editId="78ADC04E">
            <wp:simplePos x="0" y="0"/>
            <wp:positionH relativeFrom="column">
              <wp:posOffset>436245</wp:posOffset>
            </wp:positionH>
            <wp:positionV relativeFrom="page">
              <wp:posOffset>713740</wp:posOffset>
            </wp:positionV>
            <wp:extent cx="5821045" cy="80264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045" cy="802640"/>
                    </a:xfrm>
                    <a:prstGeom prst="rect">
                      <a:avLst/>
                    </a:prstGeom>
                    <a:noFill/>
                  </pic:spPr>
                </pic:pic>
              </a:graphicData>
            </a:graphic>
            <wp14:sizeRelH relativeFrom="page">
              <wp14:pctWidth>0</wp14:pctWidth>
            </wp14:sizeRelH>
            <wp14:sizeRelV relativeFrom="page">
              <wp14:pctHeight>0</wp14:pctHeight>
            </wp14:sizeRelV>
          </wp:anchor>
        </w:drawing>
      </w:r>
      <w:bookmarkStart w:id="1" w:name="bmkName"/>
      <w:bookmarkStart w:id="2" w:name="bmkAddress"/>
      <w:bookmarkEnd w:id="1"/>
      <w:bookmarkEnd w:id="2"/>
      <w:r w:rsidR="006A19D1" w:rsidRPr="00011A5B">
        <w:rPr>
          <w:rFonts w:ascii="Arial" w:hAnsi="Arial" w:cs="Arial"/>
          <w:szCs w:val="24"/>
        </w:rPr>
        <w:t>DESIGNATION OF AN AREA FOR ADDITIONAL LICENSING</w:t>
      </w:r>
    </w:p>
    <w:p w14:paraId="6CF84C1F" w14:textId="77777777" w:rsidR="006A19D1" w:rsidRPr="00011A5B" w:rsidRDefault="006A19D1" w:rsidP="006A19D1">
      <w:pPr>
        <w:jc w:val="center"/>
        <w:rPr>
          <w:rFonts w:ascii="Arial" w:hAnsi="Arial" w:cs="Arial"/>
          <w:szCs w:val="24"/>
        </w:rPr>
      </w:pPr>
      <w:r w:rsidRPr="00011A5B">
        <w:rPr>
          <w:rFonts w:ascii="Arial" w:hAnsi="Arial" w:cs="Arial"/>
          <w:szCs w:val="24"/>
        </w:rPr>
        <w:t>Section 56, Housing Act 2004</w:t>
      </w:r>
    </w:p>
    <w:p w14:paraId="0C8D2897" w14:textId="77777777" w:rsidR="006A19D1" w:rsidRPr="00011A5B" w:rsidRDefault="006A19D1" w:rsidP="00BB51CE">
      <w:pPr>
        <w:rPr>
          <w:rFonts w:ascii="Arial" w:hAnsi="Arial" w:cs="Arial"/>
          <w:szCs w:val="24"/>
        </w:rPr>
      </w:pPr>
    </w:p>
    <w:p w14:paraId="1E5AEEEA" w14:textId="77777777" w:rsidR="006A19D1" w:rsidRPr="00011A5B" w:rsidRDefault="006A19D1" w:rsidP="00CC5761">
      <w:pPr>
        <w:ind w:left="567" w:right="708"/>
        <w:rPr>
          <w:rFonts w:ascii="Arial" w:hAnsi="Arial" w:cs="Arial"/>
          <w:szCs w:val="24"/>
        </w:rPr>
      </w:pPr>
      <w:r w:rsidRPr="00011A5B">
        <w:rPr>
          <w:rFonts w:ascii="Arial" w:hAnsi="Arial" w:cs="Arial"/>
          <w:szCs w:val="24"/>
        </w:rPr>
        <w:t>The London Borough of Waltham Forest (“</w:t>
      </w:r>
      <w:r w:rsidR="00D6585C">
        <w:rPr>
          <w:rFonts w:ascii="Arial" w:hAnsi="Arial" w:cs="Arial"/>
          <w:szCs w:val="24"/>
        </w:rPr>
        <w:t xml:space="preserve">the </w:t>
      </w:r>
      <w:r w:rsidR="00743173">
        <w:rPr>
          <w:rFonts w:ascii="Arial" w:hAnsi="Arial" w:cs="Arial"/>
          <w:szCs w:val="24"/>
        </w:rPr>
        <w:t>Authority</w:t>
      </w:r>
      <w:r w:rsidRPr="00011A5B">
        <w:rPr>
          <w:rFonts w:ascii="Arial" w:hAnsi="Arial" w:cs="Arial"/>
          <w:szCs w:val="24"/>
        </w:rPr>
        <w:t xml:space="preserve">”) in exercise of its powers under section 56 of the Housing Act 2004 (“the Act”) </w:t>
      </w:r>
      <w:r w:rsidR="006B34D1">
        <w:rPr>
          <w:rFonts w:ascii="Arial" w:hAnsi="Arial" w:cs="Arial"/>
          <w:szCs w:val="24"/>
        </w:rPr>
        <w:t>hereby designates for additional licensing the area described in paragraph 4</w:t>
      </w:r>
      <w:r w:rsidRPr="00011A5B">
        <w:rPr>
          <w:rFonts w:ascii="Arial" w:hAnsi="Arial" w:cs="Arial"/>
          <w:szCs w:val="24"/>
        </w:rPr>
        <w:t xml:space="preserve">. </w:t>
      </w:r>
    </w:p>
    <w:p w14:paraId="218C5A7B" w14:textId="77777777" w:rsidR="00011A5B" w:rsidRPr="00011A5B" w:rsidRDefault="00011A5B" w:rsidP="00CC5761">
      <w:pPr>
        <w:pStyle w:val="Default"/>
        <w:ind w:left="567"/>
        <w:rPr>
          <w:rFonts w:ascii="Arial" w:hAnsi="Arial" w:cs="Arial"/>
        </w:rPr>
      </w:pPr>
    </w:p>
    <w:p w14:paraId="2077E180" w14:textId="77777777" w:rsidR="00506A75" w:rsidRDefault="00506A75" w:rsidP="0079329D">
      <w:pPr>
        <w:ind w:right="-46"/>
        <w:rPr>
          <w:rFonts w:ascii="Arial" w:hAnsi="Arial" w:cs="Arial"/>
          <w:szCs w:val="24"/>
        </w:rPr>
      </w:pPr>
      <w:r>
        <w:rPr>
          <w:rFonts w:ascii="Arial" w:hAnsi="Arial" w:cs="Arial"/>
          <w:szCs w:val="24"/>
        </w:rPr>
        <w:t>CITATION, COMMENCEMENT AND DURATION</w:t>
      </w:r>
    </w:p>
    <w:p w14:paraId="3212A38C" w14:textId="77777777" w:rsidR="006B34D1" w:rsidRDefault="006B34D1" w:rsidP="0079329D">
      <w:pPr>
        <w:ind w:right="-46"/>
        <w:rPr>
          <w:rFonts w:ascii="Arial" w:hAnsi="Arial" w:cs="Arial"/>
          <w:szCs w:val="24"/>
        </w:rPr>
      </w:pPr>
    </w:p>
    <w:p w14:paraId="1019069B" w14:textId="77777777" w:rsidR="00506A75" w:rsidRPr="00506A75" w:rsidRDefault="00506A75" w:rsidP="00CC5761">
      <w:pPr>
        <w:numPr>
          <w:ilvl w:val="0"/>
          <w:numId w:val="23"/>
        </w:numPr>
        <w:ind w:left="927" w:right="708"/>
        <w:rPr>
          <w:rFonts w:ascii="Arial" w:hAnsi="Arial" w:cs="Arial"/>
          <w:szCs w:val="24"/>
        </w:rPr>
      </w:pPr>
      <w:r w:rsidRPr="00506A75">
        <w:rPr>
          <w:rFonts w:ascii="Arial" w:hAnsi="Arial" w:cs="Arial"/>
          <w:szCs w:val="24"/>
        </w:rPr>
        <w:t>This designation may be cited as the London Borough of Waltham Forest Designation for an Area for Additional Licensing.</w:t>
      </w:r>
    </w:p>
    <w:p w14:paraId="2B1F2C7F" w14:textId="77777777" w:rsidR="00506A75" w:rsidRDefault="00011A5B" w:rsidP="00CC5761">
      <w:pPr>
        <w:numPr>
          <w:ilvl w:val="0"/>
          <w:numId w:val="23"/>
        </w:numPr>
        <w:ind w:left="927" w:right="708"/>
        <w:rPr>
          <w:rFonts w:ascii="Arial" w:hAnsi="Arial" w:cs="Arial"/>
          <w:szCs w:val="24"/>
        </w:rPr>
      </w:pPr>
      <w:r w:rsidRPr="00011A5B">
        <w:rPr>
          <w:rFonts w:ascii="Arial" w:hAnsi="Arial" w:cs="Arial"/>
          <w:szCs w:val="24"/>
        </w:rPr>
        <w:t xml:space="preserve">The Designation </w:t>
      </w:r>
      <w:r w:rsidR="00506A75">
        <w:rPr>
          <w:rFonts w:ascii="Arial" w:hAnsi="Arial" w:cs="Arial"/>
          <w:szCs w:val="24"/>
        </w:rPr>
        <w:t xml:space="preserve">is made on </w:t>
      </w:r>
      <w:r w:rsidR="00746DD2">
        <w:rPr>
          <w:rFonts w:ascii="Arial" w:hAnsi="Arial" w:cs="Arial"/>
          <w:szCs w:val="24"/>
        </w:rPr>
        <w:t>9</w:t>
      </w:r>
      <w:r w:rsidR="00506A75" w:rsidRPr="00506A75">
        <w:rPr>
          <w:rFonts w:ascii="Arial" w:hAnsi="Arial" w:cs="Arial"/>
          <w:szCs w:val="24"/>
          <w:vertAlign w:val="superscript"/>
        </w:rPr>
        <w:t>th</w:t>
      </w:r>
      <w:r w:rsidR="00506A75">
        <w:rPr>
          <w:rFonts w:ascii="Arial" w:hAnsi="Arial" w:cs="Arial"/>
          <w:szCs w:val="24"/>
        </w:rPr>
        <w:t xml:space="preserve"> July 20</w:t>
      </w:r>
      <w:r w:rsidR="00746DD2">
        <w:rPr>
          <w:rFonts w:ascii="Arial" w:hAnsi="Arial" w:cs="Arial"/>
          <w:szCs w:val="24"/>
        </w:rPr>
        <w:t>24</w:t>
      </w:r>
      <w:r w:rsidR="00506A75">
        <w:rPr>
          <w:rFonts w:ascii="Arial" w:hAnsi="Arial" w:cs="Arial"/>
          <w:szCs w:val="24"/>
        </w:rPr>
        <w:t xml:space="preserve"> and </w:t>
      </w:r>
      <w:r w:rsidRPr="00011A5B">
        <w:rPr>
          <w:rFonts w:ascii="Arial" w:hAnsi="Arial" w:cs="Arial"/>
          <w:szCs w:val="24"/>
        </w:rPr>
        <w:t xml:space="preserve">shall come into force on </w:t>
      </w:r>
      <w:r>
        <w:rPr>
          <w:rFonts w:ascii="Arial" w:hAnsi="Arial" w:cs="Arial"/>
          <w:szCs w:val="24"/>
        </w:rPr>
        <w:t>1</w:t>
      </w:r>
      <w:r w:rsidRPr="00011A5B">
        <w:rPr>
          <w:rFonts w:ascii="Arial" w:hAnsi="Arial" w:cs="Arial"/>
          <w:szCs w:val="24"/>
          <w:vertAlign w:val="superscript"/>
        </w:rPr>
        <w:t>st</w:t>
      </w:r>
      <w:r>
        <w:rPr>
          <w:rFonts w:ascii="Arial" w:hAnsi="Arial" w:cs="Arial"/>
          <w:szCs w:val="24"/>
        </w:rPr>
        <w:t xml:space="preserve"> </w:t>
      </w:r>
      <w:r w:rsidRPr="00011A5B">
        <w:rPr>
          <w:rFonts w:ascii="Arial" w:hAnsi="Arial" w:cs="Arial"/>
          <w:szCs w:val="24"/>
        </w:rPr>
        <w:t>April 20</w:t>
      </w:r>
      <w:r>
        <w:rPr>
          <w:rFonts w:ascii="Arial" w:hAnsi="Arial" w:cs="Arial"/>
          <w:szCs w:val="24"/>
        </w:rPr>
        <w:t>2</w:t>
      </w:r>
      <w:r w:rsidR="00746DD2">
        <w:rPr>
          <w:rFonts w:ascii="Arial" w:hAnsi="Arial" w:cs="Arial"/>
          <w:szCs w:val="24"/>
        </w:rPr>
        <w:t>5</w:t>
      </w:r>
      <w:r w:rsidR="00506A75">
        <w:rPr>
          <w:rFonts w:ascii="Arial" w:hAnsi="Arial" w:cs="Arial"/>
          <w:szCs w:val="24"/>
        </w:rPr>
        <w:t xml:space="preserve">. </w:t>
      </w:r>
      <w:r w:rsidRPr="00011A5B">
        <w:rPr>
          <w:rFonts w:ascii="Arial" w:hAnsi="Arial" w:cs="Arial"/>
          <w:szCs w:val="24"/>
        </w:rPr>
        <w:t xml:space="preserve"> </w:t>
      </w:r>
    </w:p>
    <w:p w14:paraId="65FAC2DA" w14:textId="77777777" w:rsidR="00506A75" w:rsidRDefault="00506A75" w:rsidP="00CC5761">
      <w:pPr>
        <w:numPr>
          <w:ilvl w:val="0"/>
          <w:numId w:val="23"/>
        </w:numPr>
        <w:ind w:left="927" w:right="708"/>
        <w:rPr>
          <w:rFonts w:ascii="Arial" w:hAnsi="Arial" w:cs="Arial"/>
          <w:szCs w:val="24"/>
        </w:rPr>
      </w:pPr>
      <w:r>
        <w:rPr>
          <w:rFonts w:ascii="Arial" w:hAnsi="Arial" w:cs="Arial"/>
          <w:szCs w:val="24"/>
        </w:rPr>
        <w:t xml:space="preserve">It </w:t>
      </w:r>
      <w:r w:rsidR="00011A5B" w:rsidRPr="00011A5B">
        <w:rPr>
          <w:rFonts w:ascii="Arial" w:hAnsi="Arial" w:cs="Arial"/>
          <w:szCs w:val="24"/>
        </w:rPr>
        <w:t xml:space="preserve">shall cease to have effect on </w:t>
      </w:r>
      <w:r>
        <w:rPr>
          <w:rFonts w:ascii="Arial" w:hAnsi="Arial" w:cs="Arial"/>
          <w:szCs w:val="24"/>
        </w:rPr>
        <w:t>31</w:t>
      </w:r>
      <w:r w:rsidRPr="00506A75">
        <w:rPr>
          <w:rFonts w:ascii="Arial" w:hAnsi="Arial" w:cs="Arial"/>
          <w:szCs w:val="24"/>
          <w:vertAlign w:val="superscript"/>
        </w:rPr>
        <w:t>st</w:t>
      </w:r>
      <w:r>
        <w:rPr>
          <w:rFonts w:ascii="Arial" w:hAnsi="Arial" w:cs="Arial"/>
          <w:szCs w:val="24"/>
        </w:rPr>
        <w:t xml:space="preserve"> March</w:t>
      </w:r>
      <w:r w:rsidR="00011A5B" w:rsidRPr="00011A5B">
        <w:rPr>
          <w:rFonts w:ascii="Arial" w:hAnsi="Arial" w:cs="Arial"/>
          <w:szCs w:val="24"/>
        </w:rPr>
        <w:t xml:space="preserve"> 20</w:t>
      </w:r>
      <w:r w:rsidR="00746DD2">
        <w:rPr>
          <w:rFonts w:ascii="Arial" w:hAnsi="Arial" w:cs="Arial"/>
          <w:szCs w:val="24"/>
        </w:rPr>
        <w:t>30</w:t>
      </w:r>
      <w:r>
        <w:rPr>
          <w:rFonts w:ascii="Arial" w:hAnsi="Arial" w:cs="Arial"/>
          <w:szCs w:val="24"/>
        </w:rPr>
        <w:t xml:space="preserve"> (not more than five years)</w:t>
      </w:r>
      <w:r w:rsidR="00743173">
        <w:rPr>
          <w:rFonts w:ascii="Arial" w:hAnsi="Arial" w:cs="Arial"/>
          <w:szCs w:val="24"/>
        </w:rPr>
        <w:t xml:space="preserve"> or earlier if the Authority</w:t>
      </w:r>
      <w:r w:rsidR="006B34D1">
        <w:rPr>
          <w:rFonts w:ascii="Arial" w:hAnsi="Arial" w:cs="Arial"/>
          <w:szCs w:val="24"/>
        </w:rPr>
        <w:t xml:space="preserve"> revokes the scheme under section 84 of the Act</w:t>
      </w:r>
      <w:r w:rsidR="00011A5B" w:rsidRPr="00011A5B">
        <w:rPr>
          <w:rFonts w:ascii="Arial" w:hAnsi="Arial" w:cs="Arial"/>
          <w:szCs w:val="24"/>
        </w:rPr>
        <w:t xml:space="preserve">. </w:t>
      </w:r>
    </w:p>
    <w:p w14:paraId="6012004E" w14:textId="77777777" w:rsidR="00011A5B" w:rsidRDefault="00011A5B" w:rsidP="0079329D">
      <w:pPr>
        <w:ind w:right="708"/>
        <w:rPr>
          <w:rFonts w:ascii="Arial" w:hAnsi="Arial" w:cs="Arial"/>
          <w:szCs w:val="24"/>
        </w:rPr>
      </w:pPr>
    </w:p>
    <w:p w14:paraId="2DA2ABBF" w14:textId="77777777" w:rsidR="00506A75" w:rsidRDefault="002C1B3E" w:rsidP="0079329D">
      <w:pPr>
        <w:ind w:right="708"/>
        <w:rPr>
          <w:rFonts w:ascii="Arial" w:hAnsi="Arial" w:cs="Arial"/>
          <w:szCs w:val="24"/>
        </w:rPr>
      </w:pPr>
      <w:r>
        <w:rPr>
          <w:rFonts w:ascii="Arial" w:hAnsi="Arial" w:cs="Arial"/>
          <w:szCs w:val="24"/>
        </w:rPr>
        <w:t>AREA TO WHICH THE DESIGNATION APPLIES</w:t>
      </w:r>
    </w:p>
    <w:p w14:paraId="54A37815" w14:textId="77777777" w:rsidR="006B34D1" w:rsidRDefault="006B34D1" w:rsidP="0079329D">
      <w:pPr>
        <w:ind w:right="708"/>
        <w:rPr>
          <w:rFonts w:ascii="Arial" w:hAnsi="Arial" w:cs="Arial"/>
          <w:szCs w:val="24"/>
        </w:rPr>
      </w:pPr>
    </w:p>
    <w:p w14:paraId="1E42923A" w14:textId="514FA921" w:rsidR="002C1B3E" w:rsidRDefault="002C1B3E" w:rsidP="00CC5761">
      <w:pPr>
        <w:numPr>
          <w:ilvl w:val="0"/>
          <w:numId w:val="23"/>
        </w:numPr>
        <w:ind w:right="708"/>
        <w:rPr>
          <w:rFonts w:ascii="Arial" w:hAnsi="Arial" w:cs="Arial"/>
          <w:szCs w:val="24"/>
        </w:rPr>
      </w:pPr>
      <w:r>
        <w:rPr>
          <w:rFonts w:ascii="Arial" w:hAnsi="Arial" w:cs="Arial"/>
          <w:szCs w:val="24"/>
        </w:rPr>
        <w:t xml:space="preserve">This designation shall apply to </w:t>
      </w:r>
      <w:r w:rsidR="005E0594">
        <w:rPr>
          <w:rFonts w:ascii="Arial" w:hAnsi="Arial" w:cs="Arial"/>
          <w:szCs w:val="24"/>
        </w:rPr>
        <w:t>the</w:t>
      </w:r>
      <w:r>
        <w:rPr>
          <w:rFonts w:ascii="Arial" w:hAnsi="Arial" w:cs="Arial"/>
          <w:szCs w:val="24"/>
        </w:rPr>
        <w:t xml:space="preserve"> area of the London Borough of Waltham </w:t>
      </w:r>
      <w:r w:rsidR="000F3FC6">
        <w:rPr>
          <w:rFonts w:ascii="Arial" w:hAnsi="Arial" w:cs="Arial"/>
          <w:szCs w:val="24"/>
        </w:rPr>
        <w:t>F</w:t>
      </w:r>
      <w:r>
        <w:rPr>
          <w:rFonts w:ascii="Arial" w:hAnsi="Arial" w:cs="Arial"/>
          <w:szCs w:val="24"/>
        </w:rPr>
        <w:t xml:space="preserve">orest as delineated and edged red on the map </w:t>
      </w:r>
      <w:r w:rsidR="009B2C3D">
        <w:rPr>
          <w:rFonts w:ascii="Arial" w:hAnsi="Arial" w:cs="Arial"/>
          <w:szCs w:val="24"/>
        </w:rPr>
        <w:t>a</w:t>
      </w:r>
      <w:r w:rsidR="0079329D">
        <w:rPr>
          <w:rFonts w:ascii="Arial" w:hAnsi="Arial" w:cs="Arial"/>
          <w:szCs w:val="24"/>
        </w:rPr>
        <w:t>nnex</w:t>
      </w:r>
      <w:r w:rsidR="00962E19">
        <w:rPr>
          <w:rFonts w:ascii="Arial" w:hAnsi="Arial" w:cs="Arial"/>
          <w:szCs w:val="24"/>
        </w:rPr>
        <w:t xml:space="preserve"> </w:t>
      </w:r>
      <w:r w:rsidR="006B34D1">
        <w:rPr>
          <w:rFonts w:ascii="Arial" w:hAnsi="Arial" w:cs="Arial"/>
          <w:szCs w:val="24"/>
        </w:rPr>
        <w:t>A</w:t>
      </w:r>
      <w:r w:rsidR="00962E19">
        <w:rPr>
          <w:rFonts w:ascii="Arial" w:hAnsi="Arial" w:cs="Arial"/>
          <w:szCs w:val="24"/>
        </w:rPr>
        <w:t xml:space="preserve"> below</w:t>
      </w:r>
      <w:r>
        <w:rPr>
          <w:rFonts w:ascii="Arial" w:hAnsi="Arial" w:cs="Arial"/>
          <w:szCs w:val="24"/>
        </w:rPr>
        <w:t>.</w:t>
      </w:r>
    </w:p>
    <w:p w14:paraId="7AF07151" w14:textId="77777777" w:rsidR="002C1B3E" w:rsidRDefault="002C1B3E" w:rsidP="00CC5761">
      <w:pPr>
        <w:ind w:left="567" w:right="708"/>
        <w:rPr>
          <w:rFonts w:ascii="Arial" w:hAnsi="Arial" w:cs="Arial"/>
          <w:szCs w:val="24"/>
        </w:rPr>
      </w:pPr>
    </w:p>
    <w:p w14:paraId="75381DBE" w14:textId="77777777" w:rsidR="002C1B3E" w:rsidRDefault="002C1B3E" w:rsidP="0079329D">
      <w:pPr>
        <w:ind w:right="708"/>
        <w:rPr>
          <w:rFonts w:ascii="Arial" w:hAnsi="Arial" w:cs="Arial"/>
          <w:szCs w:val="24"/>
        </w:rPr>
      </w:pPr>
      <w:r>
        <w:rPr>
          <w:rFonts w:ascii="Arial" w:hAnsi="Arial" w:cs="Arial"/>
          <w:szCs w:val="24"/>
        </w:rPr>
        <w:t>APPLICATION OF THE DESIGNATION</w:t>
      </w:r>
    </w:p>
    <w:p w14:paraId="04DA02D4" w14:textId="77777777" w:rsidR="006B34D1" w:rsidRDefault="006B34D1" w:rsidP="0079329D">
      <w:pPr>
        <w:ind w:right="708"/>
        <w:rPr>
          <w:rFonts w:ascii="Arial" w:hAnsi="Arial" w:cs="Arial"/>
          <w:szCs w:val="24"/>
        </w:rPr>
      </w:pPr>
    </w:p>
    <w:p w14:paraId="3AAB3BC8" w14:textId="77777777" w:rsidR="001A79BA" w:rsidRDefault="009244A5" w:rsidP="005B5EC8">
      <w:pPr>
        <w:numPr>
          <w:ilvl w:val="0"/>
          <w:numId w:val="23"/>
        </w:numPr>
        <w:ind w:right="708"/>
        <w:rPr>
          <w:rFonts w:ascii="Arial" w:hAnsi="Arial" w:cs="Arial"/>
          <w:szCs w:val="24"/>
        </w:rPr>
      </w:pPr>
      <w:r w:rsidRPr="00011A5B">
        <w:rPr>
          <w:rFonts w:ascii="Arial" w:hAnsi="Arial" w:cs="Arial"/>
          <w:szCs w:val="24"/>
        </w:rPr>
        <w:t>The designation applies to all Houses in Mul</w:t>
      </w:r>
      <w:r w:rsidR="000C7CEB">
        <w:rPr>
          <w:rFonts w:ascii="Arial" w:hAnsi="Arial" w:cs="Arial"/>
          <w:szCs w:val="24"/>
        </w:rPr>
        <w:t xml:space="preserve">tiple Occupation (“HMOs’’) that: </w:t>
      </w:r>
    </w:p>
    <w:p w14:paraId="56214D68" w14:textId="77777777" w:rsidR="000C7CEB" w:rsidRPr="000C7CEB" w:rsidRDefault="000C7CEB" w:rsidP="000C7CEB">
      <w:pPr>
        <w:pStyle w:val="legclearfix"/>
        <w:ind w:firstLine="644"/>
        <w:rPr>
          <w:rFonts w:ascii="Arial" w:hAnsi="Arial" w:cs="Arial"/>
          <w:lang w:val="en"/>
        </w:rPr>
      </w:pPr>
      <w:r>
        <w:rPr>
          <w:rStyle w:val="legds"/>
          <w:rFonts w:ascii="Arial" w:hAnsi="Arial" w:cs="Arial"/>
          <w:lang w:val="en"/>
        </w:rPr>
        <w:t>(</w:t>
      </w:r>
      <w:proofErr w:type="spellStart"/>
      <w:r>
        <w:rPr>
          <w:rStyle w:val="legds"/>
          <w:rFonts w:ascii="Arial" w:hAnsi="Arial" w:cs="Arial"/>
          <w:lang w:val="en"/>
        </w:rPr>
        <w:t>i</w:t>
      </w:r>
      <w:proofErr w:type="spellEnd"/>
      <w:r w:rsidRPr="000C7CEB">
        <w:rPr>
          <w:rStyle w:val="legds"/>
          <w:rFonts w:ascii="Arial" w:hAnsi="Arial" w:cs="Arial"/>
          <w:lang w:val="en"/>
        </w:rPr>
        <w:t>)</w:t>
      </w:r>
      <w:r>
        <w:rPr>
          <w:rStyle w:val="legds"/>
          <w:rFonts w:ascii="Arial" w:hAnsi="Arial" w:cs="Arial"/>
          <w:lang w:val="en"/>
        </w:rPr>
        <w:t xml:space="preserve"> Meet</w:t>
      </w:r>
      <w:r w:rsidRPr="000C7CEB">
        <w:rPr>
          <w:rStyle w:val="legds"/>
          <w:rFonts w:ascii="Arial" w:hAnsi="Arial" w:cs="Arial"/>
          <w:lang w:val="en"/>
        </w:rPr>
        <w:t xml:space="preserve"> the conditions in </w:t>
      </w:r>
      <w:r>
        <w:rPr>
          <w:rStyle w:val="legds"/>
          <w:rFonts w:ascii="Arial" w:hAnsi="Arial" w:cs="Arial"/>
          <w:lang w:val="en"/>
        </w:rPr>
        <w:t>Section 254(2) of the Act</w:t>
      </w:r>
      <w:r w:rsidRPr="000C7CEB">
        <w:rPr>
          <w:rStyle w:val="legds"/>
          <w:rFonts w:ascii="Arial" w:hAnsi="Arial" w:cs="Arial"/>
          <w:lang w:val="en"/>
        </w:rPr>
        <w:t xml:space="preserve"> (“</w:t>
      </w:r>
      <w:r w:rsidRPr="000C7CEB">
        <w:rPr>
          <w:rStyle w:val="legterm"/>
          <w:rFonts w:ascii="Arial" w:hAnsi="Arial" w:cs="Arial"/>
          <w:lang w:val="en"/>
        </w:rPr>
        <w:t>the standard test</w:t>
      </w:r>
      <w:r w:rsidRPr="000C7CEB">
        <w:rPr>
          <w:rStyle w:val="legds"/>
          <w:rFonts w:ascii="Arial" w:hAnsi="Arial" w:cs="Arial"/>
          <w:lang w:val="en"/>
        </w:rPr>
        <w:t>”</w:t>
      </w:r>
      <w:proofErr w:type="gramStart"/>
      <w:r w:rsidRPr="000C7CEB">
        <w:rPr>
          <w:rStyle w:val="legds"/>
          <w:rFonts w:ascii="Arial" w:hAnsi="Arial" w:cs="Arial"/>
          <w:lang w:val="en"/>
        </w:rPr>
        <w:t>);</w:t>
      </w:r>
      <w:proofErr w:type="gramEnd"/>
    </w:p>
    <w:p w14:paraId="56A3823F" w14:textId="77777777" w:rsidR="000C7CEB" w:rsidRPr="000C7CEB" w:rsidRDefault="000C7CEB" w:rsidP="000C7CEB">
      <w:pPr>
        <w:pStyle w:val="legclearfix"/>
        <w:ind w:left="644"/>
        <w:rPr>
          <w:rFonts w:ascii="Arial" w:hAnsi="Arial" w:cs="Arial"/>
          <w:lang w:val="en"/>
        </w:rPr>
      </w:pPr>
      <w:r>
        <w:rPr>
          <w:rStyle w:val="legds"/>
          <w:rFonts w:ascii="Arial" w:hAnsi="Arial" w:cs="Arial"/>
          <w:lang w:val="en"/>
        </w:rPr>
        <w:t>(ii</w:t>
      </w:r>
      <w:r w:rsidRPr="000C7CEB">
        <w:rPr>
          <w:rStyle w:val="legds"/>
          <w:rFonts w:ascii="Arial" w:hAnsi="Arial" w:cs="Arial"/>
          <w:lang w:val="en"/>
        </w:rPr>
        <w:t>)</w:t>
      </w:r>
      <w:r>
        <w:rPr>
          <w:rStyle w:val="legds"/>
          <w:rFonts w:ascii="Arial" w:hAnsi="Arial" w:cs="Arial"/>
          <w:lang w:val="en"/>
        </w:rPr>
        <w:t xml:space="preserve"> M</w:t>
      </w:r>
      <w:r w:rsidRPr="000C7CEB">
        <w:rPr>
          <w:rStyle w:val="legds"/>
          <w:rFonts w:ascii="Arial" w:hAnsi="Arial" w:cs="Arial"/>
          <w:lang w:val="en"/>
        </w:rPr>
        <w:t>ee</w:t>
      </w:r>
      <w:r>
        <w:rPr>
          <w:rStyle w:val="legds"/>
          <w:rFonts w:ascii="Arial" w:hAnsi="Arial" w:cs="Arial"/>
          <w:lang w:val="en"/>
        </w:rPr>
        <w:t>ts the conditions in Section 254</w:t>
      </w:r>
      <w:r w:rsidRPr="000C7CEB">
        <w:rPr>
          <w:rStyle w:val="legds"/>
          <w:rFonts w:ascii="Arial" w:hAnsi="Arial" w:cs="Arial"/>
          <w:lang w:val="en"/>
        </w:rPr>
        <w:t xml:space="preserve">(3) </w:t>
      </w:r>
      <w:r>
        <w:rPr>
          <w:rStyle w:val="legds"/>
          <w:rFonts w:ascii="Arial" w:hAnsi="Arial" w:cs="Arial"/>
          <w:lang w:val="en"/>
        </w:rPr>
        <w:t xml:space="preserve">of the Act </w:t>
      </w:r>
      <w:r w:rsidRPr="000C7CEB">
        <w:rPr>
          <w:rStyle w:val="legds"/>
          <w:rFonts w:ascii="Arial" w:hAnsi="Arial" w:cs="Arial"/>
          <w:lang w:val="en"/>
        </w:rPr>
        <w:t>(“</w:t>
      </w:r>
      <w:r w:rsidRPr="000C7CEB">
        <w:rPr>
          <w:rStyle w:val="legterm"/>
          <w:rFonts w:ascii="Arial" w:hAnsi="Arial" w:cs="Arial"/>
          <w:lang w:val="en"/>
        </w:rPr>
        <w:t>the self-contained flat test</w:t>
      </w:r>
      <w:r w:rsidRPr="000C7CEB">
        <w:rPr>
          <w:rStyle w:val="legds"/>
          <w:rFonts w:ascii="Arial" w:hAnsi="Arial" w:cs="Arial"/>
          <w:lang w:val="en"/>
        </w:rPr>
        <w:t>”</w:t>
      </w:r>
      <w:proofErr w:type="gramStart"/>
      <w:r w:rsidRPr="000C7CEB">
        <w:rPr>
          <w:rStyle w:val="legds"/>
          <w:rFonts w:ascii="Arial" w:hAnsi="Arial" w:cs="Arial"/>
          <w:lang w:val="en"/>
        </w:rPr>
        <w:t>);</w:t>
      </w:r>
      <w:proofErr w:type="gramEnd"/>
    </w:p>
    <w:p w14:paraId="59C88134" w14:textId="77777777" w:rsidR="000C7CEB" w:rsidRPr="000C7CEB" w:rsidRDefault="000C7CEB" w:rsidP="000C7CEB">
      <w:pPr>
        <w:pStyle w:val="legclearfix"/>
        <w:ind w:left="644"/>
        <w:rPr>
          <w:rFonts w:ascii="Arial" w:hAnsi="Arial" w:cs="Arial"/>
          <w:lang w:val="en"/>
        </w:rPr>
      </w:pPr>
      <w:r>
        <w:rPr>
          <w:rStyle w:val="legds"/>
          <w:rFonts w:ascii="Arial" w:hAnsi="Arial" w:cs="Arial"/>
          <w:lang w:val="en"/>
        </w:rPr>
        <w:t>(iii</w:t>
      </w:r>
      <w:r w:rsidRPr="000C7CEB">
        <w:rPr>
          <w:rStyle w:val="legds"/>
          <w:rFonts w:ascii="Arial" w:hAnsi="Arial" w:cs="Arial"/>
          <w:lang w:val="en"/>
        </w:rPr>
        <w:t>)</w:t>
      </w:r>
      <w:r>
        <w:rPr>
          <w:rStyle w:val="legds"/>
          <w:rFonts w:ascii="Arial" w:hAnsi="Arial" w:cs="Arial"/>
          <w:lang w:val="en"/>
        </w:rPr>
        <w:t xml:space="preserve"> M</w:t>
      </w:r>
      <w:r w:rsidRPr="000C7CEB">
        <w:rPr>
          <w:rStyle w:val="legds"/>
          <w:rFonts w:ascii="Arial" w:hAnsi="Arial" w:cs="Arial"/>
          <w:lang w:val="en"/>
        </w:rPr>
        <w:t>e</w:t>
      </w:r>
      <w:r>
        <w:rPr>
          <w:rStyle w:val="legds"/>
          <w:rFonts w:ascii="Arial" w:hAnsi="Arial" w:cs="Arial"/>
          <w:lang w:val="en"/>
        </w:rPr>
        <w:t>ets the conditions in Section 254</w:t>
      </w:r>
      <w:r w:rsidRPr="000C7CEB">
        <w:rPr>
          <w:rStyle w:val="legds"/>
          <w:rFonts w:ascii="Arial" w:hAnsi="Arial" w:cs="Arial"/>
          <w:lang w:val="en"/>
        </w:rPr>
        <w:t xml:space="preserve"> (4) </w:t>
      </w:r>
      <w:r>
        <w:rPr>
          <w:rStyle w:val="legds"/>
          <w:rFonts w:ascii="Arial" w:hAnsi="Arial" w:cs="Arial"/>
          <w:lang w:val="en"/>
        </w:rPr>
        <w:t xml:space="preserve">of the Act </w:t>
      </w:r>
      <w:r w:rsidRPr="000C7CEB">
        <w:rPr>
          <w:rStyle w:val="legds"/>
          <w:rFonts w:ascii="Arial" w:hAnsi="Arial" w:cs="Arial"/>
          <w:lang w:val="en"/>
        </w:rPr>
        <w:t>(“</w:t>
      </w:r>
      <w:r w:rsidRPr="000C7CEB">
        <w:rPr>
          <w:rStyle w:val="legterm"/>
          <w:rFonts w:ascii="Arial" w:hAnsi="Arial" w:cs="Arial"/>
          <w:lang w:val="en"/>
        </w:rPr>
        <w:t>the converted building test</w:t>
      </w:r>
      <w:r w:rsidRPr="000C7CEB">
        <w:rPr>
          <w:rStyle w:val="legds"/>
          <w:rFonts w:ascii="Arial" w:hAnsi="Arial" w:cs="Arial"/>
          <w:lang w:val="en"/>
        </w:rPr>
        <w:t>”);</w:t>
      </w:r>
      <w:r>
        <w:rPr>
          <w:rStyle w:val="legds"/>
          <w:rFonts w:ascii="Arial" w:hAnsi="Arial" w:cs="Arial"/>
          <w:lang w:val="en"/>
        </w:rPr>
        <w:t xml:space="preserve"> or</w:t>
      </w:r>
    </w:p>
    <w:p w14:paraId="7C118B51" w14:textId="77777777" w:rsidR="000C7CEB" w:rsidRPr="000C7CEB" w:rsidRDefault="000C7CEB" w:rsidP="000C7CEB">
      <w:pPr>
        <w:pStyle w:val="legclearfix"/>
        <w:ind w:firstLine="644"/>
        <w:rPr>
          <w:rFonts w:ascii="Arial" w:hAnsi="Arial" w:cs="Arial"/>
          <w:lang w:val="en"/>
        </w:rPr>
      </w:pPr>
      <w:r>
        <w:rPr>
          <w:rStyle w:val="legds"/>
          <w:rFonts w:ascii="Arial" w:hAnsi="Arial" w:cs="Arial"/>
          <w:lang w:val="en"/>
        </w:rPr>
        <w:t>(iv</w:t>
      </w:r>
      <w:r w:rsidRPr="000C7CEB">
        <w:rPr>
          <w:rStyle w:val="legds"/>
          <w:rFonts w:ascii="Arial" w:hAnsi="Arial" w:cs="Arial"/>
          <w:lang w:val="en"/>
        </w:rPr>
        <w:t>)</w:t>
      </w:r>
      <w:r>
        <w:rPr>
          <w:rStyle w:val="legds"/>
          <w:rFonts w:ascii="Arial" w:hAnsi="Arial" w:cs="Arial"/>
          <w:lang w:val="en"/>
        </w:rPr>
        <w:t xml:space="preserve"> </w:t>
      </w:r>
      <w:r w:rsidR="009B2C3D">
        <w:rPr>
          <w:rStyle w:val="legds"/>
          <w:rFonts w:ascii="Arial" w:hAnsi="Arial" w:cs="Arial"/>
          <w:lang w:val="en"/>
        </w:rPr>
        <w:t xml:space="preserve"> </w:t>
      </w:r>
      <w:r>
        <w:rPr>
          <w:rStyle w:val="legds"/>
          <w:rFonts w:ascii="Arial" w:hAnsi="Arial" w:cs="Arial"/>
          <w:lang w:val="en"/>
        </w:rPr>
        <w:t>A</w:t>
      </w:r>
      <w:r w:rsidRPr="000C7CEB">
        <w:rPr>
          <w:rStyle w:val="legds"/>
          <w:rFonts w:ascii="Arial" w:hAnsi="Arial" w:cs="Arial"/>
          <w:lang w:val="en"/>
        </w:rPr>
        <w:t>n HMO declaration is in force in respect of it under section 255</w:t>
      </w:r>
    </w:p>
    <w:p w14:paraId="481AA40D" w14:textId="77777777" w:rsidR="000C7CEB" w:rsidRDefault="009B2C3D" w:rsidP="000C7CEB">
      <w:pPr>
        <w:ind w:left="644" w:right="708"/>
        <w:rPr>
          <w:rFonts w:ascii="Arial" w:hAnsi="Arial" w:cs="Arial"/>
          <w:szCs w:val="24"/>
        </w:rPr>
      </w:pPr>
      <w:r>
        <w:rPr>
          <w:rFonts w:ascii="Arial" w:hAnsi="Arial" w:cs="Arial"/>
          <w:szCs w:val="24"/>
        </w:rPr>
        <w:t xml:space="preserve">as defined in annex B </w:t>
      </w:r>
      <w:r w:rsidR="000C7CEB">
        <w:rPr>
          <w:rFonts w:ascii="Arial" w:hAnsi="Arial" w:cs="Arial"/>
          <w:szCs w:val="24"/>
        </w:rPr>
        <w:t>within the area described in paragraph 4 unless:</w:t>
      </w:r>
    </w:p>
    <w:p w14:paraId="411469DA" w14:textId="77777777" w:rsidR="000C7CEB" w:rsidRDefault="000C7CEB" w:rsidP="000C7CEB">
      <w:pPr>
        <w:ind w:left="644" w:right="708"/>
        <w:rPr>
          <w:rFonts w:ascii="Arial" w:hAnsi="Arial" w:cs="Arial"/>
          <w:szCs w:val="24"/>
        </w:rPr>
      </w:pPr>
    </w:p>
    <w:p w14:paraId="472DB5F3" w14:textId="77777777" w:rsidR="000C7CEB" w:rsidRDefault="000C7CEB" w:rsidP="000C7CEB">
      <w:pPr>
        <w:numPr>
          <w:ilvl w:val="0"/>
          <w:numId w:val="28"/>
        </w:numPr>
        <w:ind w:right="708"/>
        <w:rPr>
          <w:rFonts w:ascii="Arial" w:hAnsi="Arial" w:cs="Arial"/>
          <w:szCs w:val="24"/>
        </w:rPr>
      </w:pPr>
      <w:r w:rsidRPr="000C7CEB">
        <w:rPr>
          <w:rFonts w:ascii="Arial" w:hAnsi="Arial" w:cs="Arial"/>
          <w:szCs w:val="24"/>
        </w:rPr>
        <w:lastRenderedPageBreak/>
        <w:t xml:space="preserve">the house is </w:t>
      </w:r>
      <w:r w:rsidR="00194CB0">
        <w:rPr>
          <w:rFonts w:ascii="Arial" w:hAnsi="Arial" w:cs="Arial"/>
          <w:szCs w:val="24"/>
        </w:rPr>
        <w:t>an HMO</w:t>
      </w:r>
      <w:r w:rsidRPr="000C7CEB">
        <w:rPr>
          <w:rFonts w:ascii="Arial" w:hAnsi="Arial" w:cs="Arial"/>
          <w:szCs w:val="24"/>
        </w:rPr>
        <w:t xml:space="preserve"> that falls within the nationally prescribed category of HMO that is required to be licensed as a ‘mandatory HMO’ under section 55(2)(a) Part 2 of the Act</w:t>
      </w:r>
      <w:r>
        <w:rPr>
          <w:rStyle w:val="FootnoteReference"/>
          <w:rFonts w:ascii="Arial" w:hAnsi="Arial" w:cs="Arial"/>
          <w:szCs w:val="24"/>
        </w:rPr>
        <w:footnoteReference w:id="1"/>
      </w:r>
      <w:r w:rsidRPr="000C7CEB">
        <w:rPr>
          <w:rFonts w:ascii="Arial" w:hAnsi="Arial" w:cs="Arial"/>
          <w:szCs w:val="24"/>
        </w:rPr>
        <w:t xml:space="preserve"> ;</w:t>
      </w:r>
    </w:p>
    <w:p w14:paraId="3FA9F861" w14:textId="77777777" w:rsidR="00963E82" w:rsidRDefault="00963E82" w:rsidP="00963E82">
      <w:pPr>
        <w:ind w:left="1004" w:right="708"/>
        <w:rPr>
          <w:rFonts w:ascii="Arial" w:hAnsi="Arial" w:cs="Arial"/>
          <w:szCs w:val="24"/>
        </w:rPr>
      </w:pPr>
    </w:p>
    <w:p w14:paraId="76AA778D" w14:textId="77777777" w:rsidR="00963E82" w:rsidRDefault="00963E82" w:rsidP="00963E82">
      <w:pPr>
        <w:numPr>
          <w:ilvl w:val="0"/>
          <w:numId w:val="28"/>
        </w:numPr>
        <w:ind w:right="708"/>
        <w:rPr>
          <w:rFonts w:ascii="Arial" w:hAnsi="Arial" w:cs="Arial"/>
          <w:szCs w:val="24"/>
        </w:rPr>
      </w:pPr>
      <w:r w:rsidRPr="00963E82">
        <w:rPr>
          <w:rFonts w:ascii="Arial" w:hAnsi="Arial" w:cs="Arial"/>
          <w:szCs w:val="24"/>
        </w:rPr>
        <w:t xml:space="preserve">the house is subject to an Interim or Final Management Order under Part 4 of the </w:t>
      </w:r>
      <w:proofErr w:type="gramStart"/>
      <w:r w:rsidRPr="00963E82">
        <w:rPr>
          <w:rFonts w:ascii="Arial" w:hAnsi="Arial" w:cs="Arial"/>
          <w:szCs w:val="24"/>
        </w:rPr>
        <w:t>Act;</w:t>
      </w:r>
      <w:proofErr w:type="gramEnd"/>
    </w:p>
    <w:p w14:paraId="04B96605" w14:textId="77777777" w:rsidR="00963E82" w:rsidRPr="00963E82" w:rsidRDefault="00963E82" w:rsidP="00963E82">
      <w:pPr>
        <w:ind w:right="708"/>
        <w:rPr>
          <w:rFonts w:ascii="Arial" w:hAnsi="Arial" w:cs="Arial"/>
          <w:szCs w:val="24"/>
        </w:rPr>
      </w:pPr>
    </w:p>
    <w:p w14:paraId="578B82CA" w14:textId="77777777" w:rsidR="00963E82" w:rsidRPr="00963E82" w:rsidRDefault="00963E82" w:rsidP="00963E82">
      <w:pPr>
        <w:numPr>
          <w:ilvl w:val="0"/>
          <w:numId w:val="28"/>
        </w:numPr>
        <w:ind w:right="708"/>
        <w:rPr>
          <w:rFonts w:ascii="Arial" w:hAnsi="Arial" w:cs="Arial"/>
          <w:szCs w:val="24"/>
        </w:rPr>
      </w:pPr>
      <w:r w:rsidRPr="00963E82">
        <w:rPr>
          <w:rFonts w:ascii="Arial" w:hAnsi="Arial" w:cs="Arial"/>
          <w:szCs w:val="24"/>
        </w:rPr>
        <w:t>the house is subject to a temp</w:t>
      </w:r>
      <w:r>
        <w:rPr>
          <w:rFonts w:ascii="Arial" w:hAnsi="Arial" w:cs="Arial"/>
          <w:szCs w:val="24"/>
        </w:rPr>
        <w:t>orary exemption under section 62</w:t>
      </w:r>
      <w:r w:rsidRPr="00963E82">
        <w:rPr>
          <w:rFonts w:ascii="Arial" w:hAnsi="Arial" w:cs="Arial"/>
          <w:szCs w:val="24"/>
        </w:rPr>
        <w:t xml:space="preserve"> of the Act; or</w:t>
      </w:r>
    </w:p>
    <w:p w14:paraId="1E256955" w14:textId="77777777" w:rsidR="00963E82" w:rsidRDefault="00963E82" w:rsidP="00963E82">
      <w:pPr>
        <w:ind w:left="1004" w:right="708"/>
        <w:rPr>
          <w:rFonts w:ascii="Arial" w:hAnsi="Arial" w:cs="Arial"/>
          <w:szCs w:val="24"/>
        </w:rPr>
      </w:pPr>
    </w:p>
    <w:p w14:paraId="1C46B594" w14:textId="77777777" w:rsidR="000C7CEB" w:rsidRDefault="00194CB0" w:rsidP="00194CB0">
      <w:pPr>
        <w:numPr>
          <w:ilvl w:val="0"/>
          <w:numId w:val="28"/>
        </w:numPr>
        <w:ind w:right="708"/>
        <w:rPr>
          <w:rFonts w:ascii="Arial" w:hAnsi="Arial" w:cs="Arial"/>
          <w:szCs w:val="24"/>
        </w:rPr>
      </w:pPr>
      <w:r>
        <w:rPr>
          <w:rFonts w:ascii="Arial" w:hAnsi="Arial" w:cs="Arial"/>
          <w:szCs w:val="24"/>
        </w:rPr>
        <w:t xml:space="preserve">The house is an HMO that is </w:t>
      </w:r>
      <w:r w:rsidRPr="00194CB0">
        <w:rPr>
          <w:rFonts w:ascii="Arial" w:hAnsi="Arial" w:cs="Arial"/>
          <w:szCs w:val="24"/>
        </w:rPr>
        <w:t>a building o</w:t>
      </w:r>
      <w:r>
        <w:rPr>
          <w:rFonts w:ascii="Arial" w:hAnsi="Arial" w:cs="Arial"/>
          <w:szCs w:val="24"/>
        </w:rPr>
        <w:t xml:space="preserve">r part of a building that </w:t>
      </w:r>
      <w:r w:rsidRPr="00194CB0">
        <w:rPr>
          <w:rFonts w:ascii="Arial" w:hAnsi="Arial" w:cs="Arial"/>
          <w:szCs w:val="24"/>
        </w:rPr>
        <w:t>is no</w:t>
      </w:r>
      <w:r>
        <w:rPr>
          <w:rFonts w:ascii="Arial" w:hAnsi="Arial" w:cs="Arial"/>
          <w:szCs w:val="24"/>
        </w:rPr>
        <w:t>t an HMO</w:t>
      </w:r>
      <w:r w:rsidRPr="00194CB0">
        <w:rPr>
          <w:rFonts w:ascii="Arial" w:hAnsi="Arial" w:cs="Arial"/>
          <w:szCs w:val="24"/>
        </w:rPr>
        <w:t xml:space="preserve"> </w:t>
      </w:r>
      <w:r>
        <w:rPr>
          <w:rFonts w:ascii="Arial" w:hAnsi="Arial" w:cs="Arial"/>
          <w:szCs w:val="24"/>
        </w:rPr>
        <w:t>for the purposes of licensing under Part 2 of the Act</w:t>
      </w:r>
      <w:r>
        <w:rPr>
          <w:rStyle w:val="FootnoteReference"/>
          <w:rFonts w:ascii="Arial" w:hAnsi="Arial" w:cs="Arial"/>
          <w:szCs w:val="24"/>
        </w:rPr>
        <w:footnoteReference w:id="2"/>
      </w:r>
      <w:r w:rsidR="009B2C3D">
        <w:rPr>
          <w:rFonts w:ascii="Arial" w:hAnsi="Arial" w:cs="Arial"/>
          <w:szCs w:val="24"/>
        </w:rPr>
        <w:t xml:space="preserve"> as defined in annex C</w:t>
      </w:r>
      <w:r>
        <w:rPr>
          <w:rFonts w:ascii="Arial" w:hAnsi="Arial" w:cs="Arial"/>
          <w:szCs w:val="24"/>
        </w:rPr>
        <w:t xml:space="preserve">. </w:t>
      </w:r>
    </w:p>
    <w:p w14:paraId="5FB09E1E" w14:textId="77777777" w:rsidR="000C7CEB" w:rsidRDefault="000C7CEB" w:rsidP="000C7CEB">
      <w:pPr>
        <w:ind w:left="644" w:right="708"/>
        <w:rPr>
          <w:rFonts w:ascii="Arial" w:hAnsi="Arial" w:cs="Arial"/>
          <w:szCs w:val="24"/>
        </w:rPr>
      </w:pPr>
    </w:p>
    <w:p w14:paraId="15AEDD50" w14:textId="77777777" w:rsidR="00963E82" w:rsidRDefault="00963E82" w:rsidP="00963E82">
      <w:pPr>
        <w:ind w:right="708"/>
        <w:rPr>
          <w:rFonts w:ascii="Arial" w:hAnsi="Arial" w:cs="Arial"/>
          <w:szCs w:val="24"/>
        </w:rPr>
      </w:pPr>
      <w:r>
        <w:rPr>
          <w:rFonts w:ascii="Arial" w:hAnsi="Arial" w:cs="Arial"/>
          <w:szCs w:val="24"/>
        </w:rPr>
        <w:t>EFFECT OF THE DESIGNATION</w:t>
      </w:r>
    </w:p>
    <w:p w14:paraId="706CF590" w14:textId="77777777" w:rsidR="00963E82" w:rsidRDefault="00963E82" w:rsidP="00963E82">
      <w:pPr>
        <w:ind w:right="708"/>
        <w:rPr>
          <w:rFonts w:ascii="Arial" w:hAnsi="Arial" w:cs="Arial"/>
          <w:szCs w:val="24"/>
        </w:rPr>
      </w:pPr>
    </w:p>
    <w:p w14:paraId="1F159BA9" w14:textId="77777777" w:rsidR="00963E82" w:rsidRPr="002A2598" w:rsidRDefault="00963E82" w:rsidP="00963E82">
      <w:pPr>
        <w:numPr>
          <w:ilvl w:val="0"/>
          <w:numId w:val="23"/>
        </w:numPr>
        <w:ind w:right="708"/>
        <w:rPr>
          <w:rFonts w:ascii="Arial" w:hAnsi="Arial" w:cs="Arial"/>
          <w:szCs w:val="24"/>
        </w:rPr>
      </w:pPr>
      <w:r w:rsidRPr="002A2598">
        <w:rPr>
          <w:rFonts w:ascii="Arial" w:hAnsi="Arial" w:cs="Arial"/>
          <w:szCs w:val="24"/>
        </w:rPr>
        <w:t>Subj</w:t>
      </w:r>
      <w:r>
        <w:rPr>
          <w:rFonts w:ascii="Arial" w:hAnsi="Arial" w:cs="Arial"/>
          <w:szCs w:val="24"/>
        </w:rPr>
        <w:t>ect to sub paragraphs 5(a) to (d</w:t>
      </w:r>
      <w:r w:rsidRPr="002A2598">
        <w:rPr>
          <w:rFonts w:ascii="Arial" w:hAnsi="Arial" w:cs="Arial"/>
          <w:szCs w:val="24"/>
        </w:rPr>
        <w:t xml:space="preserve">) </w:t>
      </w:r>
      <w:r>
        <w:rPr>
          <w:rFonts w:ascii="Arial" w:hAnsi="Arial" w:cs="Arial"/>
          <w:szCs w:val="24"/>
        </w:rPr>
        <w:t>above, every HMO</w:t>
      </w:r>
      <w:r w:rsidRPr="002A2598">
        <w:rPr>
          <w:rFonts w:ascii="Arial" w:hAnsi="Arial" w:cs="Arial"/>
          <w:szCs w:val="24"/>
        </w:rPr>
        <w:t xml:space="preserve"> in the area specified in paragraph 4 that is occupied under a tenancy or licence shall be required to be licens</w:t>
      </w:r>
      <w:r>
        <w:rPr>
          <w:rFonts w:ascii="Arial" w:hAnsi="Arial" w:cs="Arial"/>
          <w:szCs w:val="24"/>
        </w:rPr>
        <w:t>ed under section 61 of the Act.</w:t>
      </w:r>
    </w:p>
    <w:p w14:paraId="1B017019" w14:textId="77777777" w:rsidR="00963E82" w:rsidRPr="002A2598" w:rsidRDefault="00963E82" w:rsidP="00963E82">
      <w:pPr>
        <w:ind w:left="567" w:right="708"/>
        <w:rPr>
          <w:rFonts w:ascii="Arial" w:hAnsi="Arial" w:cs="Arial"/>
          <w:szCs w:val="24"/>
        </w:rPr>
      </w:pPr>
    </w:p>
    <w:p w14:paraId="2136306C" w14:textId="77777777" w:rsidR="00963E82" w:rsidRDefault="00963E82" w:rsidP="00963E82">
      <w:pPr>
        <w:numPr>
          <w:ilvl w:val="0"/>
          <w:numId w:val="23"/>
        </w:numPr>
        <w:ind w:right="708"/>
        <w:rPr>
          <w:rFonts w:ascii="Arial" w:hAnsi="Arial" w:cs="Arial"/>
          <w:szCs w:val="24"/>
        </w:rPr>
      </w:pPr>
      <w:r w:rsidRPr="002A2598">
        <w:rPr>
          <w:rFonts w:ascii="Arial" w:hAnsi="Arial" w:cs="Arial"/>
          <w:szCs w:val="24"/>
        </w:rPr>
        <w:t>The London Borough of Waltham Forest will comply with the notification requ</w:t>
      </w:r>
      <w:r w:rsidR="00E20823">
        <w:rPr>
          <w:rFonts w:ascii="Arial" w:hAnsi="Arial" w:cs="Arial"/>
          <w:szCs w:val="24"/>
        </w:rPr>
        <w:t>irements contained in section 59</w:t>
      </w:r>
      <w:r w:rsidRPr="002A2598">
        <w:rPr>
          <w:rFonts w:ascii="Arial" w:hAnsi="Arial" w:cs="Arial"/>
          <w:szCs w:val="24"/>
        </w:rPr>
        <w:t xml:space="preserve"> of the Act and shall maintain a register of all houses registered under this designation, as require</w:t>
      </w:r>
      <w:r>
        <w:rPr>
          <w:rFonts w:ascii="Arial" w:hAnsi="Arial" w:cs="Arial"/>
          <w:szCs w:val="24"/>
        </w:rPr>
        <w:t>d under section 232 of the Act.</w:t>
      </w:r>
      <w:r w:rsidR="00E20823">
        <w:rPr>
          <w:rStyle w:val="FootnoteReference"/>
          <w:rFonts w:ascii="Arial" w:hAnsi="Arial" w:cs="Arial"/>
          <w:szCs w:val="24"/>
        </w:rPr>
        <w:footnoteReference w:id="3"/>
      </w:r>
    </w:p>
    <w:p w14:paraId="36EC61B2" w14:textId="785114DC" w:rsidR="002C1B3E" w:rsidRDefault="0082276F" w:rsidP="009B2C3D">
      <w:pPr>
        <w:ind w:right="708"/>
        <w:rPr>
          <w:rFonts w:ascii="Arial" w:hAnsi="Arial" w:cs="Arial"/>
          <w:szCs w:val="24"/>
        </w:rPr>
      </w:pPr>
      <w:r>
        <w:rPr>
          <w:noProof/>
        </w:rPr>
        <w:drawing>
          <wp:anchor distT="0" distB="0" distL="114300" distR="114300" simplePos="0" relativeHeight="251660800" behindDoc="1" locked="0" layoutInCell="1" allowOverlap="1" wp14:anchorId="10CA07FC" wp14:editId="11DA21D8">
            <wp:simplePos x="0" y="0"/>
            <wp:positionH relativeFrom="column">
              <wp:posOffset>732155</wp:posOffset>
            </wp:positionH>
            <wp:positionV relativeFrom="paragraph">
              <wp:posOffset>146050</wp:posOffset>
            </wp:positionV>
            <wp:extent cx="1449070" cy="5765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07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CC7ED" w14:textId="77777777" w:rsidR="00963E82" w:rsidRDefault="00963E82" w:rsidP="009B2C3D">
      <w:pPr>
        <w:ind w:right="708"/>
        <w:rPr>
          <w:rFonts w:ascii="Arial" w:hAnsi="Arial" w:cs="Arial"/>
          <w:szCs w:val="24"/>
        </w:rPr>
      </w:pPr>
    </w:p>
    <w:p w14:paraId="593E95E7" w14:textId="24788D7A" w:rsidR="00506A75" w:rsidRDefault="00506A75" w:rsidP="0079329D">
      <w:pPr>
        <w:ind w:right="708"/>
        <w:rPr>
          <w:rFonts w:ascii="Arial" w:hAnsi="Arial" w:cs="Arial"/>
          <w:szCs w:val="24"/>
        </w:rPr>
      </w:pPr>
      <w:r w:rsidRPr="00506A75">
        <w:rPr>
          <w:rFonts w:ascii="Arial" w:hAnsi="Arial" w:cs="Arial"/>
          <w:szCs w:val="24"/>
        </w:rPr>
        <w:t>Signed</w:t>
      </w:r>
      <w:r w:rsidR="0082276F">
        <w:rPr>
          <w:rFonts w:ascii="Arial" w:hAnsi="Arial" w:cs="Arial"/>
          <w:szCs w:val="24"/>
        </w:rPr>
        <w:t xml:space="preserve">:  </w:t>
      </w:r>
      <w:r w:rsidR="0082276F">
        <w:rPr>
          <w:rFonts w:ascii="Calibri" w:hAnsi="Calibri" w:cs="Calibri"/>
          <w:color w:val="000000"/>
          <w:sz w:val="22"/>
          <w:szCs w:val="22"/>
          <w:shd w:val="clear" w:color="auto" w:fill="FFFFFF"/>
        </w:rPr>
        <w:br/>
      </w:r>
    </w:p>
    <w:p w14:paraId="407A74C9" w14:textId="77777777" w:rsidR="009B2C3D" w:rsidRDefault="009B2C3D" w:rsidP="0079329D">
      <w:pPr>
        <w:ind w:right="708"/>
        <w:rPr>
          <w:rFonts w:ascii="Arial" w:hAnsi="Arial" w:cs="Arial"/>
          <w:szCs w:val="24"/>
        </w:rPr>
      </w:pPr>
    </w:p>
    <w:p w14:paraId="34DF1B10" w14:textId="77777777" w:rsidR="009B2C3D" w:rsidRDefault="009B2C3D" w:rsidP="0079329D">
      <w:pPr>
        <w:ind w:right="708"/>
        <w:rPr>
          <w:rFonts w:ascii="Arial" w:hAnsi="Arial" w:cs="Arial"/>
          <w:szCs w:val="24"/>
        </w:rPr>
      </w:pPr>
    </w:p>
    <w:p w14:paraId="6E1DF8B2" w14:textId="3DEC0EDC" w:rsidR="009B2C3D" w:rsidRDefault="00414A31" w:rsidP="0079329D">
      <w:pPr>
        <w:ind w:right="708"/>
        <w:rPr>
          <w:rFonts w:ascii="Arial" w:hAnsi="Arial" w:cs="Arial"/>
          <w:szCs w:val="24"/>
        </w:rPr>
      </w:pPr>
      <w:r>
        <w:rPr>
          <w:rFonts w:ascii="Arial" w:hAnsi="Arial" w:cs="Arial"/>
          <w:szCs w:val="24"/>
        </w:rPr>
        <w:t>Dated:</w:t>
      </w:r>
      <w:r w:rsidR="0082276F">
        <w:rPr>
          <w:rFonts w:ascii="Arial" w:hAnsi="Arial" w:cs="Arial"/>
          <w:szCs w:val="24"/>
        </w:rPr>
        <w:t xml:space="preserve"> 09/07/2024</w:t>
      </w:r>
    </w:p>
    <w:p w14:paraId="0EDAB43C" w14:textId="77777777" w:rsidR="00D273A5" w:rsidRDefault="00D273A5" w:rsidP="0079329D">
      <w:pPr>
        <w:ind w:right="708"/>
        <w:rPr>
          <w:rFonts w:ascii="Arial" w:hAnsi="Arial" w:cs="Arial"/>
          <w:szCs w:val="24"/>
        </w:rPr>
      </w:pPr>
    </w:p>
    <w:p w14:paraId="7741271A" w14:textId="77777777" w:rsidR="00962E19" w:rsidRPr="00962E19" w:rsidRDefault="00962E19" w:rsidP="0079329D">
      <w:pPr>
        <w:ind w:right="708"/>
        <w:rPr>
          <w:rFonts w:ascii="Arial" w:hAnsi="Arial" w:cs="Arial"/>
          <w:szCs w:val="24"/>
        </w:rPr>
      </w:pPr>
      <w:r>
        <w:rPr>
          <w:rFonts w:ascii="Arial" w:hAnsi="Arial" w:cs="Arial"/>
          <w:szCs w:val="24"/>
        </w:rPr>
        <w:t>Portfo</w:t>
      </w:r>
      <w:r w:rsidR="0079329D">
        <w:rPr>
          <w:rFonts w:ascii="Arial" w:hAnsi="Arial" w:cs="Arial"/>
          <w:szCs w:val="24"/>
        </w:rPr>
        <w:t xml:space="preserve">lio holder and elected Cabinet </w:t>
      </w:r>
    </w:p>
    <w:p w14:paraId="19861153" w14:textId="77777777" w:rsidR="00962E19" w:rsidRPr="00962E19" w:rsidRDefault="00962E19" w:rsidP="00962E19">
      <w:pPr>
        <w:ind w:left="284" w:right="708"/>
        <w:rPr>
          <w:rFonts w:ascii="Arial" w:hAnsi="Arial" w:cs="Arial"/>
          <w:szCs w:val="24"/>
        </w:rPr>
      </w:pPr>
    </w:p>
    <w:p w14:paraId="475360D0" w14:textId="77777777" w:rsidR="00962E19" w:rsidRPr="00962E19" w:rsidRDefault="00962E19" w:rsidP="0079329D">
      <w:pPr>
        <w:ind w:right="708"/>
        <w:rPr>
          <w:rFonts w:ascii="Arial" w:hAnsi="Arial" w:cs="Arial"/>
          <w:szCs w:val="24"/>
        </w:rPr>
      </w:pPr>
      <w:r w:rsidRPr="00962E19">
        <w:rPr>
          <w:rFonts w:ascii="Arial" w:hAnsi="Arial" w:cs="Arial"/>
          <w:szCs w:val="24"/>
        </w:rPr>
        <w:t xml:space="preserve">For and on behalf of London Borough of </w:t>
      </w:r>
      <w:r>
        <w:rPr>
          <w:rFonts w:ascii="Arial" w:hAnsi="Arial" w:cs="Arial"/>
          <w:szCs w:val="24"/>
        </w:rPr>
        <w:t>Waltham Forest</w:t>
      </w:r>
      <w:r w:rsidRPr="00962E19">
        <w:rPr>
          <w:rFonts w:ascii="Arial" w:hAnsi="Arial" w:cs="Arial"/>
          <w:szCs w:val="24"/>
        </w:rPr>
        <w:t xml:space="preserve">, </w:t>
      </w:r>
    </w:p>
    <w:p w14:paraId="64B5E639" w14:textId="77777777" w:rsidR="00962E19" w:rsidRPr="00962E19" w:rsidRDefault="00962E19" w:rsidP="00962E19">
      <w:pPr>
        <w:ind w:left="284" w:right="708"/>
        <w:rPr>
          <w:rFonts w:ascii="Arial" w:hAnsi="Arial" w:cs="Arial"/>
          <w:szCs w:val="24"/>
        </w:rPr>
      </w:pPr>
    </w:p>
    <w:p w14:paraId="314E10AB" w14:textId="77777777" w:rsidR="006A19D1" w:rsidRDefault="006A19D1" w:rsidP="00BB51CE"/>
    <w:p w14:paraId="1AE2428B" w14:textId="77777777" w:rsidR="00CC5761" w:rsidRDefault="00CC5761" w:rsidP="00BB51CE"/>
    <w:p w14:paraId="751FA0D7" w14:textId="77777777" w:rsidR="009B2C3D" w:rsidRDefault="009B2C3D" w:rsidP="00BB51CE"/>
    <w:p w14:paraId="596A49D8" w14:textId="77777777" w:rsidR="009B2C3D" w:rsidRDefault="009B2C3D" w:rsidP="00BB51CE"/>
    <w:p w14:paraId="5D9FD97B" w14:textId="77777777" w:rsidR="00CC5761" w:rsidRDefault="0079329D" w:rsidP="00BB51CE">
      <w:r>
        <w:t>Annex A</w:t>
      </w:r>
      <w:r w:rsidR="00CC5761">
        <w:t xml:space="preserve">: </w:t>
      </w:r>
    </w:p>
    <w:p w14:paraId="586720BE" w14:textId="42A53033" w:rsidR="00E20823" w:rsidRPr="006A19D1" w:rsidRDefault="00A126A4" w:rsidP="00BB51CE">
      <w:r>
        <w:rPr>
          <w:noProof/>
        </w:rPr>
        <w:lastRenderedPageBreak/>
        <w:drawing>
          <wp:anchor distT="0" distB="0" distL="114300" distR="114300" simplePos="0" relativeHeight="251657728" behindDoc="0" locked="0" layoutInCell="1" allowOverlap="1" wp14:anchorId="65B15EC1" wp14:editId="1554D2F6">
            <wp:simplePos x="0" y="0"/>
            <wp:positionH relativeFrom="margin">
              <wp:posOffset>264795</wp:posOffset>
            </wp:positionH>
            <wp:positionV relativeFrom="paragraph">
              <wp:posOffset>62230</wp:posOffset>
            </wp:positionV>
            <wp:extent cx="4125595" cy="7599680"/>
            <wp:effectExtent l="0" t="0" r="0" b="0"/>
            <wp:wrapNone/>
            <wp:docPr id="13"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0"/>
                    <a:srcRect l="32386" r="31685"/>
                    <a:stretch/>
                  </pic:blipFill>
                  <pic:spPr bwMode="auto">
                    <a:xfrm rot="21480000">
                      <a:off x="0" y="0"/>
                      <a:ext cx="4125595" cy="7599680"/>
                    </a:xfrm>
                    <a:prstGeom prst="rect">
                      <a:avLst/>
                    </a:prstGeom>
                    <a:ln>
                      <a:noFill/>
                    </a:ln>
                  </pic:spPr>
                </pic:pic>
              </a:graphicData>
            </a:graphic>
            <wp14:sizeRelH relativeFrom="margin">
              <wp14:pctWidth>0</wp14:pctWidth>
            </wp14:sizeRelH>
            <wp14:sizeRelV relativeFrom="margin">
              <wp14:pctHeight>0</wp14:pctHeight>
            </wp14:sizeRelV>
          </wp:anchor>
        </w:drawing>
      </w:r>
    </w:p>
    <w:p w14:paraId="265DBC99" w14:textId="24D2B637" w:rsidR="00312EA6" w:rsidRDefault="0082276F" w:rsidP="00312EA6">
      <w:r>
        <w:rPr>
          <w:noProof/>
        </w:rPr>
        <w:drawing>
          <wp:anchor distT="0" distB="0" distL="114300" distR="114300" simplePos="0" relativeHeight="251656704" behindDoc="0" locked="0" layoutInCell="1" allowOverlap="1" wp14:anchorId="10DCACB1" wp14:editId="39B97D62">
            <wp:simplePos x="0" y="0"/>
            <wp:positionH relativeFrom="margin">
              <wp:posOffset>249555</wp:posOffset>
            </wp:positionH>
            <wp:positionV relativeFrom="paragraph">
              <wp:posOffset>-92075</wp:posOffset>
            </wp:positionV>
            <wp:extent cx="4125595" cy="7599680"/>
            <wp:effectExtent l="0" t="0" r="0" b="0"/>
            <wp:wrapNone/>
            <wp:docPr id="1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1"/>
                    <a:srcRect l="32386" r="31685"/>
                    <a:stretch/>
                  </pic:blipFill>
                  <pic:spPr bwMode="auto">
                    <a:xfrm rot="21480000">
                      <a:off x="0" y="0"/>
                      <a:ext cx="4125595" cy="759968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0BAB926" wp14:editId="6CF7554D">
            <wp:extent cx="5401945" cy="73856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945" cy="7385685"/>
                    </a:xfrm>
                    <a:prstGeom prst="rect">
                      <a:avLst/>
                    </a:prstGeom>
                    <a:noFill/>
                    <a:ln>
                      <a:noFill/>
                    </a:ln>
                  </pic:spPr>
                </pic:pic>
              </a:graphicData>
            </a:graphic>
          </wp:inline>
        </w:drawing>
      </w:r>
    </w:p>
    <w:p w14:paraId="076009CB" w14:textId="689FACF2" w:rsidR="009B0FCD" w:rsidRDefault="009B0FCD" w:rsidP="009B0FCD">
      <w:pPr>
        <w:pStyle w:val="NormalWeb"/>
      </w:pPr>
    </w:p>
    <w:p w14:paraId="0A647263" w14:textId="77777777" w:rsidR="006A19D1" w:rsidRDefault="006A19D1" w:rsidP="00962E19">
      <w:pPr>
        <w:jc w:val="center"/>
        <w:rPr>
          <w:color w:val="FF0000"/>
        </w:rPr>
      </w:pPr>
    </w:p>
    <w:p w14:paraId="4A84F7F0" w14:textId="77777777" w:rsidR="00CC5761" w:rsidRDefault="00CC5761" w:rsidP="00CC5761">
      <w:pPr>
        <w:rPr>
          <w:color w:val="FF0000"/>
        </w:rPr>
      </w:pPr>
    </w:p>
    <w:p w14:paraId="6A287FF6" w14:textId="77777777" w:rsidR="00CC5761" w:rsidRDefault="0079329D" w:rsidP="00CC5761">
      <w:pPr>
        <w:rPr>
          <w:rFonts w:ascii="Arial" w:hAnsi="Arial" w:cs="Arial"/>
        </w:rPr>
      </w:pPr>
      <w:r>
        <w:rPr>
          <w:rFonts w:ascii="Arial" w:hAnsi="Arial" w:cs="Arial"/>
        </w:rPr>
        <w:lastRenderedPageBreak/>
        <w:t xml:space="preserve">Annex B: </w:t>
      </w:r>
      <w:r w:rsidR="00963E82">
        <w:rPr>
          <w:rFonts w:ascii="Arial" w:hAnsi="Arial" w:cs="Arial"/>
        </w:rPr>
        <w:t>HMOs to which this designation applie</w:t>
      </w:r>
      <w:r w:rsidR="00E20823">
        <w:rPr>
          <w:rFonts w:ascii="Arial" w:hAnsi="Arial" w:cs="Arial"/>
        </w:rPr>
        <w:t>s [subject to paragraphs 5a and 5d</w:t>
      </w:r>
      <w:r w:rsidR="00963E82">
        <w:rPr>
          <w:rFonts w:ascii="Arial" w:hAnsi="Arial" w:cs="Arial"/>
        </w:rPr>
        <w:t xml:space="preserve"> above]</w:t>
      </w:r>
    </w:p>
    <w:p w14:paraId="2EC1EF0A" w14:textId="77777777" w:rsidR="0079329D" w:rsidRDefault="0079329D" w:rsidP="00CC5761">
      <w:pPr>
        <w:rPr>
          <w:rFonts w:ascii="Arial" w:hAnsi="Arial" w:cs="Arial"/>
        </w:rPr>
      </w:pPr>
    </w:p>
    <w:p w14:paraId="60FC10F9" w14:textId="77777777" w:rsidR="00E20823" w:rsidRDefault="00E20823" w:rsidP="00E20823">
      <w:pPr>
        <w:rPr>
          <w:rFonts w:ascii="Arial" w:hAnsi="Arial" w:cs="Arial"/>
          <w:b/>
          <w:lang w:val="en"/>
        </w:rPr>
      </w:pPr>
      <w:r w:rsidRPr="00E20823">
        <w:rPr>
          <w:rFonts w:ascii="Arial" w:hAnsi="Arial" w:cs="Arial"/>
          <w:b/>
          <w:lang w:val="en"/>
        </w:rPr>
        <w:t>A building or a part of a building meets the standard test if—</w:t>
      </w:r>
    </w:p>
    <w:p w14:paraId="4123FF17" w14:textId="77777777" w:rsidR="00E20823" w:rsidRPr="00E20823" w:rsidRDefault="00E20823" w:rsidP="00E20823">
      <w:pPr>
        <w:rPr>
          <w:rFonts w:ascii="Arial" w:hAnsi="Arial" w:cs="Arial"/>
          <w:b/>
          <w:lang w:val="en"/>
        </w:rPr>
      </w:pPr>
    </w:p>
    <w:p w14:paraId="1CFDFF02" w14:textId="77777777" w:rsidR="00E20823" w:rsidRDefault="00E20823" w:rsidP="00E20823">
      <w:pPr>
        <w:numPr>
          <w:ilvl w:val="0"/>
          <w:numId w:val="31"/>
        </w:numPr>
        <w:rPr>
          <w:rFonts w:ascii="Arial" w:hAnsi="Arial" w:cs="Arial"/>
          <w:lang w:val="en"/>
        </w:rPr>
      </w:pPr>
      <w:r>
        <w:rPr>
          <w:rFonts w:ascii="Arial" w:hAnsi="Arial" w:cs="Arial"/>
          <w:lang w:val="en"/>
        </w:rPr>
        <w:t>I</w:t>
      </w:r>
      <w:r w:rsidRPr="00E20823">
        <w:rPr>
          <w:rFonts w:ascii="Arial" w:hAnsi="Arial" w:cs="Arial"/>
          <w:lang w:val="en"/>
        </w:rPr>
        <w:t xml:space="preserve">t consists of one or more units of living accommodation not consisting of a self-contained flat or </w:t>
      </w:r>
      <w:proofErr w:type="gramStart"/>
      <w:r w:rsidRPr="00E20823">
        <w:rPr>
          <w:rFonts w:ascii="Arial" w:hAnsi="Arial" w:cs="Arial"/>
          <w:lang w:val="en"/>
        </w:rPr>
        <w:t>flats;</w:t>
      </w:r>
      <w:proofErr w:type="gramEnd"/>
    </w:p>
    <w:p w14:paraId="572CA78C" w14:textId="77777777" w:rsidR="00E20823" w:rsidRDefault="00E20823" w:rsidP="00E20823">
      <w:pPr>
        <w:numPr>
          <w:ilvl w:val="0"/>
          <w:numId w:val="31"/>
        </w:numPr>
        <w:rPr>
          <w:rFonts w:ascii="Arial" w:hAnsi="Arial" w:cs="Arial"/>
          <w:lang w:val="en"/>
        </w:rPr>
      </w:pPr>
      <w:r>
        <w:rPr>
          <w:rFonts w:ascii="Arial" w:hAnsi="Arial" w:cs="Arial"/>
          <w:lang w:val="en"/>
        </w:rPr>
        <w:t>T</w:t>
      </w:r>
      <w:r w:rsidRPr="00E20823">
        <w:rPr>
          <w:rFonts w:ascii="Arial" w:hAnsi="Arial" w:cs="Arial"/>
          <w:lang w:val="en"/>
        </w:rPr>
        <w:t>he living accommodation is occupied by persons who do not form a si</w:t>
      </w:r>
      <w:r w:rsidR="009046E9">
        <w:rPr>
          <w:rFonts w:ascii="Arial" w:hAnsi="Arial" w:cs="Arial"/>
          <w:lang w:val="en"/>
        </w:rPr>
        <w:t>ngle household</w:t>
      </w:r>
      <w:r w:rsidR="009046E9">
        <w:rPr>
          <w:rStyle w:val="FootnoteReference"/>
          <w:rFonts w:ascii="Arial" w:hAnsi="Arial" w:cs="Arial"/>
          <w:lang w:val="en"/>
        </w:rPr>
        <w:footnoteReference w:id="4"/>
      </w:r>
      <w:r w:rsidRPr="00E20823">
        <w:rPr>
          <w:rFonts w:ascii="Arial" w:hAnsi="Arial" w:cs="Arial"/>
          <w:lang w:val="en"/>
        </w:rPr>
        <w:t>;</w:t>
      </w:r>
    </w:p>
    <w:p w14:paraId="67248C0F" w14:textId="77777777" w:rsidR="00E20823" w:rsidRDefault="00E20823" w:rsidP="00E20823">
      <w:pPr>
        <w:numPr>
          <w:ilvl w:val="0"/>
          <w:numId w:val="31"/>
        </w:numPr>
        <w:rPr>
          <w:rFonts w:ascii="Arial" w:hAnsi="Arial" w:cs="Arial"/>
          <w:lang w:val="en"/>
        </w:rPr>
      </w:pPr>
      <w:r>
        <w:rPr>
          <w:rFonts w:ascii="Arial" w:hAnsi="Arial" w:cs="Arial"/>
          <w:lang w:val="en"/>
        </w:rPr>
        <w:t>t</w:t>
      </w:r>
      <w:r w:rsidRPr="00E20823">
        <w:rPr>
          <w:rFonts w:ascii="Arial" w:hAnsi="Arial" w:cs="Arial"/>
          <w:lang w:val="en"/>
        </w:rPr>
        <w:t xml:space="preserve">he living accommodation is occupied by those persons as their only or main </w:t>
      </w:r>
      <w:proofErr w:type="gramStart"/>
      <w:r w:rsidRPr="00E20823">
        <w:rPr>
          <w:rFonts w:ascii="Arial" w:hAnsi="Arial" w:cs="Arial"/>
          <w:lang w:val="en"/>
        </w:rPr>
        <w:t>residence</w:t>
      </w:r>
      <w:proofErr w:type="gramEnd"/>
      <w:r w:rsidRPr="00E20823">
        <w:rPr>
          <w:rFonts w:ascii="Arial" w:hAnsi="Arial" w:cs="Arial"/>
          <w:lang w:val="en"/>
        </w:rPr>
        <w:t xml:space="preserve"> or they are to be treated as s</w:t>
      </w:r>
      <w:r w:rsidR="009046E9">
        <w:rPr>
          <w:rFonts w:ascii="Arial" w:hAnsi="Arial" w:cs="Arial"/>
          <w:lang w:val="en"/>
        </w:rPr>
        <w:t>o occupying it</w:t>
      </w:r>
      <w:r w:rsidR="009046E9">
        <w:rPr>
          <w:rStyle w:val="FootnoteReference"/>
          <w:rFonts w:ascii="Arial" w:hAnsi="Arial" w:cs="Arial"/>
          <w:lang w:val="en"/>
        </w:rPr>
        <w:footnoteReference w:id="5"/>
      </w:r>
      <w:r w:rsidRPr="00E20823">
        <w:rPr>
          <w:rFonts w:ascii="Arial" w:hAnsi="Arial" w:cs="Arial"/>
          <w:lang w:val="en"/>
        </w:rPr>
        <w:t>;</w:t>
      </w:r>
    </w:p>
    <w:p w14:paraId="001E125D" w14:textId="77777777" w:rsidR="00E20823" w:rsidRDefault="00E20823" w:rsidP="00E20823">
      <w:pPr>
        <w:numPr>
          <w:ilvl w:val="0"/>
          <w:numId w:val="31"/>
        </w:numPr>
        <w:rPr>
          <w:rFonts w:ascii="Arial" w:hAnsi="Arial" w:cs="Arial"/>
          <w:lang w:val="en"/>
        </w:rPr>
      </w:pPr>
      <w:r>
        <w:rPr>
          <w:rFonts w:ascii="Arial" w:hAnsi="Arial" w:cs="Arial"/>
          <w:lang w:val="en"/>
        </w:rPr>
        <w:t>T</w:t>
      </w:r>
      <w:r w:rsidRPr="00E20823">
        <w:rPr>
          <w:rFonts w:ascii="Arial" w:hAnsi="Arial" w:cs="Arial"/>
          <w:lang w:val="en"/>
        </w:rPr>
        <w:t xml:space="preserve">heir occupation of the living accommodation constitutes the only use of that </w:t>
      </w:r>
      <w:proofErr w:type="gramStart"/>
      <w:r w:rsidRPr="00E20823">
        <w:rPr>
          <w:rFonts w:ascii="Arial" w:hAnsi="Arial" w:cs="Arial"/>
          <w:lang w:val="en"/>
        </w:rPr>
        <w:t>accommodation;</w:t>
      </w:r>
      <w:proofErr w:type="gramEnd"/>
    </w:p>
    <w:p w14:paraId="1CB33761" w14:textId="77777777" w:rsidR="00E20823" w:rsidRDefault="00E20823" w:rsidP="00E20823">
      <w:pPr>
        <w:numPr>
          <w:ilvl w:val="0"/>
          <w:numId w:val="31"/>
        </w:numPr>
        <w:rPr>
          <w:rFonts w:ascii="Arial" w:hAnsi="Arial" w:cs="Arial"/>
          <w:lang w:val="en"/>
        </w:rPr>
      </w:pPr>
      <w:r>
        <w:rPr>
          <w:rFonts w:ascii="Arial" w:hAnsi="Arial" w:cs="Arial"/>
          <w:lang w:val="en"/>
        </w:rPr>
        <w:t>R</w:t>
      </w:r>
      <w:r w:rsidRPr="00E20823">
        <w:rPr>
          <w:rFonts w:ascii="Arial" w:hAnsi="Arial" w:cs="Arial"/>
          <w:lang w:val="en"/>
        </w:rPr>
        <w:t>ents are payable or other consideration is to be provided in respect of at least one of those persons' occupation of the living accommodation; and</w:t>
      </w:r>
    </w:p>
    <w:p w14:paraId="2260438E" w14:textId="77777777" w:rsidR="00E20823" w:rsidRDefault="00E20823" w:rsidP="00E20823">
      <w:pPr>
        <w:numPr>
          <w:ilvl w:val="0"/>
          <w:numId w:val="31"/>
        </w:numPr>
        <w:rPr>
          <w:rFonts w:ascii="Arial" w:hAnsi="Arial" w:cs="Arial"/>
          <w:lang w:val="en"/>
        </w:rPr>
      </w:pPr>
      <w:r>
        <w:rPr>
          <w:rFonts w:ascii="Arial" w:hAnsi="Arial" w:cs="Arial"/>
          <w:lang w:val="en"/>
        </w:rPr>
        <w:t>T</w:t>
      </w:r>
      <w:r w:rsidRPr="00E20823">
        <w:rPr>
          <w:rFonts w:ascii="Arial" w:hAnsi="Arial" w:cs="Arial"/>
          <w:lang w:val="en"/>
        </w:rPr>
        <w:t>wo or more of the households who occupy the living accommodation share one or more basic amenities or the living accommodation is lacking in one or more basic amenities.</w:t>
      </w:r>
    </w:p>
    <w:p w14:paraId="620C731A" w14:textId="77777777" w:rsidR="00E20823" w:rsidRPr="00E20823" w:rsidRDefault="00E20823" w:rsidP="00E20823">
      <w:pPr>
        <w:ind w:left="1080"/>
        <w:rPr>
          <w:rFonts w:ascii="Arial" w:hAnsi="Arial" w:cs="Arial"/>
          <w:lang w:val="en"/>
        </w:rPr>
      </w:pPr>
    </w:p>
    <w:p w14:paraId="12A8A874" w14:textId="77777777" w:rsidR="00E20823" w:rsidRDefault="00E20823" w:rsidP="00E20823">
      <w:pPr>
        <w:rPr>
          <w:rFonts w:ascii="Arial" w:hAnsi="Arial" w:cs="Arial"/>
          <w:b/>
          <w:lang w:val="en"/>
        </w:rPr>
      </w:pPr>
      <w:r w:rsidRPr="00B671BB">
        <w:rPr>
          <w:rFonts w:ascii="Arial" w:hAnsi="Arial" w:cs="Arial"/>
          <w:b/>
          <w:lang w:val="en"/>
        </w:rPr>
        <w:t>A part of a building meets the self-contained flat test if—</w:t>
      </w:r>
    </w:p>
    <w:p w14:paraId="6B533537" w14:textId="77777777" w:rsidR="00B671BB" w:rsidRPr="00B671BB" w:rsidRDefault="00B671BB" w:rsidP="00E20823">
      <w:pPr>
        <w:rPr>
          <w:rFonts w:ascii="Arial" w:hAnsi="Arial" w:cs="Arial"/>
          <w:b/>
          <w:lang w:val="en"/>
        </w:rPr>
      </w:pPr>
    </w:p>
    <w:p w14:paraId="722D7F54" w14:textId="77777777" w:rsidR="00E20823" w:rsidRPr="00E20823" w:rsidRDefault="00B671BB" w:rsidP="00B671BB">
      <w:pPr>
        <w:ind w:firstLine="720"/>
        <w:rPr>
          <w:rFonts w:ascii="Arial" w:hAnsi="Arial" w:cs="Arial"/>
          <w:lang w:val="en"/>
        </w:rPr>
      </w:pPr>
      <w:r>
        <w:rPr>
          <w:rFonts w:ascii="Arial" w:hAnsi="Arial" w:cs="Arial"/>
          <w:lang w:val="en"/>
        </w:rPr>
        <w:t>(a) I</w:t>
      </w:r>
      <w:r w:rsidR="00E20823" w:rsidRPr="00E20823">
        <w:rPr>
          <w:rFonts w:ascii="Arial" w:hAnsi="Arial" w:cs="Arial"/>
          <w:lang w:val="en"/>
        </w:rPr>
        <w:t>t consists of a self-contained flat; and</w:t>
      </w:r>
    </w:p>
    <w:p w14:paraId="567ABF90" w14:textId="77777777" w:rsidR="00E20823" w:rsidRDefault="00B671BB" w:rsidP="009046E9">
      <w:pPr>
        <w:ind w:left="1134" w:hanging="414"/>
        <w:rPr>
          <w:rFonts w:ascii="Arial" w:hAnsi="Arial" w:cs="Arial"/>
          <w:lang w:val="en"/>
        </w:rPr>
      </w:pPr>
      <w:r>
        <w:rPr>
          <w:rFonts w:ascii="Arial" w:hAnsi="Arial" w:cs="Arial"/>
          <w:lang w:val="en"/>
        </w:rPr>
        <w:t>(b) P</w:t>
      </w:r>
      <w:r w:rsidR="00E20823" w:rsidRPr="00E20823">
        <w:rPr>
          <w:rFonts w:ascii="Arial" w:hAnsi="Arial" w:cs="Arial"/>
          <w:lang w:val="en"/>
        </w:rPr>
        <w:t>aragrap</w:t>
      </w:r>
      <w:r w:rsidR="009046E9">
        <w:rPr>
          <w:rFonts w:ascii="Arial" w:hAnsi="Arial" w:cs="Arial"/>
          <w:lang w:val="en"/>
        </w:rPr>
        <w:t xml:space="preserve">hs (b) to (f) of standard test definition above </w:t>
      </w:r>
      <w:r w:rsidR="00E20823" w:rsidRPr="00E20823">
        <w:rPr>
          <w:rFonts w:ascii="Arial" w:hAnsi="Arial" w:cs="Arial"/>
          <w:lang w:val="en"/>
        </w:rPr>
        <w:t xml:space="preserve">apply (reading references to </w:t>
      </w:r>
      <w:r w:rsidR="009046E9">
        <w:rPr>
          <w:rFonts w:ascii="Arial" w:hAnsi="Arial" w:cs="Arial"/>
          <w:lang w:val="en"/>
        </w:rPr>
        <w:t xml:space="preserve">the </w:t>
      </w:r>
      <w:r w:rsidR="00E20823" w:rsidRPr="00E20823">
        <w:rPr>
          <w:rFonts w:ascii="Arial" w:hAnsi="Arial" w:cs="Arial"/>
          <w:lang w:val="en"/>
        </w:rPr>
        <w:t>living accommodation concerned as references to the flat).</w:t>
      </w:r>
    </w:p>
    <w:p w14:paraId="3E13CF81" w14:textId="77777777" w:rsidR="00B671BB" w:rsidRPr="00E20823" w:rsidRDefault="00B671BB" w:rsidP="00B671BB">
      <w:pPr>
        <w:ind w:left="720"/>
        <w:rPr>
          <w:rFonts w:ascii="Arial" w:hAnsi="Arial" w:cs="Arial"/>
          <w:lang w:val="en"/>
        </w:rPr>
      </w:pPr>
    </w:p>
    <w:p w14:paraId="190C59B0" w14:textId="77777777" w:rsidR="00E20823" w:rsidRDefault="00E20823" w:rsidP="00E20823">
      <w:pPr>
        <w:rPr>
          <w:rFonts w:ascii="Arial" w:hAnsi="Arial" w:cs="Arial"/>
          <w:b/>
          <w:lang w:val="en"/>
        </w:rPr>
      </w:pPr>
      <w:r w:rsidRPr="00B671BB">
        <w:rPr>
          <w:rFonts w:ascii="Arial" w:hAnsi="Arial" w:cs="Arial"/>
          <w:b/>
          <w:lang w:val="en"/>
        </w:rPr>
        <w:t>A building or a part of a building meets the converted building test if—</w:t>
      </w:r>
    </w:p>
    <w:p w14:paraId="09D975E7" w14:textId="77777777" w:rsidR="00B671BB" w:rsidRPr="00B671BB" w:rsidRDefault="00B671BB" w:rsidP="00E20823">
      <w:pPr>
        <w:rPr>
          <w:rFonts w:ascii="Arial" w:hAnsi="Arial" w:cs="Arial"/>
          <w:b/>
          <w:lang w:val="en"/>
        </w:rPr>
      </w:pPr>
    </w:p>
    <w:p w14:paraId="768CE4E6" w14:textId="77777777" w:rsidR="00E20823" w:rsidRDefault="00B671BB" w:rsidP="00B671BB">
      <w:pPr>
        <w:numPr>
          <w:ilvl w:val="0"/>
          <w:numId w:val="32"/>
        </w:numPr>
        <w:rPr>
          <w:rFonts w:ascii="Arial" w:hAnsi="Arial" w:cs="Arial"/>
          <w:lang w:val="en"/>
        </w:rPr>
      </w:pPr>
      <w:r>
        <w:rPr>
          <w:rFonts w:ascii="Arial" w:hAnsi="Arial" w:cs="Arial"/>
          <w:lang w:val="en"/>
        </w:rPr>
        <w:t>I</w:t>
      </w:r>
      <w:r w:rsidR="00E20823" w:rsidRPr="00E20823">
        <w:rPr>
          <w:rFonts w:ascii="Arial" w:hAnsi="Arial" w:cs="Arial"/>
          <w:lang w:val="en"/>
        </w:rPr>
        <w:t xml:space="preserve">t is a converted </w:t>
      </w:r>
      <w:proofErr w:type="gramStart"/>
      <w:r w:rsidR="00E20823" w:rsidRPr="00E20823">
        <w:rPr>
          <w:rFonts w:ascii="Arial" w:hAnsi="Arial" w:cs="Arial"/>
          <w:lang w:val="en"/>
        </w:rPr>
        <w:t>building;</w:t>
      </w:r>
      <w:proofErr w:type="gramEnd"/>
    </w:p>
    <w:p w14:paraId="16363E6C" w14:textId="77777777" w:rsidR="00E20823" w:rsidRDefault="00B671BB" w:rsidP="00E20823">
      <w:pPr>
        <w:numPr>
          <w:ilvl w:val="0"/>
          <w:numId w:val="32"/>
        </w:numPr>
        <w:rPr>
          <w:rFonts w:ascii="Arial" w:hAnsi="Arial" w:cs="Arial"/>
          <w:lang w:val="en"/>
        </w:rPr>
      </w:pPr>
      <w:r>
        <w:rPr>
          <w:rFonts w:ascii="Arial" w:hAnsi="Arial" w:cs="Arial"/>
          <w:lang w:val="en"/>
        </w:rPr>
        <w:t>I</w:t>
      </w:r>
      <w:r w:rsidR="00E20823" w:rsidRPr="00B671BB">
        <w:rPr>
          <w:rFonts w:ascii="Arial" w:hAnsi="Arial" w:cs="Arial"/>
          <w:lang w:val="en"/>
        </w:rPr>
        <w:t>t contains one or more units of living accommodation that do not consist of a self-contained flat or flats (whether or not it also contains any such flat or flats</w:t>
      </w:r>
      <w:proofErr w:type="gramStart"/>
      <w:r w:rsidR="00E20823" w:rsidRPr="00B671BB">
        <w:rPr>
          <w:rFonts w:ascii="Arial" w:hAnsi="Arial" w:cs="Arial"/>
          <w:lang w:val="en"/>
        </w:rPr>
        <w:t>);</w:t>
      </w:r>
      <w:proofErr w:type="gramEnd"/>
    </w:p>
    <w:p w14:paraId="3A057A3E" w14:textId="77777777" w:rsidR="00E20823" w:rsidRDefault="00B671BB" w:rsidP="00E20823">
      <w:pPr>
        <w:numPr>
          <w:ilvl w:val="0"/>
          <w:numId w:val="32"/>
        </w:numPr>
        <w:rPr>
          <w:rFonts w:ascii="Arial" w:hAnsi="Arial" w:cs="Arial"/>
          <w:lang w:val="en"/>
        </w:rPr>
      </w:pPr>
      <w:r>
        <w:rPr>
          <w:rFonts w:ascii="Arial" w:hAnsi="Arial" w:cs="Arial"/>
          <w:lang w:val="en"/>
        </w:rPr>
        <w:t>T</w:t>
      </w:r>
      <w:r w:rsidR="00E20823" w:rsidRPr="00B671BB">
        <w:rPr>
          <w:rFonts w:ascii="Arial" w:hAnsi="Arial" w:cs="Arial"/>
          <w:lang w:val="en"/>
        </w:rPr>
        <w:t>he living accommodation is occupied by persons who do not form a si</w:t>
      </w:r>
      <w:r w:rsidR="009046E9">
        <w:rPr>
          <w:rFonts w:ascii="Arial" w:hAnsi="Arial" w:cs="Arial"/>
          <w:lang w:val="en"/>
        </w:rPr>
        <w:t>ngle household</w:t>
      </w:r>
      <w:r w:rsidR="009046E9">
        <w:rPr>
          <w:rStyle w:val="FootnoteReference"/>
          <w:rFonts w:ascii="Arial" w:hAnsi="Arial" w:cs="Arial"/>
          <w:lang w:val="en"/>
        </w:rPr>
        <w:footnoteReference w:id="6"/>
      </w:r>
      <w:r w:rsidR="00E20823" w:rsidRPr="00B671BB">
        <w:rPr>
          <w:rFonts w:ascii="Arial" w:hAnsi="Arial" w:cs="Arial"/>
          <w:lang w:val="en"/>
        </w:rPr>
        <w:t>;</w:t>
      </w:r>
    </w:p>
    <w:p w14:paraId="7F2F8186" w14:textId="77777777" w:rsidR="00E20823" w:rsidRDefault="00B671BB" w:rsidP="00E20823">
      <w:pPr>
        <w:numPr>
          <w:ilvl w:val="0"/>
          <w:numId w:val="32"/>
        </w:numPr>
        <w:rPr>
          <w:rFonts w:ascii="Arial" w:hAnsi="Arial" w:cs="Arial"/>
          <w:lang w:val="en"/>
        </w:rPr>
      </w:pPr>
      <w:r>
        <w:rPr>
          <w:rFonts w:ascii="Arial" w:hAnsi="Arial" w:cs="Arial"/>
          <w:lang w:val="en"/>
        </w:rPr>
        <w:t>T</w:t>
      </w:r>
      <w:r w:rsidR="00E20823" w:rsidRPr="00B671BB">
        <w:rPr>
          <w:rFonts w:ascii="Arial" w:hAnsi="Arial" w:cs="Arial"/>
          <w:lang w:val="en"/>
        </w:rPr>
        <w:t xml:space="preserve">he living accommodation is occupied by those persons as their only or main </w:t>
      </w:r>
      <w:proofErr w:type="gramStart"/>
      <w:r w:rsidR="00E20823" w:rsidRPr="00B671BB">
        <w:rPr>
          <w:rFonts w:ascii="Arial" w:hAnsi="Arial" w:cs="Arial"/>
          <w:lang w:val="en"/>
        </w:rPr>
        <w:t>residence</w:t>
      </w:r>
      <w:proofErr w:type="gramEnd"/>
      <w:r w:rsidR="00E20823" w:rsidRPr="00B671BB">
        <w:rPr>
          <w:rFonts w:ascii="Arial" w:hAnsi="Arial" w:cs="Arial"/>
          <w:lang w:val="en"/>
        </w:rPr>
        <w:t xml:space="preserve"> or they are to be treated as s</w:t>
      </w:r>
      <w:r w:rsidR="009046E9">
        <w:rPr>
          <w:rFonts w:ascii="Arial" w:hAnsi="Arial" w:cs="Arial"/>
          <w:lang w:val="en"/>
        </w:rPr>
        <w:t>o occupying it</w:t>
      </w:r>
      <w:r w:rsidR="009046E9">
        <w:rPr>
          <w:rStyle w:val="FootnoteReference"/>
          <w:rFonts w:ascii="Arial" w:hAnsi="Arial" w:cs="Arial"/>
          <w:lang w:val="en"/>
        </w:rPr>
        <w:footnoteReference w:id="7"/>
      </w:r>
      <w:r w:rsidR="00E20823" w:rsidRPr="00B671BB">
        <w:rPr>
          <w:rFonts w:ascii="Arial" w:hAnsi="Arial" w:cs="Arial"/>
          <w:lang w:val="en"/>
        </w:rPr>
        <w:t>;</w:t>
      </w:r>
    </w:p>
    <w:p w14:paraId="5C88EC30" w14:textId="77777777" w:rsidR="00E20823" w:rsidRDefault="00B671BB" w:rsidP="00E20823">
      <w:pPr>
        <w:numPr>
          <w:ilvl w:val="0"/>
          <w:numId w:val="32"/>
        </w:numPr>
        <w:rPr>
          <w:rFonts w:ascii="Arial" w:hAnsi="Arial" w:cs="Arial"/>
          <w:lang w:val="en"/>
        </w:rPr>
      </w:pPr>
      <w:r>
        <w:rPr>
          <w:rFonts w:ascii="Arial" w:hAnsi="Arial" w:cs="Arial"/>
          <w:lang w:val="en"/>
        </w:rPr>
        <w:t>T</w:t>
      </w:r>
      <w:r w:rsidR="00E20823" w:rsidRPr="00B671BB">
        <w:rPr>
          <w:rFonts w:ascii="Arial" w:hAnsi="Arial" w:cs="Arial"/>
          <w:lang w:val="en"/>
        </w:rPr>
        <w:t>heir occupation of the living accommodation constitutes the only use of that accommodation; and</w:t>
      </w:r>
    </w:p>
    <w:p w14:paraId="0BD9C6AE" w14:textId="77777777" w:rsidR="00E20823" w:rsidRPr="00B671BB" w:rsidRDefault="00B671BB" w:rsidP="00E20823">
      <w:pPr>
        <w:numPr>
          <w:ilvl w:val="0"/>
          <w:numId w:val="32"/>
        </w:numPr>
        <w:rPr>
          <w:rFonts w:ascii="Arial" w:hAnsi="Arial" w:cs="Arial"/>
          <w:lang w:val="en"/>
        </w:rPr>
      </w:pPr>
      <w:r>
        <w:rPr>
          <w:rFonts w:ascii="Arial" w:hAnsi="Arial" w:cs="Arial"/>
          <w:lang w:val="en"/>
        </w:rPr>
        <w:t>R</w:t>
      </w:r>
      <w:r w:rsidR="00E20823" w:rsidRPr="00B671BB">
        <w:rPr>
          <w:rFonts w:ascii="Arial" w:hAnsi="Arial" w:cs="Arial"/>
          <w:lang w:val="en"/>
        </w:rPr>
        <w:t>ents are payable or other consideration is to be provided in respect of at least one of those persons' occupation of the living accommodation.</w:t>
      </w:r>
    </w:p>
    <w:p w14:paraId="3CA7C180" w14:textId="77777777" w:rsidR="00E20823" w:rsidRPr="00E20823" w:rsidRDefault="00E20823" w:rsidP="00E20823">
      <w:pPr>
        <w:rPr>
          <w:rFonts w:ascii="Arial" w:hAnsi="Arial" w:cs="Arial"/>
          <w:lang w:val="en"/>
        </w:rPr>
      </w:pPr>
    </w:p>
    <w:p w14:paraId="0AB71F80" w14:textId="77777777" w:rsidR="00E20823" w:rsidRPr="00E20823" w:rsidRDefault="00E20823" w:rsidP="00B671BB">
      <w:pPr>
        <w:rPr>
          <w:rFonts w:ascii="Arial" w:hAnsi="Arial" w:cs="Arial"/>
          <w:lang w:val="en"/>
        </w:rPr>
      </w:pPr>
      <w:r w:rsidRPr="00B671BB">
        <w:rPr>
          <w:rFonts w:ascii="Arial" w:hAnsi="Arial" w:cs="Arial"/>
          <w:b/>
          <w:lang w:val="en"/>
        </w:rPr>
        <w:t>“</w:t>
      </w:r>
      <w:r w:rsidR="003510E1">
        <w:rPr>
          <w:rFonts w:ascii="Arial" w:hAnsi="Arial" w:cs="Arial"/>
          <w:b/>
          <w:lang w:val="en"/>
        </w:rPr>
        <w:t>B</w:t>
      </w:r>
      <w:r w:rsidRPr="00B671BB">
        <w:rPr>
          <w:rFonts w:ascii="Arial" w:hAnsi="Arial" w:cs="Arial"/>
          <w:b/>
          <w:lang w:val="en"/>
        </w:rPr>
        <w:t>asic amenities” means</w:t>
      </w:r>
      <w:r w:rsidRPr="00E20823">
        <w:rPr>
          <w:rFonts w:ascii="Arial" w:hAnsi="Arial" w:cs="Arial"/>
          <w:lang w:val="en"/>
        </w:rPr>
        <w:t xml:space="preserve">— </w:t>
      </w:r>
    </w:p>
    <w:p w14:paraId="2E40165E" w14:textId="77777777" w:rsidR="00B671BB" w:rsidRDefault="00B671BB" w:rsidP="00E20823">
      <w:pPr>
        <w:rPr>
          <w:rFonts w:ascii="Arial" w:hAnsi="Arial" w:cs="Arial"/>
          <w:lang w:val="en"/>
        </w:rPr>
      </w:pPr>
    </w:p>
    <w:p w14:paraId="6BA6D5B5" w14:textId="77777777" w:rsidR="00E20823" w:rsidRPr="00E20823" w:rsidRDefault="00E20823" w:rsidP="00E20823">
      <w:pPr>
        <w:rPr>
          <w:rFonts w:ascii="Arial" w:hAnsi="Arial" w:cs="Arial"/>
          <w:lang w:val="en"/>
        </w:rPr>
      </w:pPr>
      <w:r w:rsidRPr="00E20823">
        <w:rPr>
          <w:rFonts w:ascii="Arial" w:hAnsi="Arial" w:cs="Arial"/>
          <w:lang w:val="en"/>
        </w:rPr>
        <w:t>(a)</w:t>
      </w:r>
      <w:r w:rsidR="00B671BB">
        <w:rPr>
          <w:rFonts w:ascii="Arial" w:hAnsi="Arial" w:cs="Arial"/>
          <w:lang w:val="en"/>
        </w:rPr>
        <w:t xml:space="preserve"> A</w:t>
      </w:r>
      <w:r w:rsidRPr="00E20823">
        <w:rPr>
          <w:rFonts w:ascii="Arial" w:hAnsi="Arial" w:cs="Arial"/>
          <w:lang w:val="en"/>
        </w:rPr>
        <w:t xml:space="preserve"> toilet, </w:t>
      </w:r>
    </w:p>
    <w:p w14:paraId="7A617E7B" w14:textId="77777777" w:rsidR="00E20823" w:rsidRPr="00E20823" w:rsidRDefault="00E20823" w:rsidP="00E20823">
      <w:pPr>
        <w:rPr>
          <w:rFonts w:ascii="Arial" w:hAnsi="Arial" w:cs="Arial"/>
          <w:lang w:val="en"/>
        </w:rPr>
      </w:pPr>
      <w:r w:rsidRPr="00E20823">
        <w:rPr>
          <w:rFonts w:ascii="Arial" w:hAnsi="Arial" w:cs="Arial"/>
          <w:lang w:val="en"/>
        </w:rPr>
        <w:t>(b)</w:t>
      </w:r>
      <w:r w:rsidR="00B671BB">
        <w:rPr>
          <w:rFonts w:ascii="Arial" w:hAnsi="Arial" w:cs="Arial"/>
          <w:lang w:val="en"/>
        </w:rPr>
        <w:t xml:space="preserve"> P</w:t>
      </w:r>
      <w:r w:rsidRPr="00E20823">
        <w:rPr>
          <w:rFonts w:ascii="Arial" w:hAnsi="Arial" w:cs="Arial"/>
          <w:lang w:val="en"/>
        </w:rPr>
        <w:t xml:space="preserve">ersonal washing facilities, or </w:t>
      </w:r>
    </w:p>
    <w:p w14:paraId="093E2D19" w14:textId="77777777" w:rsidR="00E20823" w:rsidRDefault="00E20823" w:rsidP="00E20823">
      <w:pPr>
        <w:rPr>
          <w:rFonts w:ascii="Arial" w:hAnsi="Arial" w:cs="Arial"/>
          <w:lang w:val="en"/>
        </w:rPr>
      </w:pPr>
      <w:r w:rsidRPr="00E20823">
        <w:rPr>
          <w:rFonts w:ascii="Arial" w:hAnsi="Arial" w:cs="Arial"/>
          <w:lang w:val="en"/>
        </w:rPr>
        <w:t>(c)</w:t>
      </w:r>
      <w:r w:rsidR="00B671BB">
        <w:rPr>
          <w:rFonts w:ascii="Arial" w:hAnsi="Arial" w:cs="Arial"/>
          <w:lang w:val="en"/>
        </w:rPr>
        <w:t xml:space="preserve"> C</w:t>
      </w:r>
      <w:r w:rsidR="009046E9">
        <w:rPr>
          <w:rFonts w:ascii="Arial" w:hAnsi="Arial" w:cs="Arial"/>
          <w:lang w:val="en"/>
        </w:rPr>
        <w:t>ooking facilities</w:t>
      </w:r>
    </w:p>
    <w:p w14:paraId="3154C7AA" w14:textId="77777777" w:rsidR="009046E9" w:rsidRPr="00E20823" w:rsidRDefault="009046E9" w:rsidP="00E20823">
      <w:pPr>
        <w:rPr>
          <w:rFonts w:ascii="Arial" w:hAnsi="Arial" w:cs="Arial"/>
          <w:lang w:val="en"/>
        </w:rPr>
      </w:pPr>
    </w:p>
    <w:p w14:paraId="1C7C8559" w14:textId="77777777" w:rsidR="00E20823" w:rsidRDefault="00E20823" w:rsidP="009046E9">
      <w:pPr>
        <w:rPr>
          <w:rFonts w:ascii="Arial" w:hAnsi="Arial" w:cs="Arial"/>
          <w:lang w:val="en"/>
        </w:rPr>
      </w:pPr>
      <w:r w:rsidRPr="00E20823">
        <w:rPr>
          <w:rFonts w:ascii="Arial" w:hAnsi="Arial" w:cs="Arial"/>
          <w:lang w:val="en"/>
        </w:rPr>
        <w:t>“</w:t>
      </w:r>
      <w:r w:rsidR="003510E1">
        <w:rPr>
          <w:rFonts w:ascii="Arial" w:hAnsi="Arial" w:cs="Arial"/>
          <w:b/>
          <w:lang w:val="en"/>
        </w:rPr>
        <w:t>C</w:t>
      </w:r>
      <w:r w:rsidRPr="009046E9">
        <w:rPr>
          <w:rFonts w:ascii="Arial" w:hAnsi="Arial" w:cs="Arial"/>
          <w:b/>
          <w:lang w:val="en"/>
        </w:rPr>
        <w:t>onverted building</w:t>
      </w:r>
      <w:r w:rsidRPr="00E20823">
        <w:rPr>
          <w:rFonts w:ascii="Arial" w:hAnsi="Arial" w:cs="Arial"/>
          <w:lang w:val="en"/>
        </w:rPr>
        <w:t xml:space="preserve">” means a building or part of a building consisting of living accommodation in which one or more units of such accommodation have been created since the building or part was </w:t>
      </w:r>
      <w:proofErr w:type="gramStart"/>
      <w:r w:rsidRPr="00E20823">
        <w:rPr>
          <w:rFonts w:ascii="Arial" w:hAnsi="Arial" w:cs="Arial"/>
          <w:lang w:val="en"/>
        </w:rPr>
        <w:t>constructed;</w:t>
      </w:r>
      <w:proofErr w:type="gramEnd"/>
      <w:r w:rsidRPr="00E20823">
        <w:rPr>
          <w:rFonts w:ascii="Arial" w:hAnsi="Arial" w:cs="Arial"/>
          <w:lang w:val="en"/>
        </w:rPr>
        <w:t xml:space="preserve"> </w:t>
      </w:r>
    </w:p>
    <w:p w14:paraId="701470D6" w14:textId="77777777" w:rsidR="009046E9" w:rsidRPr="00E20823" w:rsidRDefault="009046E9" w:rsidP="009046E9">
      <w:pPr>
        <w:rPr>
          <w:rFonts w:ascii="Arial" w:hAnsi="Arial" w:cs="Arial"/>
          <w:lang w:val="en"/>
        </w:rPr>
      </w:pPr>
    </w:p>
    <w:p w14:paraId="5B39A2D9" w14:textId="77777777" w:rsidR="00E20823" w:rsidRDefault="00E20823" w:rsidP="009046E9">
      <w:pPr>
        <w:rPr>
          <w:rFonts w:ascii="Arial" w:hAnsi="Arial" w:cs="Arial"/>
          <w:lang w:val="en"/>
        </w:rPr>
      </w:pPr>
      <w:r w:rsidRPr="00E20823">
        <w:rPr>
          <w:rFonts w:ascii="Arial" w:hAnsi="Arial" w:cs="Arial"/>
          <w:lang w:val="en"/>
        </w:rPr>
        <w:t>“</w:t>
      </w:r>
      <w:r w:rsidR="009046E9" w:rsidRPr="009046E9">
        <w:rPr>
          <w:rFonts w:ascii="Arial" w:hAnsi="Arial" w:cs="Arial"/>
          <w:b/>
          <w:lang w:val="en"/>
        </w:rPr>
        <w:t>Enactment</w:t>
      </w:r>
      <w:r w:rsidRPr="00E20823">
        <w:rPr>
          <w:rFonts w:ascii="Arial" w:hAnsi="Arial" w:cs="Arial"/>
          <w:lang w:val="en"/>
        </w:rPr>
        <w:t>” includes an enactment comprised in subordinate legislation (within the meaning of the Interpretation Act 1978 (c. 30</w:t>
      </w:r>
      <w:proofErr w:type="gramStart"/>
      <w:r w:rsidRPr="00E20823">
        <w:rPr>
          <w:rFonts w:ascii="Arial" w:hAnsi="Arial" w:cs="Arial"/>
          <w:lang w:val="en"/>
        </w:rPr>
        <w:t>);</w:t>
      </w:r>
      <w:proofErr w:type="gramEnd"/>
      <w:r w:rsidRPr="00E20823">
        <w:rPr>
          <w:rFonts w:ascii="Arial" w:hAnsi="Arial" w:cs="Arial"/>
          <w:lang w:val="en"/>
        </w:rPr>
        <w:t xml:space="preserve"> </w:t>
      </w:r>
    </w:p>
    <w:p w14:paraId="4D294841" w14:textId="77777777" w:rsidR="009046E9" w:rsidRPr="00E20823" w:rsidRDefault="009046E9" w:rsidP="009046E9">
      <w:pPr>
        <w:rPr>
          <w:rFonts w:ascii="Arial" w:hAnsi="Arial" w:cs="Arial"/>
          <w:lang w:val="en"/>
        </w:rPr>
      </w:pPr>
    </w:p>
    <w:p w14:paraId="43C5D542" w14:textId="77777777" w:rsidR="00E20823" w:rsidRDefault="00E20823" w:rsidP="009046E9">
      <w:pPr>
        <w:rPr>
          <w:rFonts w:ascii="Arial" w:hAnsi="Arial" w:cs="Arial"/>
          <w:lang w:val="en"/>
        </w:rPr>
      </w:pPr>
      <w:r w:rsidRPr="00E20823">
        <w:rPr>
          <w:rFonts w:ascii="Arial" w:hAnsi="Arial" w:cs="Arial"/>
          <w:lang w:val="en"/>
        </w:rPr>
        <w:t>“</w:t>
      </w:r>
      <w:r w:rsidR="003510E1">
        <w:rPr>
          <w:rFonts w:ascii="Arial" w:hAnsi="Arial" w:cs="Arial"/>
          <w:b/>
          <w:lang w:val="en"/>
        </w:rPr>
        <w:t>S</w:t>
      </w:r>
      <w:r w:rsidRPr="009046E9">
        <w:rPr>
          <w:rFonts w:ascii="Arial" w:hAnsi="Arial" w:cs="Arial"/>
          <w:b/>
          <w:lang w:val="en"/>
        </w:rPr>
        <w:t>elf-contained flat</w:t>
      </w:r>
      <w:r w:rsidRPr="00E20823">
        <w:rPr>
          <w:rFonts w:ascii="Arial" w:hAnsi="Arial" w:cs="Arial"/>
          <w:lang w:val="en"/>
        </w:rPr>
        <w:t>” means a separate set of premises (</w:t>
      </w:r>
      <w:proofErr w:type="gramStart"/>
      <w:r w:rsidRPr="00E20823">
        <w:rPr>
          <w:rFonts w:ascii="Arial" w:hAnsi="Arial" w:cs="Arial"/>
          <w:lang w:val="en"/>
        </w:rPr>
        <w:t>whether or not</w:t>
      </w:r>
      <w:proofErr w:type="gramEnd"/>
      <w:r w:rsidRPr="00E20823">
        <w:rPr>
          <w:rFonts w:ascii="Arial" w:hAnsi="Arial" w:cs="Arial"/>
          <w:lang w:val="en"/>
        </w:rPr>
        <w:t xml:space="preserve"> on the same floor)— </w:t>
      </w:r>
    </w:p>
    <w:p w14:paraId="1793112E" w14:textId="77777777" w:rsidR="009046E9" w:rsidRPr="00E20823" w:rsidRDefault="009046E9" w:rsidP="009046E9">
      <w:pPr>
        <w:rPr>
          <w:rFonts w:ascii="Arial" w:hAnsi="Arial" w:cs="Arial"/>
          <w:lang w:val="en"/>
        </w:rPr>
      </w:pPr>
    </w:p>
    <w:p w14:paraId="0006E124" w14:textId="77777777" w:rsidR="00E20823" w:rsidRDefault="00E20823" w:rsidP="009046E9">
      <w:pPr>
        <w:numPr>
          <w:ilvl w:val="0"/>
          <w:numId w:val="33"/>
        </w:numPr>
        <w:rPr>
          <w:rFonts w:ascii="Arial" w:hAnsi="Arial" w:cs="Arial"/>
          <w:lang w:val="en"/>
        </w:rPr>
      </w:pPr>
      <w:r w:rsidRPr="00E20823">
        <w:rPr>
          <w:rFonts w:ascii="Arial" w:hAnsi="Arial" w:cs="Arial"/>
          <w:lang w:val="en"/>
        </w:rPr>
        <w:t xml:space="preserve">which forms part of a </w:t>
      </w:r>
      <w:proofErr w:type="gramStart"/>
      <w:r w:rsidRPr="00E20823">
        <w:rPr>
          <w:rFonts w:ascii="Arial" w:hAnsi="Arial" w:cs="Arial"/>
          <w:lang w:val="en"/>
        </w:rPr>
        <w:t>building;</w:t>
      </w:r>
      <w:proofErr w:type="gramEnd"/>
      <w:r w:rsidRPr="00E20823">
        <w:rPr>
          <w:rFonts w:ascii="Arial" w:hAnsi="Arial" w:cs="Arial"/>
          <w:lang w:val="en"/>
        </w:rPr>
        <w:t xml:space="preserve"> </w:t>
      </w:r>
    </w:p>
    <w:p w14:paraId="22F7C3DF" w14:textId="77777777" w:rsidR="00E20823" w:rsidRDefault="00E20823" w:rsidP="00E20823">
      <w:pPr>
        <w:numPr>
          <w:ilvl w:val="0"/>
          <w:numId w:val="33"/>
        </w:numPr>
        <w:rPr>
          <w:rFonts w:ascii="Arial" w:hAnsi="Arial" w:cs="Arial"/>
          <w:lang w:val="en"/>
        </w:rPr>
      </w:pPr>
      <w:r w:rsidRPr="009046E9">
        <w:rPr>
          <w:rFonts w:ascii="Arial" w:hAnsi="Arial" w:cs="Arial"/>
          <w:lang w:val="en"/>
        </w:rPr>
        <w:t xml:space="preserve">either the whole or a material part of which lies above or below some other part of the building; and </w:t>
      </w:r>
    </w:p>
    <w:p w14:paraId="162218C8" w14:textId="77777777" w:rsidR="00E20823" w:rsidRPr="009046E9" w:rsidRDefault="00E20823" w:rsidP="00E20823">
      <w:pPr>
        <w:numPr>
          <w:ilvl w:val="0"/>
          <w:numId w:val="33"/>
        </w:numPr>
        <w:rPr>
          <w:rFonts w:ascii="Arial" w:hAnsi="Arial" w:cs="Arial"/>
          <w:lang w:val="en"/>
        </w:rPr>
      </w:pPr>
      <w:r w:rsidRPr="009046E9">
        <w:rPr>
          <w:rFonts w:ascii="Arial" w:hAnsi="Arial" w:cs="Arial"/>
          <w:lang w:val="en"/>
        </w:rPr>
        <w:t>in which all three basic amenities are available for the exclusive use of its occupants</w:t>
      </w:r>
    </w:p>
    <w:p w14:paraId="351D7ECF" w14:textId="77777777" w:rsidR="00E20823" w:rsidRPr="00E20823" w:rsidRDefault="00E20823" w:rsidP="00E20823">
      <w:pPr>
        <w:rPr>
          <w:rFonts w:ascii="Arial" w:hAnsi="Arial" w:cs="Arial"/>
        </w:rPr>
      </w:pPr>
    </w:p>
    <w:p w14:paraId="47968FFC" w14:textId="77777777" w:rsidR="00E20823" w:rsidRPr="009046E9" w:rsidRDefault="00E20823" w:rsidP="00E20823">
      <w:pPr>
        <w:rPr>
          <w:rFonts w:ascii="Arial" w:hAnsi="Arial" w:cs="Arial"/>
          <w:b/>
        </w:rPr>
      </w:pPr>
      <w:r w:rsidRPr="009046E9">
        <w:rPr>
          <w:rFonts w:ascii="Arial" w:hAnsi="Arial" w:cs="Arial"/>
          <w:b/>
        </w:rPr>
        <w:t>HMO declarations</w:t>
      </w:r>
    </w:p>
    <w:p w14:paraId="761E86A4" w14:textId="77777777" w:rsidR="00E20823" w:rsidRPr="00E20823" w:rsidRDefault="00E20823" w:rsidP="00E20823">
      <w:pPr>
        <w:rPr>
          <w:rFonts w:ascii="Arial" w:hAnsi="Arial" w:cs="Arial"/>
        </w:rPr>
      </w:pPr>
    </w:p>
    <w:p w14:paraId="0C204874" w14:textId="77777777" w:rsidR="003510E1" w:rsidRDefault="00E20823" w:rsidP="00E20823">
      <w:pPr>
        <w:rPr>
          <w:rFonts w:ascii="Arial" w:hAnsi="Arial" w:cs="Arial"/>
        </w:rPr>
      </w:pPr>
      <w:r w:rsidRPr="00E20823">
        <w:rPr>
          <w:rFonts w:ascii="Arial" w:hAnsi="Arial" w:cs="Arial"/>
        </w:rPr>
        <w:t>If a local housing authority are satisfie</w:t>
      </w:r>
      <w:r w:rsidR="003510E1">
        <w:rPr>
          <w:rFonts w:ascii="Arial" w:hAnsi="Arial" w:cs="Arial"/>
        </w:rPr>
        <w:t>d that</w:t>
      </w:r>
      <w:r w:rsidRPr="00E20823">
        <w:rPr>
          <w:rFonts w:ascii="Arial" w:hAnsi="Arial" w:cs="Arial"/>
        </w:rPr>
        <w:t xml:space="preserve"> a building or part of a building in their area</w:t>
      </w:r>
      <w:r w:rsidR="003510E1">
        <w:rPr>
          <w:rFonts w:ascii="Arial" w:hAnsi="Arial" w:cs="Arial"/>
        </w:rPr>
        <w:t xml:space="preserve"> meets either:</w:t>
      </w:r>
    </w:p>
    <w:p w14:paraId="4D883BD1" w14:textId="77777777" w:rsidR="003510E1" w:rsidRDefault="003510E1" w:rsidP="00E20823">
      <w:pPr>
        <w:rPr>
          <w:rFonts w:ascii="Arial" w:hAnsi="Arial" w:cs="Arial"/>
        </w:rPr>
      </w:pPr>
    </w:p>
    <w:p w14:paraId="7E6BAB2C" w14:textId="77777777" w:rsidR="003510E1" w:rsidRDefault="003510E1" w:rsidP="003510E1">
      <w:pPr>
        <w:numPr>
          <w:ilvl w:val="0"/>
          <w:numId w:val="34"/>
        </w:numPr>
        <w:rPr>
          <w:rFonts w:ascii="Arial" w:hAnsi="Arial" w:cs="Arial"/>
        </w:rPr>
      </w:pPr>
      <w:r>
        <w:rPr>
          <w:rFonts w:ascii="Arial" w:hAnsi="Arial" w:cs="Arial"/>
        </w:rPr>
        <w:t>the standard test; or</w:t>
      </w:r>
    </w:p>
    <w:p w14:paraId="0392A68E" w14:textId="77777777" w:rsidR="003510E1" w:rsidRDefault="003510E1" w:rsidP="003510E1">
      <w:pPr>
        <w:numPr>
          <w:ilvl w:val="0"/>
          <w:numId w:val="34"/>
        </w:numPr>
        <w:rPr>
          <w:rFonts w:ascii="Arial" w:hAnsi="Arial" w:cs="Arial"/>
        </w:rPr>
      </w:pPr>
      <w:r>
        <w:rPr>
          <w:rFonts w:ascii="Arial" w:hAnsi="Arial" w:cs="Arial"/>
        </w:rPr>
        <w:t>the self-contained flat test; or</w:t>
      </w:r>
    </w:p>
    <w:p w14:paraId="2C0C5AE5" w14:textId="77777777" w:rsidR="003510E1" w:rsidRDefault="003510E1" w:rsidP="003510E1">
      <w:pPr>
        <w:numPr>
          <w:ilvl w:val="0"/>
          <w:numId w:val="34"/>
        </w:numPr>
        <w:rPr>
          <w:rFonts w:ascii="Arial" w:hAnsi="Arial" w:cs="Arial"/>
        </w:rPr>
      </w:pPr>
      <w:r>
        <w:rPr>
          <w:rFonts w:ascii="Arial" w:hAnsi="Arial" w:cs="Arial"/>
        </w:rPr>
        <w:t xml:space="preserve">the converted building </w:t>
      </w:r>
      <w:proofErr w:type="gramStart"/>
      <w:r>
        <w:rPr>
          <w:rFonts w:ascii="Arial" w:hAnsi="Arial" w:cs="Arial"/>
        </w:rPr>
        <w:t>test</w:t>
      </w:r>
      <w:proofErr w:type="gramEnd"/>
    </w:p>
    <w:p w14:paraId="7107DDB4" w14:textId="77777777" w:rsidR="003510E1" w:rsidRDefault="003510E1" w:rsidP="003510E1">
      <w:pPr>
        <w:ind w:left="720"/>
        <w:rPr>
          <w:rFonts w:ascii="Arial" w:hAnsi="Arial" w:cs="Arial"/>
        </w:rPr>
      </w:pPr>
    </w:p>
    <w:p w14:paraId="55D12C6A" w14:textId="77777777" w:rsidR="003510E1" w:rsidRDefault="003510E1" w:rsidP="00E20823">
      <w:pPr>
        <w:rPr>
          <w:rFonts w:ascii="Arial" w:hAnsi="Arial" w:cs="Arial"/>
        </w:rPr>
      </w:pPr>
    </w:p>
    <w:p w14:paraId="54A1B93F" w14:textId="77777777" w:rsidR="0079329D" w:rsidRDefault="00E20823" w:rsidP="00E20823">
      <w:pPr>
        <w:rPr>
          <w:rFonts w:ascii="Arial" w:hAnsi="Arial" w:cs="Arial"/>
        </w:rPr>
      </w:pPr>
      <w:r w:rsidRPr="00E20823">
        <w:rPr>
          <w:rFonts w:ascii="Arial" w:hAnsi="Arial" w:cs="Arial"/>
        </w:rPr>
        <w:t>they may serve a notice under this section (an “HMO declaration”) declaring the building or part to be a house in multiple occupation.</w:t>
      </w:r>
    </w:p>
    <w:p w14:paraId="5B4C7E73" w14:textId="77777777" w:rsidR="003510E1" w:rsidRDefault="003510E1" w:rsidP="00E20823">
      <w:pPr>
        <w:rPr>
          <w:rFonts w:ascii="Arial" w:hAnsi="Arial" w:cs="Arial"/>
        </w:rPr>
      </w:pPr>
    </w:p>
    <w:p w14:paraId="209BF671" w14:textId="77777777" w:rsidR="003510E1" w:rsidRDefault="003510E1" w:rsidP="00E20823">
      <w:pPr>
        <w:rPr>
          <w:rFonts w:ascii="Arial" w:hAnsi="Arial" w:cs="Arial"/>
        </w:rPr>
      </w:pPr>
    </w:p>
    <w:p w14:paraId="1A4A1FC6" w14:textId="77777777" w:rsidR="003510E1" w:rsidRDefault="003510E1" w:rsidP="00E20823">
      <w:pPr>
        <w:rPr>
          <w:rFonts w:ascii="Arial" w:hAnsi="Arial" w:cs="Arial"/>
        </w:rPr>
      </w:pPr>
    </w:p>
    <w:p w14:paraId="28B1B6CA" w14:textId="77777777" w:rsidR="003510E1" w:rsidRDefault="003510E1" w:rsidP="00E20823">
      <w:pPr>
        <w:rPr>
          <w:rFonts w:ascii="Arial" w:hAnsi="Arial" w:cs="Arial"/>
        </w:rPr>
      </w:pPr>
    </w:p>
    <w:p w14:paraId="44BE1E47" w14:textId="77777777" w:rsidR="003510E1" w:rsidRDefault="003510E1" w:rsidP="00E20823">
      <w:pPr>
        <w:rPr>
          <w:rFonts w:ascii="Arial" w:hAnsi="Arial" w:cs="Arial"/>
        </w:rPr>
      </w:pPr>
    </w:p>
    <w:p w14:paraId="4C9C5ACA" w14:textId="77777777" w:rsidR="003510E1" w:rsidRDefault="003510E1" w:rsidP="00E20823">
      <w:pPr>
        <w:rPr>
          <w:rFonts w:ascii="Arial" w:hAnsi="Arial" w:cs="Arial"/>
        </w:rPr>
      </w:pPr>
    </w:p>
    <w:p w14:paraId="2553DEC9" w14:textId="77777777" w:rsidR="003510E1" w:rsidRDefault="003510E1" w:rsidP="00E20823">
      <w:pPr>
        <w:rPr>
          <w:rFonts w:ascii="Arial" w:hAnsi="Arial" w:cs="Arial"/>
        </w:rPr>
      </w:pPr>
    </w:p>
    <w:p w14:paraId="1D9691F9" w14:textId="77777777" w:rsidR="003510E1" w:rsidRDefault="003510E1" w:rsidP="00E20823">
      <w:pPr>
        <w:rPr>
          <w:rFonts w:ascii="Arial" w:hAnsi="Arial" w:cs="Arial"/>
        </w:rPr>
      </w:pPr>
    </w:p>
    <w:p w14:paraId="346AC5D7" w14:textId="77777777" w:rsidR="003510E1" w:rsidRDefault="003510E1" w:rsidP="00E20823">
      <w:pPr>
        <w:rPr>
          <w:rFonts w:ascii="Arial" w:hAnsi="Arial" w:cs="Arial"/>
        </w:rPr>
      </w:pPr>
    </w:p>
    <w:p w14:paraId="7F348E69" w14:textId="77777777" w:rsidR="003510E1" w:rsidRDefault="003510E1" w:rsidP="00E20823">
      <w:pPr>
        <w:rPr>
          <w:rFonts w:ascii="Arial" w:hAnsi="Arial" w:cs="Arial"/>
        </w:rPr>
      </w:pPr>
    </w:p>
    <w:p w14:paraId="1E485306" w14:textId="77777777" w:rsidR="003510E1" w:rsidRDefault="003510E1" w:rsidP="00E20823">
      <w:pPr>
        <w:rPr>
          <w:rFonts w:ascii="Arial" w:hAnsi="Arial" w:cs="Arial"/>
        </w:rPr>
      </w:pPr>
    </w:p>
    <w:p w14:paraId="57A5D0D7" w14:textId="77777777" w:rsidR="003510E1" w:rsidRDefault="003510E1" w:rsidP="00E20823">
      <w:pPr>
        <w:rPr>
          <w:rFonts w:ascii="Arial" w:hAnsi="Arial" w:cs="Arial"/>
        </w:rPr>
      </w:pPr>
    </w:p>
    <w:p w14:paraId="0F49A2C6" w14:textId="77777777" w:rsidR="003510E1" w:rsidRDefault="003510E1" w:rsidP="00E20823">
      <w:pPr>
        <w:rPr>
          <w:rFonts w:ascii="Arial" w:hAnsi="Arial" w:cs="Arial"/>
        </w:rPr>
      </w:pPr>
    </w:p>
    <w:p w14:paraId="16F6312B" w14:textId="77777777" w:rsidR="003510E1" w:rsidRDefault="003510E1" w:rsidP="00E20823">
      <w:pPr>
        <w:rPr>
          <w:rFonts w:ascii="Arial" w:hAnsi="Arial" w:cs="Arial"/>
        </w:rPr>
      </w:pPr>
      <w:r>
        <w:rPr>
          <w:rFonts w:ascii="Arial" w:hAnsi="Arial" w:cs="Arial"/>
        </w:rPr>
        <w:lastRenderedPageBreak/>
        <w:t xml:space="preserve">Annex C: </w:t>
      </w:r>
      <w:r w:rsidRPr="003510E1">
        <w:rPr>
          <w:rFonts w:ascii="Arial" w:hAnsi="Arial" w:cs="Arial"/>
        </w:rPr>
        <w:t>Buildings which are n</w:t>
      </w:r>
      <w:r>
        <w:rPr>
          <w:rFonts w:ascii="Arial" w:hAnsi="Arial" w:cs="Arial"/>
        </w:rPr>
        <w:t xml:space="preserve">ot HMOs for purposes of this </w:t>
      </w:r>
      <w:proofErr w:type="gramStart"/>
      <w:r>
        <w:rPr>
          <w:rFonts w:ascii="Arial" w:hAnsi="Arial" w:cs="Arial"/>
        </w:rPr>
        <w:t>designation</w:t>
      </w:r>
      <w:proofErr w:type="gramEnd"/>
    </w:p>
    <w:p w14:paraId="7DC8EAAD" w14:textId="77777777" w:rsidR="003510E1" w:rsidRDefault="003510E1" w:rsidP="00E20823">
      <w:pPr>
        <w:rPr>
          <w:rFonts w:ascii="Arial" w:hAnsi="Arial" w:cs="Arial"/>
        </w:rPr>
      </w:pPr>
    </w:p>
    <w:p w14:paraId="1FDFE78F" w14:textId="77777777" w:rsidR="003510E1" w:rsidRDefault="00FC410C" w:rsidP="00E20823">
      <w:pPr>
        <w:rPr>
          <w:rFonts w:ascii="Arial" w:hAnsi="Arial" w:cs="Arial"/>
          <w:i/>
          <w:lang w:val="en"/>
        </w:rPr>
      </w:pPr>
      <w:r w:rsidRPr="00FC410C">
        <w:rPr>
          <w:rFonts w:ascii="Arial" w:hAnsi="Arial" w:cs="Arial"/>
          <w:i/>
          <w:lang w:val="en"/>
        </w:rPr>
        <w:t>In the following paragraphs “building” includes a part of a building.</w:t>
      </w:r>
    </w:p>
    <w:p w14:paraId="6BC32466" w14:textId="77777777" w:rsidR="00FC410C" w:rsidRDefault="00FC410C" w:rsidP="00E20823">
      <w:pPr>
        <w:rPr>
          <w:rFonts w:ascii="Arial" w:hAnsi="Arial" w:cs="Arial"/>
          <w:i/>
          <w:lang w:val="en"/>
        </w:rPr>
      </w:pPr>
    </w:p>
    <w:p w14:paraId="385859E3" w14:textId="77777777" w:rsidR="00FC410C" w:rsidRPr="00FC410C" w:rsidRDefault="00FC410C" w:rsidP="00FC410C">
      <w:pPr>
        <w:rPr>
          <w:rFonts w:ascii="Arial" w:hAnsi="Arial" w:cs="Arial"/>
          <w:b/>
          <w:bCs/>
          <w:lang w:val="en"/>
        </w:rPr>
      </w:pPr>
      <w:r w:rsidRPr="00FC410C">
        <w:rPr>
          <w:rFonts w:ascii="Arial" w:hAnsi="Arial" w:cs="Arial"/>
          <w:b/>
          <w:bCs/>
          <w:lang w:val="en"/>
        </w:rPr>
        <w:t xml:space="preserve">Buildings controlled or managed by public sector bodies </w:t>
      </w:r>
      <w:proofErr w:type="gramStart"/>
      <w:r>
        <w:rPr>
          <w:rFonts w:ascii="Arial" w:hAnsi="Arial" w:cs="Arial"/>
          <w:b/>
          <w:bCs/>
          <w:lang w:val="la-Latn"/>
        </w:rPr>
        <w:t>etc</w:t>
      </w:r>
      <w:proofErr w:type="gramEnd"/>
    </w:p>
    <w:p w14:paraId="307D249F" w14:textId="77777777" w:rsidR="00FC410C" w:rsidRDefault="00FC410C" w:rsidP="00FC410C">
      <w:pPr>
        <w:rPr>
          <w:rFonts w:ascii="Arial" w:hAnsi="Arial" w:cs="Arial"/>
          <w:lang w:val="en"/>
        </w:rPr>
      </w:pPr>
    </w:p>
    <w:p w14:paraId="4BF2A25B" w14:textId="77777777" w:rsidR="00FC410C" w:rsidRPr="00FC410C" w:rsidRDefault="00FC410C" w:rsidP="00FC410C">
      <w:pPr>
        <w:rPr>
          <w:rFonts w:ascii="Arial" w:hAnsi="Arial" w:cs="Arial"/>
          <w:lang w:val="en"/>
        </w:rPr>
      </w:pPr>
      <w:r w:rsidRPr="00FC410C">
        <w:rPr>
          <w:rFonts w:ascii="Arial" w:hAnsi="Arial" w:cs="Arial"/>
          <w:lang w:val="en"/>
        </w:rPr>
        <w:t>A building where the person mana</w:t>
      </w:r>
      <w:r>
        <w:rPr>
          <w:rFonts w:ascii="Arial" w:hAnsi="Arial" w:cs="Arial"/>
          <w:lang w:val="en"/>
        </w:rPr>
        <w:t xml:space="preserve">ging or having control of it </w:t>
      </w:r>
      <w:proofErr w:type="gramStart"/>
      <w:r>
        <w:rPr>
          <w:rFonts w:ascii="Arial" w:hAnsi="Arial" w:cs="Arial"/>
          <w:lang w:val="en"/>
        </w:rPr>
        <w:t>is</w:t>
      </w:r>
      <w:proofErr w:type="gramEnd"/>
    </w:p>
    <w:p w14:paraId="364B588C" w14:textId="77777777" w:rsidR="00FC410C" w:rsidRDefault="00FC410C" w:rsidP="00FC410C">
      <w:pPr>
        <w:rPr>
          <w:rFonts w:ascii="Arial" w:hAnsi="Arial" w:cs="Arial"/>
          <w:lang w:val="en"/>
        </w:rPr>
      </w:pPr>
    </w:p>
    <w:p w14:paraId="0390C463" w14:textId="77777777" w:rsidR="00FC410C" w:rsidRDefault="00FC410C" w:rsidP="00FC410C">
      <w:pPr>
        <w:numPr>
          <w:ilvl w:val="0"/>
          <w:numId w:val="36"/>
        </w:numPr>
        <w:rPr>
          <w:rFonts w:ascii="Arial" w:hAnsi="Arial" w:cs="Arial"/>
          <w:lang w:val="en"/>
        </w:rPr>
      </w:pPr>
      <w:r w:rsidRPr="00FC410C">
        <w:rPr>
          <w:rFonts w:ascii="Arial" w:hAnsi="Arial" w:cs="Arial"/>
          <w:lang w:val="en"/>
        </w:rPr>
        <w:t>a local housing authority,</w:t>
      </w:r>
    </w:p>
    <w:p w14:paraId="63CAAF0D" w14:textId="77777777" w:rsidR="00FC410C" w:rsidRDefault="00FC410C" w:rsidP="00FC410C">
      <w:pPr>
        <w:numPr>
          <w:ilvl w:val="0"/>
          <w:numId w:val="36"/>
        </w:numPr>
        <w:rPr>
          <w:rFonts w:ascii="Arial" w:hAnsi="Arial" w:cs="Arial"/>
          <w:lang w:val="en"/>
        </w:rPr>
      </w:pPr>
      <w:r w:rsidRPr="00FC410C">
        <w:rPr>
          <w:rFonts w:ascii="Arial" w:hAnsi="Arial" w:cs="Arial"/>
          <w:lang w:val="en"/>
        </w:rPr>
        <w:t>a non-profit registered provider of social housing,</w:t>
      </w:r>
    </w:p>
    <w:p w14:paraId="71AA828D" w14:textId="77777777" w:rsidR="00FC410C" w:rsidRDefault="00FC410C" w:rsidP="00FC410C">
      <w:pPr>
        <w:numPr>
          <w:ilvl w:val="0"/>
          <w:numId w:val="36"/>
        </w:numPr>
        <w:rPr>
          <w:rFonts w:ascii="Arial" w:hAnsi="Arial" w:cs="Arial"/>
          <w:lang w:val="en"/>
        </w:rPr>
      </w:pPr>
      <w:r w:rsidRPr="00FC410C">
        <w:rPr>
          <w:rFonts w:ascii="Arial" w:hAnsi="Arial" w:cs="Arial"/>
          <w:lang w:val="en"/>
        </w:rPr>
        <w:t>a body which is registered as a social landlord under Part 1</w:t>
      </w:r>
      <w:r w:rsidR="00FF0F6A">
        <w:rPr>
          <w:rFonts w:ascii="Arial" w:hAnsi="Arial" w:cs="Arial"/>
          <w:lang w:val="en"/>
        </w:rPr>
        <w:t xml:space="preserve"> of the Housing Act 1996</w:t>
      </w:r>
      <w:r w:rsidRPr="00FC410C">
        <w:rPr>
          <w:rFonts w:ascii="Arial" w:hAnsi="Arial" w:cs="Arial"/>
          <w:lang w:val="en"/>
        </w:rPr>
        <w:t>,</w:t>
      </w:r>
    </w:p>
    <w:p w14:paraId="355F4C97" w14:textId="77777777" w:rsidR="00FC410C" w:rsidRDefault="00FC410C" w:rsidP="00FC410C">
      <w:pPr>
        <w:numPr>
          <w:ilvl w:val="0"/>
          <w:numId w:val="36"/>
        </w:numPr>
        <w:rPr>
          <w:rFonts w:ascii="Arial" w:hAnsi="Arial" w:cs="Arial"/>
          <w:lang w:val="en"/>
        </w:rPr>
      </w:pPr>
      <w:r w:rsidRPr="00FF0F6A">
        <w:rPr>
          <w:rFonts w:ascii="Arial" w:hAnsi="Arial" w:cs="Arial"/>
          <w:lang w:val="en"/>
        </w:rPr>
        <w:t>a police and crime commissioner,</w:t>
      </w:r>
    </w:p>
    <w:p w14:paraId="240A0FF4" w14:textId="77777777" w:rsidR="00FC410C" w:rsidRDefault="00FC410C" w:rsidP="00FC410C">
      <w:pPr>
        <w:numPr>
          <w:ilvl w:val="0"/>
          <w:numId w:val="36"/>
        </w:numPr>
        <w:rPr>
          <w:rFonts w:ascii="Arial" w:hAnsi="Arial" w:cs="Arial"/>
          <w:lang w:val="en"/>
        </w:rPr>
      </w:pPr>
      <w:r w:rsidRPr="00FF0F6A">
        <w:rPr>
          <w:rFonts w:ascii="Arial" w:hAnsi="Arial" w:cs="Arial"/>
          <w:lang w:val="en"/>
        </w:rPr>
        <w:t>the Mayor's Office for Policing and Crime,</w:t>
      </w:r>
    </w:p>
    <w:p w14:paraId="3112C7FA" w14:textId="77777777" w:rsidR="00FC410C" w:rsidRDefault="00FC410C" w:rsidP="00FC410C">
      <w:pPr>
        <w:numPr>
          <w:ilvl w:val="0"/>
          <w:numId w:val="36"/>
        </w:numPr>
        <w:rPr>
          <w:rFonts w:ascii="Arial" w:hAnsi="Arial" w:cs="Arial"/>
          <w:lang w:val="en"/>
        </w:rPr>
      </w:pPr>
      <w:r w:rsidRPr="00FF0F6A">
        <w:rPr>
          <w:rFonts w:ascii="Arial" w:hAnsi="Arial" w:cs="Arial"/>
          <w:lang w:val="en"/>
        </w:rPr>
        <w:t>a fire and rescue authority, or</w:t>
      </w:r>
    </w:p>
    <w:p w14:paraId="388E8E79" w14:textId="77777777" w:rsidR="00FC410C" w:rsidRPr="00FF0F6A" w:rsidRDefault="00FC410C" w:rsidP="00FC410C">
      <w:pPr>
        <w:numPr>
          <w:ilvl w:val="0"/>
          <w:numId w:val="36"/>
        </w:numPr>
        <w:rPr>
          <w:rFonts w:ascii="Arial" w:hAnsi="Arial" w:cs="Arial"/>
          <w:lang w:val="en"/>
        </w:rPr>
      </w:pPr>
      <w:r w:rsidRPr="00FF0F6A">
        <w:rPr>
          <w:rFonts w:ascii="Arial" w:hAnsi="Arial" w:cs="Arial"/>
          <w:lang w:val="en"/>
        </w:rPr>
        <w:t xml:space="preserve">a health service body </w:t>
      </w:r>
      <w:r w:rsidR="00FF0F6A">
        <w:rPr>
          <w:rFonts w:ascii="Arial" w:hAnsi="Arial" w:cs="Arial"/>
          <w:lang w:val="en"/>
        </w:rPr>
        <w:t>[</w:t>
      </w:r>
      <w:r w:rsidRPr="00FF0F6A">
        <w:rPr>
          <w:rFonts w:ascii="Arial" w:hAnsi="Arial" w:cs="Arial"/>
          <w:lang w:val="en"/>
        </w:rPr>
        <w:t>within the meaning of section 9 of the National Health Service Act 2006].</w:t>
      </w:r>
    </w:p>
    <w:p w14:paraId="4FFC8AD4" w14:textId="77777777" w:rsidR="00FF0F6A" w:rsidRDefault="00FF0F6A" w:rsidP="00FC410C">
      <w:pPr>
        <w:rPr>
          <w:rFonts w:ascii="Arial" w:hAnsi="Arial" w:cs="Arial"/>
          <w:lang w:val="en"/>
        </w:rPr>
      </w:pPr>
    </w:p>
    <w:p w14:paraId="2666BCCF" w14:textId="77777777" w:rsidR="00FC410C" w:rsidRPr="00FC410C" w:rsidRDefault="00FF0F6A" w:rsidP="00FC410C">
      <w:pPr>
        <w:rPr>
          <w:rFonts w:ascii="Arial" w:hAnsi="Arial" w:cs="Arial"/>
          <w:lang w:val="en"/>
        </w:rPr>
      </w:pPr>
      <w:r>
        <w:rPr>
          <w:rFonts w:ascii="Arial" w:hAnsi="Arial" w:cs="Arial"/>
          <w:b/>
          <w:lang w:val="en"/>
        </w:rPr>
        <w:t>“</w:t>
      </w:r>
      <w:proofErr w:type="gramStart"/>
      <w:r w:rsidR="00FC410C" w:rsidRPr="00FF0F6A">
        <w:rPr>
          <w:rFonts w:ascii="Arial" w:hAnsi="Arial" w:cs="Arial"/>
          <w:b/>
          <w:lang w:val="en"/>
        </w:rPr>
        <w:t>fire</w:t>
      </w:r>
      <w:proofErr w:type="gramEnd"/>
      <w:r w:rsidR="00FC410C" w:rsidRPr="00FF0F6A">
        <w:rPr>
          <w:rFonts w:ascii="Arial" w:hAnsi="Arial" w:cs="Arial"/>
          <w:b/>
          <w:lang w:val="en"/>
        </w:rPr>
        <w:t xml:space="preserve"> and rescue </w:t>
      </w:r>
      <w:r w:rsidR="005450ED" w:rsidRPr="00FF0F6A">
        <w:rPr>
          <w:rFonts w:ascii="Arial" w:hAnsi="Arial" w:cs="Arial"/>
          <w:b/>
          <w:lang w:val="en"/>
        </w:rPr>
        <w:t>authority</w:t>
      </w:r>
      <w:r w:rsidR="005450ED" w:rsidRPr="00FC410C">
        <w:rPr>
          <w:rFonts w:ascii="Arial" w:hAnsi="Arial" w:cs="Arial"/>
          <w:lang w:val="en"/>
        </w:rPr>
        <w:t>”</w:t>
      </w:r>
      <w:r w:rsidR="00FC410C" w:rsidRPr="00FC410C">
        <w:rPr>
          <w:rFonts w:ascii="Arial" w:hAnsi="Arial" w:cs="Arial"/>
          <w:lang w:val="en"/>
        </w:rPr>
        <w:t xml:space="preserve"> means a fire and rescue authority under the Fire and R</w:t>
      </w:r>
      <w:r>
        <w:rPr>
          <w:rFonts w:ascii="Arial" w:hAnsi="Arial" w:cs="Arial"/>
          <w:lang w:val="en"/>
        </w:rPr>
        <w:t xml:space="preserve">escue Services Act 2004 </w:t>
      </w:r>
      <w:r w:rsidR="00FC410C" w:rsidRPr="00FC410C">
        <w:rPr>
          <w:rFonts w:ascii="Arial" w:hAnsi="Arial" w:cs="Arial"/>
          <w:lang w:val="en"/>
        </w:rPr>
        <w:t xml:space="preserve"> </w:t>
      </w:r>
    </w:p>
    <w:p w14:paraId="4E662A37" w14:textId="77777777" w:rsidR="00FF0F6A" w:rsidRDefault="00FF0F6A" w:rsidP="00FC410C">
      <w:pPr>
        <w:rPr>
          <w:rFonts w:ascii="Arial" w:hAnsi="Arial" w:cs="Arial"/>
          <w:lang w:val="en"/>
        </w:rPr>
      </w:pPr>
    </w:p>
    <w:p w14:paraId="406E51BA" w14:textId="77777777" w:rsidR="00FC410C" w:rsidRPr="00FC410C" w:rsidRDefault="00FC410C" w:rsidP="00FC410C">
      <w:pPr>
        <w:rPr>
          <w:rFonts w:ascii="Arial" w:hAnsi="Arial" w:cs="Arial"/>
          <w:lang w:val="en"/>
        </w:rPr>
      </w:pPr>
      <w:r w:rsidRPr="00FC410C">
        <w:rPr>
          <w:rFonts w:ascii="Arial" w:hAnsi="Arial" w:cs="Arial"/>
          <w:lang w:val="en"/>
        </w:rPr>
        <w:t>A building—</w:t>
      </w:r>
    </w:p>
    <w:p w14:paraId="63422CED" w14:textId="77777777" w:rsidR="00FF0F6A" w:rsidRDefault="00FF0F6A" w:rsidP="00FC410C">
      <w:pPr>
        <w:rPr>
          <w:rFonts w:ascii="Arial" w:hAnsi="Arial" w:cs="Arial"/>
          <w:lang w:val="en"/>
        </w:rPr>
      </w:pPr>
    </w:p>
    <w:p w14:paraId="7CC27090" w14:textId="77777777" w:rsidR="00FC410C" w:rsidRDefault="00FF0F6A" w:rsidP="00FF0F6A">
      <w:pPr>
        <w:numPr>
          <w:ilvl w:val="0"/>
          <w:numId w:val="37"/>
        </w:numPr>
        <w:rPr>
          <w:rFonts w:ascii="Arial" w:hAnsi="Arial" w:cs="Arial"/>
          <w:lang w:val="en"/>
        </w:rPr>
      </w:pPr>
      <w:r>
        <w:rPr>
          <w:rFonts w:ascii="Arial" w:hAnsi="Arial" w:cs="Arial"/>
          <w:lang w:val="en"/>
        </w:rPr>
        <w:t>W</w:t>
      </w:r>
      <w:r w:rsidR="00FC410C" w:rsidRPr="00FC410C">
        <w:rPr>
          <w:rFonts w:ascii="Arial" w:hAnsi="Arial" w:cs="Arial"/>
          <w:lang w:val="en"/>
        </w:rPr>
        <w:t>hich is social housing within the meaning of Part 2 of the Housing and Regeneration Act 2008, and</w:t>
      </w:r>
    </w:p>
    <w:p w14:paraId="4A6536CD" w14:textId="77777777" w:rsidR="00FC410C" w:rsidRPr="00FF0F6A" w:rsidRDefault="00FF0F6A" w:rsidP="00FC410C">
      <w:pPr>
        <w:numPr>
          <w:ilvl w:val="0"/>
          <w:numId w:val="37"/>
        </w:numPr>
        <w:rPr>
          <w:rFonts w:ascii="Arial" w:hAnsi="Arial" w:cs="Arial"/>
          <w:lang w:val="en"/>
        </w:rPr>
      </w:pPr>
      <w:r w:rsidRPr="00FF0F6A">
        <w:rPr>
          <w:rFonts w:ascii="Arial" w:hAnsi="Arial" w:cs="Arial"/>
          <w:lang w:val="en"/>
        </w:rPr>
        <w:t>W</w:t>
      </w:r>
      <w:r w:rsidR="00FC410C" w:rsidRPr="00FF0F6A">
        <w:rPr>
          <w:rFonts w:ascii="Arial" w:hAnsi="Arial" w:cs="Arial"/>
          <w:lang w:val="en"/>
        </w:rPr>
        <w:t>here the person managing or having control of it is a profit-making registered provider of social housing.]</w:t>
      </w:r>
    </w:p>
    <w:p w14:paraId="27F4454B" w14:textId="77777777" w:rsidR="00FC410C" w:rsidRPr="00FC410C" w:rsidRDefault="00FC410C" w:rsidP="00FC410C">
      <w:pPr>
        <w:rPr>
          <w:rFonts w:ascii="Arial" w:hAnsi="Arial" w:cs="Arial"/>
          <w:lang w:val="en"/>
        </w:rPr>
      </w:pPr>
    </w:p>
    <w:p w14:paraId="61131A85" w14:textId="77777777" w:rsidR="00FC410C" w:rsidRPr="00FC410C" w:rsidRDefault="00FC410C" w:rsidP="00FC410C">
      <w:pPr>
        <w:rPr>
          <w:rFonts w:ascii="Arial" w:hAnsi="Arial" w:cs="Arial"/>
          <w:b/>
          <w:bCs/>
          <w:lang w:val="en"/>
        </w:rPr>
      </w:pPr>
      <w:r w:rsidRPr="00FC410C">
        <w:rPr>
          <w:rFonts w:ascii="Arial" w:hAnsi="Arial" w:cs="Arial"/>
          <w:b/>
          <w:bCs/>
          <w:lang w:val="en"/>
        </w:rPr>
        <w:t xml:space="preserve">Buildings controlled or managed by a co-operative </w:t>
      </w:r>
      <w:proofErr w:type="gramStart"/>
      <w:r w:rsidRPr="00FC410C">
        <w:rPr>
          <w:rFonts w:ascii="Arial" w:hAnsi="Arial" w:cs="Arial"/>
          <w:b/>
          <w:bCs/>
          <w:lang w:val="en"/>
        </w:rPr>
        <w:t>society</w:t>
      </w:r>
      <w:proofErr w:type="gramEnd"/>
    </w:p>
    <w:p w14:paraId="34ED5D13" w14:textId="77777777" w:rsidR="00FF0F6A" w:rsidRDefault="00FF0F6A" w:rsidP="00FC410C">
      <w:pPr>
        <w:rPr>
          <w:rFonts w:ascii="Arial" w:hAnsi="Arial" w:cs="Arial"/>
          <w:lang w:val="en"/>
        </w:rPr>
      </w:pPr>
    </w:p>
    <w:p w14:paraId="111865F1" w14:textId="77777777" w:rsidR="00FC410C" w:rsidRDefault="00FC410C" w:rsidP="00FC410C">
      <w:pPr>
        <w:rPr>
          <w:rFonts w:ascii="Arial" w:hAnsi="Arial" w:cs="Arial"/>
          <w:lang w:val="en"/>
        </w:rPr>
      </w:pPr>
      <w:r w:rsidRPr="00FC410C">
        <w:rPr>
          <w:rFonts w:ascii="Arial" w:hAnsi="Arial" w:cs="Arial"/>
          <w:lang w:val="en"/>
        </w:rPr>
        <w:t>A building where—</w:t>
      </w:r>
    </w:p>
    <w:p w14:paraId="700B7F54" w14:textId="77777777" w:rsidR="00FF0F6A" w:rsidRPr="00FC410C" w:rsidRDefault="00FF0F6A" w:rsidP="00FC410C">
      <w:pPr>
        <w:rPr>
          <w:rFonts w:ascii="Arial" w:hAnsi="Arial" w:cs="Arial"/>
          <w:lang w:val="en"/>
        </w:rPr>
      </w:pPr>
    </w:p>
    <w:p w14:paraId="04209CE0" w14:textId="77777777" w:rsidR="00FC410C" w:rsidRDefault="00FF0F6A" w:rsidP="00FF0F6A">
      <w:pPr>
        <w:numPr>
          <w:ilvl w:val="0"/>
          <w:numId w:val="38"/>
        </w:numPr>
        <w:rPr>
          <w:rFonts w:ascii="Arial" w:hAnsi="Arial" w:cs="Arial"/>
          <w:lang w:val="en"/>
        </w:rPr>
      </w:pPr>
      <w:r>
        <w:rPr>
          <w:rFonts w:ascii="Arial" w:hAnsi="Arial" w:cs="Arial"/>
          <w:lang w:val="en"/>
        </w:rPr>
        <w:t>T</w:t>
      </w:r>
      <w:r w:rsidR="00FC410C" w:rsidRPr="00FC410C">
        <w:rPr>
          <w:rFonts w:ascii="Arial" w:hAnsi="Arial" w:cs="Arial"/>
          <w:lang w:val="en"/>
        </w:rPr>
        <w:t xml:space="preserve">he person managing or having control of it is a co-operative </w:t>
      </w:r>
      <w:r>
        <w:rPr>
          <w:rFonts w:ascii="Arial" w:hAnsi="Arial" w:cs="Arial"/>
          <w:lang w:val="en"/>
        </w:rPr>
        <w:t xml:space="preserve">society </w:t>
      </w:r>
      <w:r w:rsidR="00FC410C" w:rsidRPr="00FC410C">
        <w:rPr>
          <w:rFonts w:ascii="Arial" w:hAnsi="Arial" w:cs="Arial"/>
          <w:lang w:val="en"/>
        </w:rPr>
        <w:t>whose rules are such as to secure that each of the conditions set out in sub-paragraph (2) is met, and</w:t>
      </w:r>
    </w:p>
    <w:p w14:paraId="722EEB74" w14:textId="77777777" w:rsidR="00FC410C" w:rsidRDefault="00FF0F6A" w:rsidP="00FC410C">
      <w:pPr>
        <w:numPr>
          <w:ilvl w:val="0"/>
          <w:numId w:val="38"/>
        </w:numPr>
        <w:rPr>
          <w:rFonts w:ascii="Arial" w:hAnsi="Arial" w:cs="Arial"/>
          <w:lang w:val="en"/>
        </w:rPr>
      </w:pPr>
      <w:r w:rsidRPr="00FF0F6A">
        <w:rPr>
          <w:rFonts w:ascii="Arial" w:hAnsi="Arial" w:cs="Arial"/>
          <w:lang w:val="en"/>
        </w:rPr>
        <w:t>N</w:t>
      </w:r>
      <w:r w:rsidR="00FC410C" w:rsidRPr="00FF0F6A">
        <w:rPr>
          <w:rFonts w:ascii="Arial" w:hAnsi="Arial" w:cs="Arial"/>
          <w:lang w:val="en"/>
        </w:rPr>
        <w:t xml:space="preserve">o person who occupies premises in the building does so by virtue of an assured tenancy, a secure </w:t>
      </w:r>
      <w:proofErr w:type="gramStart"/>
      <w:r w:rsidR="00FC410C" w:rsidRPr="00FF0F6A">
        <w:rPr>
          <w:rFonts w:ascii="Arial" w:hAnsi="Arial" w:cs="Arial"/>
          <w:lang w:val="en"/>
        </w:rPr>
        <w:t>tenancy</w:t>
      </w:r>
      <w:proofErr w:type="gramEnd"/>
      <w:r w:rsidR="00FC410C" w:rsidRPr="00FF0F6A">
        <w:rPr>
          <w:rFonts w:ascii="Arial" w:hAnsi="Arial" w:cs="Arial"/>
          <w:lang w:val="en"/>
        </w:rPr>
        <w:t xml:space="preserve"> or a protected tenancy.</w:t>
      </w:r>
    </w:p>
    <w:p w14:paraId="0D0BB62F" w14:textId="77777777" w:rsidR="00FF0F6A" w:rsidRPr="00FF0F6A" w:rsidRDefault="00FF0F6A" w:rsidP="00FF0F6A">
      <w:pPr>
        <w:ind w:left="1069"/>
        <w:rPr>
          <w:rFonts w:ascii="Arial" w:hAnsi="Arial" w:cs="Arial"/>
          <w:lang w:val="en"/>
        </w:rPr>
      </w:pPr>
    </w:p>
    <w:p w14:paraId="1558D210" w14:textId="77777777" w:rsidR="00FC410C" w:rsidRPr="00FC410C" w:rsidRDefault="00FC410C" w:rsidP="00FF0F6A">
      <w:pPr>
        <w:ind w:firstLine="720"/>
        <w:rPr>
          <w:rFonts w:ascii="Arial" w:hAnsi="Arial" w:cs="Arial"/>
          <w:lang w:val="en"/>
        </w:rPr>
      </w:pPr>
      <w:r w:rsidRPr="00FC410C">
        <w:rPr>
          <w:rFonts w:ascii="Arial" w:hAnsi="Arial" w:cs="Arial"/>
          <w:lang w:val="en"/>
        </w:rPr>
        <w:t>(</w:t>
      </w:r>
      <w:r w:rsidR="005450ED" w:rsidRPr="00FC410C">
        <w:rPr>
          <w:rFonts w:ascii="Arial" w:hAnsi="Arial" w:cs="Arial"/>
          <w:lang w:val="en"/>
        </w:rPr>
        <w:t>2) The</w:t>
      </w:r>
      <w:r w:rsidRPr="00FC410C">
        <w:rPr>
          <w:rFonts w:ascii="Arial" w:hAnsi="Arial" w:cs="Arial"/>
          <w:lang w:val="en"/>
        </w:rPr>
        <w:t xml:space="preserve"> conditions are—</w:t>
      </w:r>
    </w:p>
    <w:p w14:paraId="0B7F7101" w14:textId="77777777" w:rsidR="00FC410C" w:rsidRPr="00FC410C" w:rsidRDefault="00FF0F6A" w:rsidP="00FF0F6A">
      <w:pPr>
        <w:ind w:left="720"/>
        <w:rPr>
          <w:rFonts w:ascii="Arial" w:hAnsi="Arial" w:cs="Arial"/>
          <w:lang w:val="en"/>
        </w:rPr>
      </w:pPr>
      <w:r>
        <w:rPr>
          <w:rFonts w:ascii="Arial" w:hAnsi="Arial" w:cs="Arial"/>
          <w:lang w:val="en"/>
        </w:rPr>
        <w:t>(a) T</w:t>
      </w:r>
      <w:r w:rsidR="00FC410C" w:rsidRPr="00FC410C">
        <w:rPr>
          <w:rFonts w:ascii="Arial" w:hAnsi="Arial" w:cs="Arial"/>
          <w:lang w:val="en"/>
        </w:rPr>
        <w:t>hat membership of the society is restricted to persons who are occupiers or prospective occupiers of buildings managed or controlled by the society,</w:t>
      </w:r>
    </w:p>
    <w:p w14:paraId="331EE7E4" w14:textId="77777777" w:rsidR="00FC410C" w:rsidRPr="00FC410C" w:rsidRDefault="00FF0F6A" w:rsidP="00FF0F6A">
      <w:pPr>
        <w:ind w:left="720"/>
        <w:rPr>
          <w:rFonts w:ascii="Arial" w:hAnsi="Arial" w:cs="Arial"/>
          <w:lang w:val="en"/>
        </w:rPr>
      </w:pPr>
      <w:r>
        <w:rPr>
          <w:rFonts w:ascii="Arial" w:hAnsi="Arial" w:cs="Arial"/>
          <w:lang w:val="en"/>
        </w:rPr>
        <w:t>(b) T</w:t>
      </w:r>
      <w:r w:rsidR="00FC410C" w:rsidRPr="00FC410C">
        <w:rPr>
          <w:rFonts w:ascii="Arial" w:hAnsi="Arial" w:cs="Arial"/>
          <w:lang w:val="en"/>
        </w:rPr>
        <w:t>hat all management decisions of the society are made by the members (or a specified quorum of members) at a general meeting which all members are entitled to, and invited to, attend,</w:t>
      </w:r>
    </w:p>
    <w:p w14:paraId="43B2D5F8" w14:textId="77777777" w:rsidR="00FC410C" w:rsidRPr="00FC410C" w:rsidRDefault="00FF0F6A" w:rsidP="00FF0F6A">
      <w:pPr>
        <w:ind w:firstLine="720"/>
        <w:rPr>
          <w:rFonts w:ascii="Arial" w:hAnsi="Arial" w:cs="Arial"/>
          <w:lang w:val="en"/>
        </w:rPr>
      </w:pPr>
      <w:r>
        <w:rPr>
          <w:rFonts w:ascii="Arial" w:hAnsi="Arial" w:cs="Arial"/>
          <w:lang w:val="en"/>
        </w:rPr>
        <w:t>(c) T</w:t>
      </w:r>
      <w:r w:rsidR="00FC410C" w:rsidRPr="00FC410C">
        <w:rPr>
          <w:rFonts w:ascii="Arial" w:hAnsi="Arial" w:cs="Arial"/>
          <w:lang w:val="en"/>
        </w:rPr>
        <w:t>hat each member has equal voting rights at such a meeting, and</w:t>
      </w:r>
    </w:p>
    <w:p w14:paraId="3EC75127" w14:textId="77777777" w:rsidR="00FC410C" w:rsidRPr="00FC410C" w:rsidRDefault="00FF0F6A" w:rsidP="00FF0F6A">
      <w:pPr>
        <w:ind w:left="720"/>
        <w:rPr>
          <w:rFonts w:ascii="Arial" w:hAnsi="Arial" w:cs="Arial"/>
          <w:lang w:val="en"/>
        </w:rPr>
      </w:pPr>
      <w:r>
        <w:rPr>
          <w:rFonts w:ascii="Arial" w:hAnsi="Arial" w:cs="Arial"/>
          <w:lang w:val="en"/>
        </w:rPr>
        <w:t>(d) T</w:t>
      </w:r>
      <w:r w:rsidR="00FC410C" w:rsidRPr="00FC410C">
        <w:rPr>
          <w:rFonts w:ascii="Arial" w:hAnsi="Arial" w:cs="Arial"/>
          <w:lang w:val="en"/>
        </w:rPr>
        <w:t xml:space="preserve">hat, if a person occupies premises in the building and is not a member, that person is an occupier of the premises only </w:t>
      </w:r>
      <w:proofErr w:type="gramStart"/>
      <w:r w:rsidR="00FC410C" w:rsidRPr="00FC410C">
        <w:rPr>
          <w:rFonts w:ascii="Arial" w:hAnsi="Arial" w:cs="Arial"/>
          <w:lang w:val="en"/>
        </w:rPr>
        <w:t>as a result of</w:t>
      </w:r>
      <w:proofErr w:type="gramEnd"/>
      <w:r w:rsidR="00FC410C" w:rsidRPr="00FC410C">
        <w:rPr>
          <w:rFonts w:ascii="Arial" w:hAnsi="Arial" w:cs="Arial"/>
          <w:lang w:val="en"/>
        </w:rPr>
        <w:t xml:space="preserve"> sharing occupation of them with a member at the member's invitation.</w:t>
      </w:r>
    </w:p>
    <w:p w14:paraId="7F8118A2" w14:textId="77777777" w:rsidR="00FC410C" w:rsidRDefault="00FC410C" w:rsidP="00FF0F6A">
      <w:pPr>
        <w:ind w:left="720"/>
        <w:rPr>
          <w:rFonts w:ascii="Arial" w:hAnsi="Arial" w:cs="Arial"/>
          <w:lang w:val="en"/>
        </w:rPr>
      </w:pPr>
      <w:r w:rsidRPr="00FC410C">
        <w:rPr>
          <w:rFonts w:ascii="Arial" w:hAnsi="Arial" w:cs="Arial"/>
          <w:lang w:val="en"/>
        </w:rPr>
        <w:lastRenderedPageBreak/>
        <w:t>(</w:t>
      </w:r>
      <w:r w:rsidR="005450ED" w:rsidRPr="00FC410C">
        <w:rPr>
          <w:rFonts w:ascii="Arial" w:hAnsi="Arial" w:cs="Arial"/>
          <w:lang w:val="en"/>
        </w:rPr>
        <w:t>3) For</w:t>
      </w:r>
      <w:r w:rsidRPr="00FC410C">
        <w:rPr>
          <w:rFonts w:ascii="Arial" w:hAnsi="Arial" w:cs="Arial"/>
          <w:lang w:val="en"/>
        </w:rPr>
        <w:t xml:space="preserve"> </w:t>
      </w:r>
      <w:r w:rsidR="00FF0F6A">
        <w:rPr>
          <w:rFonts w:ascii="Arial" w:hAnsi="Arial" w:cs="Arial"/>
          <w:lang w:val="en"/>
        </w:rPr>
        <w:t>the purposes of sub-paragraph (a</w:t>
      </w:r>
      <w:r w:rsidRPr="00FC410C">
        <w:rPr>
          <w:rFonts w:ascii="Arial" w:hAnsi="Arial" w:cs="Arial"/>
          <w:lang w:val="en"/>
        </w:rPr>
        <w:t>) “co-operative society” means a body that—</w:t>
      </w:r>
    </w:p>
    <w:p w14:paraId="169B0C65" w14:textId="77777777" w:rsidR="00FF0F6A" w:rsidRPr="00FC410C" w:rsidRDefault="00FF0F6A" w:rsidP="00FF0F6A">
      <w:pPr>
        <w:ind w:left="720"/>
        <w:rPr>
          <w:rFonts w:ascii="Arial" w:hAnsi="Arial" w:cs="Arial"/>
          <w:lang w:val="en"/>
        </w:rPr>
      </w:pPr>
    </w:p>
    <w:p w14:paraId="553736D0" w14:textId="77777777" w:rsidR="00FC410C" w:rsidRPr="00FC410C" w:rsidRDefault="00FC410C" w:rsidP="00FF0F6A">
      <w:pPr>
        <w:ind w:left="720"/>
        <w:rPr>
          <w:rFonts w:ascii="Arial" w:hAnsi="Arial" w:cs="Arial"/>
          <w:lang w:val="en"/>
        </w:rPr>
      </w:pPr>
      <w:r w:rsidRPr="00FC410C">
        <w:rPr>
          <w:rFonts w:ascii="Arial" w:hAnsi="Arial" w:cs="Arial"/>
          <w:lang w:val="en"/>
        </w:rPr>
        <w:t>(a)</w:t>
      </w:r>
      <w:r w:rsidR="00FF0F6A">
        <w:rPr>
          <w:rFonts w:ascii="Arial" w:hAnsi="Arial" w:cs="Arial"/>
          <w:lang w:val="en"/>
        </w:rPr>
        <w:t xml:space="preserve"> I</w:t>
      </w:r>
      <w:r w:rsidRPr="00FC410C">
        <w:rPr>
          <w:rFonts w:ascii="Arial" w:hAnsi="Arial" w:cs="Arial"/>
          <w:lang w:val="en"/>
        </w:rPr>
        <w:t>s registered as a co-operative society under the 2014 Act or is a pre-commencement society (within the meaning of that Act) that meets the condition in section 2(2)(a)(</w:t>
      </w:r>
      <w:proofErr w:type="spellStart"/>
      <w:r w:rsidRPr="00FC410C">
        <w:rPr>
          <w:rFonts w:ascii="Arial" w:hAnsi="Arial" w:cs="Arial"/>
          <w:lang w:val="en"/>
        </w:rPr>
        <w:t>i</w:t>
      </w:r>
      <w:proofErr w:type="spellEnd"/>
      <w:r w:rsidRPr="00FC410C">
        <w:rPr>
          <w:rFonts w:ascii="Arial" w:hAnsi="Arial" w:cs="Arial"/>
          <w:lang w:val="en"/>
        </w:rPr>
        <w:t>) of that Act,</w:t>
      </w:r>
      <w:r w:rsidR="005450ED">
        <w:rPr>
          <w:rFonts w:ascii="Arial" w:hAnsi="Arial" w:cs="Arial"/>
          <w:lang w:val="en"/>
        </w:rPr>
        <w:t xml:space="preserve"> </w:t>
      </w:r>
      <w:r w:rsidRPr="00FC410C">
        <w:rPr>
          <w:rFonts w:ascii="Arial" w:hAnsi="Arial" w:cs="Arial"/>
          <w:lang w:val="en"/>
        </w:rPr>
        <w:t>and</w:t>
      </w:r>
    </w:p>
    <w:p w14:paraId="423EA546" w14:textId="77777777" w:rsidR="00FC410C" w:rsidRPr="00FC410C" w:rsidRDefault="00FF0F6A" w:rsidP="00FF0F6A">
      <w:pPr>
        <w:ind w:firstLine="720"/>
        <w:rPr>
          <w:rFonts w:ascii="Arial" w:hAnsi="Arial" w:cs="Arial"/>
          <w:lang w:val="en"/>
        </w:rPr>
      </w:pPr>
      <w:r>
        <w:rPr>
          <w:rFonts w:ascii="Arial" w:hAnsi="Arial" w:cs="Arial"/>
          <w:lang w:val="en"/>
        </w:rPr>
        <w:t>(b) I</w:t>
      </w:r>
      <w:r w:rsidR="00FC410C" w:rsidRPr="00FC410C">
        <w:rPr>
          <w:rFonts w:ascii="Arial" w:hAnsi="Arial" w:cs="Arial"/>
          <w:lang w:val="en"/>
        </w:rPr>
        <w:t>s neither—</w:t>
      </w:r>
    </w:p>
    <w:p w14:paraId="785754DB" w14:textId="77777777" w:rsidR="00FC410C" w:rsidRPr="00FC410C" w:rsidRDefault="00FC410C" w:rsidP="00FF0F6A">
      <w:pPr>
        <w:ind w:left="720" w:firstLine="720"/>
        <w:rPr>
          <w:rFonts w:ascii="Arial" w:hAnsi="Arial" w:cs="Arial"/>
          <w:lang w:val="en"/>
        </w:rPr>
      </w:pPr>
      <w:r w:rsidRPr="00FC410C">
        <w:rPr>
          <w:rFonts w:ascii="Arial" w:hAnsi="Arial" w:cs="Arial"/>
          <w:lang w:val="en"/>
        </w:rPr>
        <w:t>(</w:t>
      </w:r>
      <w:proofErr w:type="spellStart"/>
      <w:r w:rsidRPr="00FC410C">
        <w:rPr>
          <w:rFonts w:ascii="Arial" w:hAnsi="Arial" w:cs="Arial"/>
          <w:lang w:val="en"/>
        </w:rPr>
        <w:t>i</w:t>
      </w:r>
      <w:proofErr w:type="spellEnd"/>
      <w:r w:rsidRPr="00FC410C">
        <w:rPr>
          <w:rFonts w:ascii="Arial" w:hAnsi="Arial" w:cs="Arial"/>
          <w:lang w:val="en"/>
        </w:rPr>
        <w:t>)</w:t>
      </w:r>
      <w:r w:rsidR="00FF0F6A">
        <w:rPr>
          <w:rFonts w:ascii="Arial" w:hAnsi="Arial" w:cs="Arial"/>
          <w:lang w:val="en"/>
        </w:rPr>
        <w:t xml:space="preserve"> A</w:t>
      </w:r>
      <w:r w:rsidRPr="00FC410C">
        <w:rPr>
          <w:rFonts w:ascii="Arial" w:hAnsi="Arial" w:cs="Arial"/>
          <w:lang w:val="en"/>
        </w:rPr>
        <w:t xml:space="preserve"> non-profit registered provider of social housing, nor</w:t>
      </w:r>
    </w:p>
    <w:p w14:paraId="495F3B03" w14:textId="77777777" w:rsidR="00FC410C" w:rsidRPr="00FC410C" w:rsidRDefault="00FF0F6A" w:rsidP="00FF0F6A">
      <w:pPr>
        <w:ind w:left="720" w:firstLine="720"/>
        <w:rPr>
          <w:rFonts w:ascii="Arial" w:hAnsi="Arial" w:cs="Arial"/>
          <w:lang w:val="en"/>
        </w:rPr>
      </w:pPr>
      <w:r>
        <w:rPr>
          <w:rFonts w:ascii="Arial" w:hAnsi="Arial" w:cs="Arial"/>
          <w:lang w:val="en"/>
        </w:rPr>
        <w:t>(ii) R</w:t>
      </w:r>
      <w:r w:rsidR="00FC410C" w:rsidRPr="00FC410C">
        <w:rPr>
          <w:rFonts w:ascii="Arial" w:hAnsi="Arial" w:cs="Arial"/>
          <w:lang w:val="en"/>
        </w:rPr>
        <w:t>egistered as a social landlord under Part 1 of the Housing Act 1996.</w:t>
      </w:r>
    </w:p>
    <w:p w14:paraId="6567B9D4" w14:textId="77777777" w:rsidR="00FC410C" w:rsidRPr="00FC410C" w:rsidRDefault="00FC410C" w:rsidP="00FF0F6A">
      <w:pPr>
        <w:ind w:firstLine="720"/>
        <w:rPr>
          <w:rFonts w:ascii="Arial" w:hAnsi="Arial" w:cs="Arial"/>
          <w:lang w:val="en"/>
        </w:rPr>
      </w:pPr>
      <w:r w:rsidRPr="00FC410C">
        <w:rPr>
          <w:rFonts w:ascii="Arial" w:hAnsi="Arial" w:cs="Arial"/>
          <w:lang w:val="en"/>
        </w:rPr>
        <w:t>(</w:t>
      </w:r>
      <w:r w:rsidR="005450ED" w:rsidRPr="00FC410C">
        <w:rPr>
          <w:rFonts w:ascii="Arial" w:hAnsi="Arial" w:cs="Arial"/>
          <w:lang w:val="en"/>
        </w:rPr>
        <w:t>4) In</w:t>
      </w:r>
      <w:r w:rsidRPr="00FC410C">
        <w:rPr>
          <w:rFonts w:ascii="Arial" w:hAnsi="Arial" w:cs="Arial"/>
          <w:lang w:val="en"/>
        </w:rPr>
        <w:t xml:space="preserve"> this paragraph—</w:t>
      </w:r>
    </w:p>
    <w:p w14:paraId="5750EEC1" w14:textId="77777777" w:rsidR="00FC410C" w:rsidRPr="00FC410C" w:rsidRDefault="00FC410C" w:rsidP="00FC410C">
      <w:pPr>
        <w:numPr>
          <w:ilvl w:val="0"/>
          <w:numId w:val="35"/>
        </w:numPr>
        <w:tabs>
          <w:tab w:val="num" w:pos="720"/>
        </w:tabs>
        <w:rPr>
          <w:rFonts w:ascii="Arial" w:hAnsi="Arial" w:cs="Arial"/>
          <w:lang w:val="en"/>
        </w:rPr>
      </w:pPr>
      <w:r w:rsidRPr="00FC410C">
        <w:rPr>
          <w:rFonts w:ascii="Arial" w:hAnsi="Arial" w:cs="Arial"/>
          <w:lang w:val="en"/>
        </w:rPr>
        <w:t>“</w:t>
      </w:r>
      <w:proofErr w:type="gramStart"/>
      <w:r w:rsidRPr="00FC410C">
        <w:rPr>
          <w:rFonts w:ascii="Arial" w:hAnsi="Arial" w:cs="Arial"/>
          <w:lang w:val="en"/>
        </w:rPr>
        <w:t>the</w:t>
      </w:r>
      <w:proofErr w:type="gramEnd"/>
      <w:r w:rsidRPr="00FC410C">
        <w:rPr>
          <w:rFonts w:ascii="Arial" w:hAnsi="Arial" w:cs="Arial"/>
          <w:lang w:val="en"/>
        </w:rPr>
        <w:t xml:space="preserve"> 2014 Act” means the Co-operative and Community Benefit Societies Act 2014;] </w:t>
      </w:r>
    </w:p>
    <w:p w14:paraId="56E43BCD" w14:textId="77777777" w:rsidR="00FC410C" w:rsidRPr="00FC410C" w:rsidRDefault="00FC410C" w:rsidP="00FC410C">
      <w:pPr>
        <w:numPr>
          <w:ilvl w:val="0"/>
          <w:numId w:val="35"/>
        </w:numPr>
        <w:tabs>
          <w:tab w:val="num" w:pos="720"/>
        </w:tabs>
        <w:rPr>
          <w:rFonts w:ascii="Arial" w:hAnsi="Arial" w:cs="Arial"/>
          <w:lang w:val="en"/>
        </w:rPr>
      </w:pPr>
      <w:r w:rsidRPr="00FC410C">
        <w:rPr>
          <w:rFonts w:ascii="Arial" w:hAnsi="Arial" w:cs="Arial"/>
          <w:lang w:val="en"/>
        </w:rPr>
        <w:t>“</w:t>
      </w:r>
      <w:proofErr w:type="gramStart"/>
      <w:r w:rsidRPr="00FC410C">
        <w:rPr>
          <w:rFonts w:ascii="Arial" w:hAnsi="Arial" w:cs="Arial"/>
          <w:lang w:val="en"/>
        </w:rPr>
        <w:t>assured</w:t>
      </w:r>
      <w:proofErr w:type="gramEnd"/>
      <w:r w:rsidRPr="00FC410C">
        <w:rPr>
          <w:rFonts w:ascii="Arial" w:hAnsi="Arial" w:cs="Arial"/>
          <w:lang w:val="en"/>
        </w:rPr>
        <w:t xml:space="preserve"> tenancy” has the same meaning as in Part 1 of the Housing Act 1988; </w:t>
      </w:r>
    </w:p>
    <w:p w14:paraId="0CD71193" w14:textId="77777777" w:rsidR="00FC410C" w:rsidRPr="00FC410C" w:rsidRDefault="00FC410C" w:rsidP="00FC410C">
      <w:pPr>
        <w:numPr>
          <w:ilvl w:val="0"/>
          <w:numId w:val="35"/>
        </w:numPr>
        <w:tabs>
          <w:tab w:val="num" w:pos="720"/>
        </w:tabs>
        <w:rPr>
          <w:rFonts w:ascii="Arial" w:hAnsi="Arial" w:cs="Arial"/>
          <w:lang w:val="en"/>
        </w:rPr>
      </w:pPr>
      <w:r w:rsidRPr="00FC410C">
        <w:rPr>
          <w:rFonts w:ascii="Arial" w:hAnsi="Arial" w:cs="Arial"/>
          <w:lang w:val="en"/>
        </w:rPr>
        <w:t>“</w:t>
      </w:r>
      <w:proofErr w:type="gramStart"/>
      <w:r w:rsidRPr="00FC410C">
        <w:rPr>
          <w:rFonts w:ascii="Arial" w:hAnsi="Arial" w:cs="Arial"/>
          <w:lang w:val="en"/>
        </w:rPr>
        <w:t>protected</w:t>
      </w:r>
      <w:proofErr w:type="gramEnd"/>
      <w:r w:rsidRPr="00FC410C">
        <w:rPr>
          <w:rFonts w:ascii="Arial" w:hAnsi="Arial" w:cs="Arial"/>
          <w:lang w:val="en"/>
        </w:rPr>
        <w:t xml:space="preserve"> tenancy” has the same meaning as in the Rent Act 1977; </w:t>
      </w:r>
    </w:p>
    <w:p w14:paraId="31C9EFAC" w14:textId="77777777" w:rsidR="00FC410C" w:rsidRPr="00FC410C" w:rsidRDefault="00FC410C" w:rsidP="00FC410C">
      <w:pPr>
        <w:numPr>
          <w:ilvl w:val="0"/>
          <w:numId w:val="35"/>
        </w:numPr>
        <w:tabs>
          <w:tab w:val="num" w:pos="720"/>
        </w:tabs>
        <w:rPr>
          <w:rFonts w:ascii="Arial" w:hAnsi="Arial" w:cs="Arial"/>
          <w:lang w:val="en"/>
        </w:rPr>
      </w:pPr>
      <w:r w:rsidRPr="00FC410C">
        <w:rPr>
          <w:rFonts w:ascii="Arial" w:hAnsi="Arial" w:cs="Arial"/>
          <w:lang w:val="en"/>
        </w:rPr>
        <w:t>“</w:t>
      </w:r>
      <w:proofErr w:type="gramStart"/>
      <w:r w:rsidRPr="00FC410C">
        <w:rPr>
          <w:rFonts w:ascii="Arial" w:hAnsi="Arial" w:cs="Arial"/>
          <w:lang w:val="en"/>
        </w:rPr>
        <w:t>secure</w:t>
      </w:r>
      <w:proofErr w:type="gramEnd"/>
      <w:r w:rsidRPr="00FC410C">
        <w:rPr>
          <w:rFonts w:ascii="Arial" w:hAnsi="Arial" w:cs="Arial"/>
          <w:lang w:val="en"/>
        </w:rPr>
        <w:t xml:space="preserve"> tenancy” has the same meaning as in Part 4 of the Housing Act 1985.] </w:t>
      </w:r>
    </w:p>
    <w:p w14:paraId="2AFC66F6" w14:textId="77777777" w:rsidR="00FF0F6A" w:rsidRDefault="00FF0F6A" w:rsidP="00FC410C">
      <w:pPr>
        <w:rPr>
          <w:rFonts w:ascii="Arial" w:hAnsi="Arial" w:cs="Arial"/>
          <w:lang w:val="en"/>
        </w:rPr>
      </w:pPr>
    </w:p>
    <w:p w14:paraId="3006BE2A" w14:textId="77777777" w:rsidR="00FC410C" w:rsidRPr="00FC410C" w:rsidRDefault="00FC410C" w:rsidP="00FC410C">
      <w:pPr>
        <w:rPr>
          <w:rFonts w:ascii="Arial" w:hAnsi="Arial" w:cs="Arial"/>
          <w:b/>
          <w:bCs/>
          <w:lang w:val="en"/>
        </w:rPr>
      </w:pPr>
      <w:r w:rsidRPr="00FC410C">
        <w:rPr>
          <w:rFonts w:ascii="Arial" w:hAnsi="Arial" w:cs="Arial"/>
          <w:b/>
          <w:bCs/>
          <w:lang w:val="en"/>
        </w:rPr>
        <w:t xml:space="preserve">Buildings regulated otherwise than under this </w:t>
      </w:r>
      <w:proofErr w:type="gramStart"/>
      <w:r w:rsidRPr="00FC410C">
        <w:rPr>
          <w:rFonts w:ascii="Arial" w:hAnsi="Arial" w:cs="Arial"/>
          <w:b/>
          <w:bCs/>
          <w:lang w:val="en"/>
        </w:rPr>
        <w:t>Act</w:t>
      </w:r>
      <w:proofErr w:type="gramEnd"/>
    </w:p>
    <w:p w14:paraId="0DBA2016" w14:textId="77777777" w:rsidR="00FF0F6A" w:rsidRDefault="00FF0F6A" w:rsidP="00FC410C">
      <w:pPr>
        <w:rPr>
          <w:rFonts w:ascii="Arial" w:hAnsi="Arial" w:cs="Arial"/>
          <w:lang w:val="en"/>
        </w:rPr>
      </w:pPr>
    </w:p>
    <w:p w14:paraId="386DA2C4" w14:textId="77777777" w:rsidR="00FC410C" w:rsidRDefault="00FC410C" w:rsidP="00FC410C">
      <w:pPr>
        <w:rPr>
          <w:rFonts w:ascii="Arial" w:hAnsi="Arial" w:cs="Arial"/>
          <w:lang w:val="en"/>
        </w:rPr>
      </w:pPr>
      <w:r w:rsidRPr="00FC410C">
        <w:rPr>
          <w:rFonts w:ascii="Arial" w:hAnsi="Arial" w:cs="Arial"/>
          <w:lang w:val="en"/>
        </w:rPr>
        <w:t>Any building whose occupation is regulated otherwise than by or under this Act and which is of a description specified for the purposes of this paragraph in regulations made by the appropriate national authority.</w:t>
      </w:r>
    </w:p>
    <w:p w14:paraId="610A0A93" w14:textId="77777777" w:rsidR="00FF0F6A" w:rsidRPr="00FC410C" w:rsidRDefault="00FF0F6A" w:rsidP="00FC410C">
      <w:pPr>
        <w:rPr>
          <w:rFonts w:ascii="Arial" w:hAnsi="Arial" w:cs="Arial"/>
          <w:lang w:val="en"/>
        </w:rPr>
      </w:pPr>
    </w:p>
    <w:p w14:paraId="59448D48" w14:textId="77777777" w:rsidR="00FC410C" w:rsidRPr="00FC410C" w:rsidRDefault="00FC410C" w:rsidP="00FC410C">
      <w:pPr>
        <w:rPr>
          <w:rFonts w:ascii="Arial" w:hAnsi="Arial" w:cs="Arial"/>
          <w:b/>
          <w:bCs/>
          <w:lang w:val="en"/>
        </w:rPr>
      </w:pPr>
      <w:r w:rsidRPr="00FC410C">
        <w:rPr>
          <w:rFonts w:ascii="Arial" w:hAnsi="Arial" w:cs="Arial"/>
          <w:b/>
          <w:bCs/>
          <w:lang w:val="en"/>
        </w:rPr>
        <w:t xml:space="preserve">Buildings occupied by </w:t>
      </w:r>
      <w:proofErr w:type="gramStart"/>
      <w:r w:rsidRPr="00FC410C">
        <w:rPr>
          <w:rFonts w:ascii="Arial" w:hAnsi="Arial" w:cs="Arial"/>
          <w:b/>
          <w:bCs/>
          <w:lang w:val="en"/>
        </w:rPr>
        <w:t>students</w:t>
      </w:r>
      <w:proofErr w:type="gramEnd"/>
    </w:p>
    <w:p w14:paraId="35ECE1DE" w14:textId="77777777" w:rsidR="00FF0F6A" w:rsidRDefault="00FF0F6A" w:rsidP="00FC410C">
      <w:pPr>
        <w:rPr>
          <w:rFonts w:ascii="Arial" w:hAnsi="Arial" w:cs="Arial"/>
          <w:lang w:val="en"/>
        </w:rPr>
      </w:pPr>
    </w:p>
    <w:p w14:paraId="5BA1CBE7" w14:textId="77777777" w:rsidR="00FC410C" w:rsidRDefault="00FC410C" w:rsidP="00FC410C">
      <w:pPr>
        <w:rPr>
          <w:rFonts w:ascii="Arial" w:hAnsi="Arial" w:cs="Arial"/>
          <w:lang w:val="en"/>
        </w:rPr>
      </w:pPr>
      <w:r w:rsidRPr="00FC410C">
        <w:rPr>
          <w:rFonts w:ascii="Arial" w:hAnsi="Arial" w:cs="Arial"/>
          <w:lang w:val="en"/>
        </w:rPr>
        <w:t>Any building—</w:t>
      </w:r>
    </w:p>
    <w:p w14:paraId="691836FB" w14:textId="77777777" w:rsidR="00FF0F6A" w:rsidRPr="00FC410C" w:rsidRDefault="00FF0F6A" w:rsidP="00FC410C">
      <w:pPr>
        <w:rPr>
          <w:rFonts w:ascii="Arial" w:hAnsi="Arial" w:cs="Arial"/>
          <w:lang w:val="en"/>
        </w:rPr>
      </w:pPr>
    </w:p>
    <w:p w14:paraId="610221C2" w14:textId="77777777" w:rsidR="00FC410C" w:rsidRDefault="00FC410C" w:rsidP="00FF0F6A">
      <w:pPr>
        <w:numPr>
          <w:ilvl w:val="0"/>
          <w:numId w:val="39"/>
        </w:numPr>
        <w:rPr>
          <w:rFonts w:ascii="Arial" w:hAnsi="Arial" w:cs="Arial"/>
          <w:lang w:val="en"/>
        </w:rPr>
      </w:pPr>
      <w:r w:rsidRPr="00FC410C">
        <w:rPr>
          <w:rFonts w:ascii="Arial" w:hAnsi="Arial" w:cs="Arial"/>
          <w:lang w:val="en"/>
        </w:rPr>
        <w:t>which is occupied solely or principally by persons who occupy it for the purpose of undertaking a full-time course of further or higher education at a specified educational establishment or at an educational establishment of a specified description, and</w:t>
      </w:r>
    </w:p>
    <w:p w14:paraId="29D602DE" w14:textId="77777777" w:rsidR="00FC410C" w:rsidRDefault="00FC410C" w:rsidP="00FC410C">
      <w:pPr>
        <w:numPr>
          <w:ilvl w:val="0"/>
          <w:numId w:val="39"/>
        </w:numPr>
        <w:rPr>
          <w:rFonts w:ascii="Arial" w:hAnsi="Arial" w:cs="Arial"/>
          <w:lang w:val="en"/>
        </w:rPr>
      </w:pPr>
      <w:r w:rsidRPr="00FF0F6A">
        <w:rPr>
          <w:rFonts w:ascii="Arial" w:hAnsi="Arial" w:cs="Arial"/>
          <w:lang w:val="en"/>
        </w:rPr>
        <w:t>where the person managing or having control of it is the educational establishment in question or a specified person or a person of a specified description.</w:t>
      </w:r>
    </w:p>
    <w:p w14:paraId="1238CE00" w14:textId="77777777" w:rsidR="00FF0F6A" w:rsidRPr="00FF0F6A" w:rsidRDefault="00FF0F6A" w:rsidP="00FF0F6A">
      <w:pPr>
        <w:ind w:left="1080"/>
        <w:rPr>
          <w:rFonts w:ascii="Arial" w:hAnsi="Arial" w:cs="Arial"/>
          <w:lang w:val="en"/>
        </w:rPr>
      </w:pPr>
    </w:p>
    <w:p w14:paraId="28439730" w14:textId="77777777" w:rsidR="00FC410C" w:rsidRDefault="00FF0F6A" w:rsidP="00FF0F6A">
      <w:pPr>
        <w:ind w:left="1440" w:hanging="720"/>
        <w:rPr>
          <w:rFonts w:ascii="Arial" w:hAnsi="Arial" w:cs="Arial"/>
          <w:lang w:val="en"/>
        </w:rPr>
      </w:pPr>
      <w:r>
        <w:rPr>
          <w:rFonts w:ascii="Arial" w:hAnsi="Arial" w:cs="Arial"/>
          <w:lang w:val="en"/>
        </w:rPr>
        <w:t xml:space="preserve">(2) </w:t>
      </w:r>
      <w:r>
        <w:rPr>
          <w:rFonts w:ascii="Arial" w:hAnsi="Arial" w:cs="Arial"/>
          <w:lang w:val="en"/>
        </w:rPr>
        <w:tab/>
        <w:t>In sub-paragraph (a</w:t>
      </w:r>
      <w:r w:rsidR="004658DE">
        <w:rPr>
          <w:rFonts w:ascii="Arial" w:hAnsi="Arial" w:cs="Arial"/>
          <w:lang w:val="en"/>
        </w:rPr>
        <w:t>) “</w:t>
      </w:r>
      <w:r w:rsidR="005450ED" w:rsidRPr="00FC410C">
        <w:rPr>
          <w:rFonts w:ascii="Arial" w:hAnsi="Arial" w:cs="Arial"/>
          <w:lang w:val="en"/>
        </w:rPr>
        <w:t>specified”</w:t>
      </w:r>
      <w:r w:rsidR="00FC410C" w:rsidRPr="00FC410C">
        <w:rPr>
          <w:rFonts w:ascii="Arial" w:hAnsi="Arial" w:cs="Arial"/>
          <w:lang w:val="en"/>
        </w:rPr>
        <w:t xml:space="preserve"> means specified for the purposes of this paragraph in regulations made by the appropriate national authority. </w:t>
      </w:r>
    </w:p>
    <w:p w14:paraId="440BE753" w14:textId="77777777" w:rsidR="00FF0F6A" w:rsidRPr="00FC410C" w:rsidRDefault="00FF0F6A" w:rsidP="00FF0F6A">
      <w:pPr>
        <w:ind w:left="1440" w:hanging="720"/>
        <w:rPr>
          <w:rFonts w:ascii="Arial" w:hAnsi="Arial" w:cs="Arial"/>
          <w:lang w:val="en"/>
        </w:rPr>
      </w:pPr>
    </w:p>
    <w:p w14:paraId="17B641A8" w14:textId="77777777" w:rsidR="00FC410C" w:rsidRPr="00FC410C" w:rsidRDefault="00FC410C" w:rsidP="00FF0F6A">
      <w:pPr>
        <w:ind w:left="1440" w:hanging="720"/>
        <w:rPr>
          <w:rFonts w:ascii="Arial" w:hAnsi="Arial" w:cs="Arial"/>
          <w:lang w:val="en"/>
        </w:rPr>
      </w:pPr>
      <w:r w:rsidRPr="00FC410C">
        <w:rPr>
          <w:rFonts w:ascii="Arial" w:hAnsi="Arial" w:cs="Arial"/>
          <w:lang w:val="en"/>
        </w:rPr>
        <w:t>(3)</w:t>
      </w:r>
      <w:r w:rsidR="00FF0F6A">
        <w:rPr>
          <w:rFonts w:ascii="Arial" w:hAnsi="Arial" w:cs="Arial"/>
          <w:lang w:val="en"/>
        </w:rPr>
        <w:tab/>
      </w:r>
      <w:r w:rsidRPr="00FC410C">
        <w:rPr>
          <w:rFonts w:ascii="Arial" w:hAnsi="Arial" w:cs="Arial"/>
          <w:lang w:val="en"/>
        </w:rPr>
        <w:t>Sub-paragraph (4) applies in connection with any decision by the appropriate national authority as to whether to make, or revoke, any regulations specifying—</w:t>
      </w:r>
    </w:p>
    <w:p w14:paraId="46019017" w14:textId="77777777" w:rsidR="00FC410C" w:rsidRPr="00FC410C" w:rsidRDefault="004658DE" w:rsidP="004658DE">
      <w:pPr>
        <w:ind w:left="720" w:firstLine="720"/>
        <w:rPr>
          <w:rFonts w:ascii="Arial" w:hAnsi="Arial" w:cs="Arial"/>
          <w:lang w:val="en"/>
        </w:rPr>
      </w:pPr>
      <w:r>
        <w:rPr>
          <w:rFonts w:ascii="Arial" w:hAnsi="Arial" w:cs="Arial"/>
          <w:lang w:val="en"/>
        </w:rPr>
        <w:t>(a) A</w:t>
      </w:r>
      <w:r w:rsidR="00FC410C" w:rsidRPr="00FC410C">
        <w:rPr>
          <w:rFonts w:ascii="Arial" w:hAnsi="Arial" w:cs="Arial"/>
          <w:lang w:val="en"/>
        </w:rPr>
        <w:t xml:space="preserve"> particular educational establishment, or</w:t>
      </w:r>
    </w:p>
    <w:p w14:paraId="450195D3" w14:textId="77777777" w:rsidR="00FC410C" w:rsidRDefault="004658DE" w:rsidP="004658DE">
      <w:pPr>
        <w:ind w:left="720" w:firstLine="720"/>
        <w:rPr>
          <w:rFonts w:ascii="Arial" w:hAnsi="Arial" w:cs="Arial"/>
          <w:lang w:val="en"/>
        </w:rPr>
      </w:pPr>
      <w:r>
        <w:rPr>
          <w:rFonts w:ascii="Arial" w:hAnsi="Arial" w:cs="Arial"/>
          <w:lang w:val="en"/>
        </w:rPr>
        <w:t>(b) A</w:t>
      </w:r>
      <w:r w:rsidR="00FC410C" w:rsidRPr="00FC410C">
        <w:rPr>
          <w:rFonts w:ascii="Arial" w:hAnsi="Arial" w:cs="Arial"/>
          <w:lang w:val="en"/>
        </w:rPr>
        <w:t xml:space="preserve"> particular description of educational establishments.</w:t>
      </w:r>
    </w:p>
    <w:p w14:paraId="68DDA6D4" w14:textId="77777777" w:rsidR="004658DE" w:rsidRDefault="004658DE" w:rsidP="004658DE">
      <w:pPr>
        <w:rPr>
          <w:rFonts w:ascii="Arial" w:hAnsi="Arial" w:cs="Arial"/>
          <w:lang w:val="en"/>
        </w:rPr>
      </w:pPr>
    </w:p>
    <w:p w14:paraId="1A55F16E" w14:textId="77777777" w:rsidR="00FC410C" w:rsidRDefault="004658DE" w:rsidP="004658DE">
      <w:pPr>
        <w:ind w:left="1440" w:hanging="720"/>
        <w:rPr>
          <w:rFonts w:ascii="Arial" w:hAnsi="Arial" w:cs="Arial"/>
          <w:lang w:val="en"/>
        </w:rPr>
      </w:pPr>
      <w:r>
        <w:rPr>
          <w:rFonts w:ascii="Arial" w:hAnsi="Arial" w:cs="Arial"/>
          <w:lang w:val="en"/>
        </w:rPr>
        <w:lastRenderedPageBreak/>
        <w:t>(4)</w:t>
      </w:r>
      <w:r>
        <w:rPr>
          <w:rFonts w:ascii="Arial" w:hAnsi="Arial" w:cs="Arial"/>
          <w:lang w:val="en"/>
        </w:rPr>
        <w:tab/>
      </w:r>
      <w:r w:rsidR="00FC410C" w:rsidRPr="00FC410C">
        <w:rPr>
          <w:rFonts w:ascii="Arial" w:hAnsi="Arial" w:cs="Arial"/>
          <w:lang w:val="en"/>
        </w:rPr>
        <w:t>The appropriate national authority may have regard to the extent to which, in its opinion—</w:t>
      </w:r>
    </w:p>
    <w:p w14:paraId="6E1BB757" w14:textId="77777777" w:rsidR="004658DE" w:rsidRPr="00FC410C" w:rsidRDefault="004658DE" w:rsidP="004658DE">
      <w:pPr>
        <w:ind w:left="1440" w:hanging="720"/>
        <w:rPr>
          <w:rFonts w:ascii="Arial" w:hAnsi="Arial" w:cs="Arial"/>
          <w:lang w:val="en"/>
        </w:rPr>
      </w:pPr>
    </w:p>
    <w:p w14:paraId="38556F28" w14:textId="77777777" w:rsidR="00FC410C" w:rsidRDefault="00FC410C" w:rsidP="004658DE">
      <w:pPr>
        <w:numPr>
          <w:ilvl w:val="0"/>
          <w:numId w:val="40"/>
        </w:numPr>
        <w:rPr>
          <w:rFonts w:ascii="Arial" w:hAnsi="Arial" w:cs="Arial"/>
          <w:lang w:val="en"/>
        </w:rPr>
      </w:pPr>
      <w:r w:rsidRPr="00FC410C">
        <w:rPr>
          <w:rFonts w:ascii="Arial" w:hAnsi="Arial" w:cs="Arial"/>
          <w:lang w:val="en"/>
        </w:rPr>
        <w:t>the management by or on behalf of the establishment in question of any building or buildings occupied for connected educational purposes is in conformity with any code of practice for the time being approved under section 233 which appears to the authority to be relevant, or</w:t>
      </w:r>
    </w:p>
    <w:p w14:paraId="40961065" w14:textId="77777777" w:rsidR="00FC410C" w:rsidRDefault="00FC410C" w:rsidP="00FC410C">
      <w:pPr>
        <w:numPr>
          <w:ilvl w:val="0"/>
          <w:numId w:val="40"/>
        </w:numPr>
        <w:rPr>
          <w:rFonts w:ascii="Arial" w:hAnsi="Arial" w:cs="Arial"/>
          <w:lang w:val="en"/>
        </w:rPr>
      </w:pPr>
      <w:r w:rsidRPr="004658DE">
        <w:rPr>
          <w:rFonts w:ascii="Arial" w:hAnsi="Arial" w:cs="Arial"/>
          <w:lang w:val="en"/>
        </w:rPr>
        <w:t xml:space="preserve">the management of such buildings by or on behalf of establishments of the description in question is in general in conformity with any such code of </w:t>
      </w:r>
      <w:proofErr w:type="gramStart"/>
      <w:r w:rsidRPr="004658DE">
        <w:rPr>
          <w:rFonts w:ascii="Arial" w:hAnsi="Arial" w:cs="Arial"/>
          <w:lang w:val="en"/>
        </w:rPr>
        <w:t>practice,</w:t>
      </w:r>
      <w:r w:rsidR="004658DE">
        <w:rPr>
          <w:rFonts w:ascii="Arial" w:hAnsi="Arial" w:cs="Arial"/>
          <w:lang w:val="en"/>
        </w:rPr>
        <w:t xml:space="preserve"> </w:t>
      </w:r>
      <w:r w:rsidRPr="004658DE">
        <w:rPr>
          <w:rFonts w:ascii="Arial" w:hAnsi="Arial" w:cs="Arial"/>
          <w:lang w:val="en"/>
        </w:rPr>
        <w:t>as the case may be</w:t>
      </w:r>
      <w:proofErr w:type="gramEnd"/>
      <w:r w:rsidRPr="004658DE">
        <w:rPr>
          <w:rFonts w:ascii="Arial" w:hAnsi="Arial" w:cs="Arial"/>
          <w:lang w:val="en"/>
        </w:rPr>
        <w:t xml:space="preserve">. </w:t>
      </w:r>
    </w:p>
    <w:p w14:paraId="57FFDBBD" w14:textId="77777777" w:rsidR="004658DE" w:rsidRPr="004658DE" w:rsidRDefault="004658DE" w:rsidP="004658DE">
      <w:pPr>
        <w:ind w:left="1080"/>
        <w:rPr>
          <w:rFonts w:ascii="Arial" w:hAnsi="Arial" w:cs="Arial"/>
          <w:lang w:val="en"/>
        </w:rPr>
      </w:pPr>
    </w:p>
    <w:p w14:paraId="0D9DD4D4" w14:textId="77777777" w:rsidR="00FC410C" w:rsidRDefault="00FC410C" w:rsidP="004658DE">
      <w:pPr>
        <w:ind w:left="1080" w:hanging="360"/>
        <w:rPr>
          <w:rFonts w:ascii="Arial" w:hAnsi="Arial" w:cs="Arial"/>
          <w:lang w:val="en"/>
        </w:rPr>
      </w:pPr>
      <w:r w:rsidRPr="00FC410C">
        <w:rPr>
          <w:rFonts w:ascii="Arial" w:hAnsi="Arial" w:cs="Arial"/>
          <w:lang w:val="en"/>
        </w:rPr>
        <w:t>(5)</w:t>
      </w:r>
      <w:r w:rsidR="004658DE">
        <w:rPr>
          <w:rFonts w:ascii="Arial" w:hAnsi="Arial" w:cs="Arial"/>
          <w:lang w:val="en"/>
        </w:rPr>
        <w:tab/>
      </w:r>
      <w:r w:rsidRPr="00FC410C">
        <w:rPr>
          <w:rFonts w:ascii="Arial" w:hAnsi="Arial" w:cs="Arial"/>
          <w:lang w:val="en"/>
        </w:rPr>
        <w:t xml:space="preserve"> In sub-paragraph (4) </w:t>
      </w:r>
      <w:proofErr w:type="gramStart"/>
      <w:r w:rsidRPr="00FC410C">
        <w:rPr>
          <w:rFonts w:ascii="Arial" w:hAnsi="Arial" w:cs="Arial"/>
          <w:lang w:val="en"/>
        </w:rPr>
        <w:t>“ occupied</w:t>
      </w:r>
      <w:proofErr w:type="gramEnd"/>
      <w:r w:rsidRPr="00FC410C">
        <w:rPr>
          <w:rFonts w:ascii="Arial" w:hAnsi="Arial" w:cs="Arial"/>
          <w:lang w:val="en"/>
        </w:rPr>
        <w:t xml:space="preserve"> for connected educational purposes ”, in relation to a building managed by or on behalf of an educational establishment, means occupied solely or principally by persons who occupy it for the purpose of undertaking a full-time course of further or higher education at the establishment. </w:t>
      </w:r>
    </w:p>
    <w:p w14:paraId="7AFA8375" w14:textId="77777777" w:rsidR="004658DE" w:rsidRPr="00FC410C" w:rsidRDefault="004658DE" w:rsidP="004658DE">
      <w:pPr>
        <w:ind w:left="1080" w:hanging="360"/>
        <w:rPr>
          <w:rFonts w:ascii="Arial" w:hAnsi="Arial" w:cs="Arial"/>
          <w:lang w:val="en"/>
        </w:rPr>
      </w:pPr>
    </w:p>
    <w:p w14:paraId="7792136A" w14:textId="77777777" w:rsidR="00FC410C" w:rsidRPr="00FC410C" w:rsidRDefault="00FC410C" w:rsidP="00FC410C">
      <w:pPr>
        <w:rPr>
          <w:rFonts w:ascii="Arial" w:hAnsi="Arial" w:cs="Arial"/>
          <w:b/>
          <w:bCs/>
          <w:lang w:val="en"/>
        </w:rPr>
      </w:pPr>
      <w:r w:rsidRPr="00FC410C">
        <w:rPr>
          <w:rFonts w:ascii="Arial" w:hAnsi="Arial" w:cs="Arial"/>
          <w:b/>
          <w:bCs/>
          <w:lang w:val="en"/>
        </w:rPr>
        <w:t xml:space="preserve">Buildings occupied by </w:t>
      </w:r>
      <w:proofErr w:type="gramStart"/>
      <w:r w:rsidRPr="00FC410C">
        <w:rPr>
          <w:rFonts w:ascii="Arial" w:hAnsi="Arial" w:cs="Arial"/>
          <w:b/>
          <w:bCs/>
          <w:lang w:val="en"/>
        </w:rPr>
        <w:t>owners</w:t>
      </w:r>
      <w:proofErr w:type="gramEnd"/>
    </w:p>
    <w:p w14:paraId="39FFC9B6" w14:textId="77777777" w:rsidR="004658DE" w:rsidRDefault="004658DE" w:rsidP="00FC410C">
      <w:pPr>
        <w:rPr>
          <w:rFonts w:ascii="Arial" w:hAnsi="Arial" w:cs="Arial"/>
          <w:lang w:val="en"/>
        </w:rPr>
      </w:pPr>
    </w:p>
    <w:p w14:paraId="24EA1CDE" w14:textId="77777777" w:rsidR="00FC410C" w:rsidRDefault="00FC410C" w:rsidP="00FC410C">
      <w:pPr>
        <w:rPr>
          <w:rFonts w:ascii="Arial" w:hAnsi="Arial" w:cs="Arial"/>
          <w:lang w:val="en"/>
        </w:rPr>
      </w:pPr>
      <w:r w:rsidRPr="00FC410C">
        <w:rPr>
          <w:rFonts w:ascii="Arial" w:hAnsi="Arial" w:cs="Arial"/>
          <w:lang w:val="en"/>
        </w:rPr>
        <w:t>Any building which is occupied only by persons within the following paragraphs—</w:t>
      </w:r>
    </w:p>
    <w:p w14:paraId="44622AA5" w14:textId="77777777" w:rsidR="004658DE" w:rsidRPr="00FC410C" w:rsidRDefault="004658DE" w:rsidP="00FC410C">
      <w:pPr>
        <w:rPr>
          <w:rFonts w:ascii="Arial" w:hAnsi="Arial" w:cs="Arial"/>
          <w:lang w:val="en"/>
        </w:rPr>
      </w:pPr>
    </w:p>
    <w:p w14:paraId="050AC60D" w14:textId="77777777" w:rsidR="00FC410C" w:rsidRDefault="00FC410C" w:rsidP="004658DE">
      <w:pPr>
        <w:numPr>
          <w:ilvl w:val="0"/>
          <w:numId w:val="41"/>
        </w:numPr>
        <w:rPr>
          <w:rFonts w:ascii="Arial" w:hAnsi="Arial" w:cs="Arial"/>
          <w:lang w:val="en"/>
        </w:rPr>
      </w:pPr>
      <w:r w:rsidRPr="00FC410C">
        <w:rPr>
          <w:rFonts w:ascii="Arial" w:hAnsi="Arial" w:cs="Arial"/>
          <w:lang w:val="en"/>
        </w:rPr>
        <w:t xml:space="preserve">one or more persons who have, whether in the whole or any part of it, either the freehold estate or a leasehold interest granted for a term of more than 21 </w:t>
      </w:r>
      <w:proofErr w:type="gramStart"/>
      <w:r w:rsidRPr="00FC410C">
        <w:rPr>
          <w:rFonts w:ascii="Arial" w:hAnsi="Arial" w:cs="Arial"/>
          <w:lang w:val="en"/>
        </w:rPr>
        <w:t>years;</w:t>
      </w:r>
      <w:proofErr w:type="gramEnd"/>
    </w:p>
    <w:p w14:paraId="095C867D" w14:textId="77777777" w:rsidR="00FC410C" w:rsidRDefault="00FC410C" w:rsidP="00FC410C">
      <w:pPr>
        <w:numPr>
          <w:ilvl w:val="0"/>
          <w:numId w:val="41"/>
        </w:numPr>
        <w:rPr>
          <w:rFonts w:ascii="Arial" w:hAnsi="Arial" w:cs="Arial"/>
          <w:lang w:val="en"/>
        </w:rPr>
      </w:pPr>
      <w:r w:rsidRPr="004658DE">
        <w:rPr>
          <w:rFonts w:ascii="Arial" w:hAnsi="Arial" w:cs="Arial"/>
          <w:lang w:val="en"/>
        </w:rPr>
        <w:t xml:space="preserve">any member of the household of such a person or </w:t>
      </w:r>
      <w:proofErr w:type="gramStart"/>
      <w:r w:rsidRPr="004658DE">
        <w:rPr>
          <w:rFonts w:ascii="Arial" w:hAnsi="Arial" w:cs="Arial"/>
          <w:lang w:val="en"/>
        </w:rPr>
        <w:t>persons;</w:t>
      </w:r>
      <w:proofErr w:type="gramEnd"/>
    </w:p>
    <w:p w14:paraId="3DA031DE" w14:textId="77777777" w:rsidR="00FC410C" w:rsidRDefault="004658DE" w:rsidP="00FC410C">
      <w:pPr>
        <w:numPr>
          <w:ilvl w:val="0"/>
          <w:numId w:val="41"/>
        </w:numPr>
        <w:rPr>
          <w:rFonts w:ascii="Arial" w:hAnsi="Arial" w:cs="Arial"/>
          <w:lang w:val="en"/>
        </w:rPr>
      </w:pPr>
      <w:r>
        <w:rPr>
          <w:rFonts w:ascii="Arial" w:hAnsi="Arial" w:cs="Arial"/>
          <w:lang w:val="en"/>
        </w:rPr>
        <w:t>N</w:t>
      </w:r>
      <w:r w:rsidR="00FC410C" w:rsidRPr="004658DE">
        <w:rPr>
          <w:rFonts w:ascii="Arial" w:hAnsi="Arial" w:cs="Arial"/>
          <w:lang w:val="en"/>
        </w:rPr>
        <w:t>o more than such number of other persons as is specified for the purposes of this paragraph in regulations made by the appropriate national authority.</w:t>
      </w:r>
      <w:r>
        <w:rPr>
          <w:rStyle w:val="FootnoteReference"/>
          <w:rFonts w:ascii="Arial" w:hAnsi="Arial" w:cs="Arial"/>
          <w:lang w:val="en"/>
        </w:rPr>
        <w:footnoteReference w:id="8"/>
      </w:r>
    </w:p>
    <w:p w14:paraId="45A5DDED" w14:textId="77777777" w:rsidR="00FC410C" w:rsidRPr="004658DE" w:rsidRDefault="00FC410C" w:rsidP="00FC410C">
      <w:pPr>
        <w:numPr>
          <w:ilvl w:val="0"/>
          <w:numId w:val="41"/>
        </w:numPr>
        <w:rPr>
          <w:rFonts w:ascii="Arial" w:hAnsi="Arial" w:cs="Arial"/>
          <w:lang w:val="en"/>
        </w:rPr>
      </w:pPr>
      <w:r w:rsidRPr="004658DE">
        <w:rPr>
          <w:rFonts w:ascii="Arial" w:hAnsi="Arial" w:cs="Arial"/>
          <w:lang w:val="en"/>
        </w:rPr>
        <w:t>This paragraph does not apply in the case of a converted block of flats to which section 257 applies, except for the purpose of determining the status of any flat in the block.</w:t>
      </w:r>
    </w:p>
    <w:p w14:paraId="073FA37E" w14:textId="77777777" w:rsidR="0013399C" w:rsidRDefault="0013399C" w:rsidP="00FC410C">
      <w:pPr>
        <w:rPr>
          <w:rFonts w:ascii="Arial" w:hAnsi="Arial" w:cs="Arial"/>
          <w:lang w:val="en"/>
        </w:rPr>
      </w:pPr>
    </w:p>
    <w:p w14:paraId="2F6FDCCF" w14:textId="77777777" w:rsidR="00FC410C" w:rsidRDefault="00FC410C" w:rsidP="00FC410C">
      <w:pPr>
        <w:rPr>
          <w:rFonts w:ascii="Arial" w:hAnsi="Arial" w:cs="Arial"/>
          <w:b/>
          <w:bCs/>
          <w:lang w:val="en"/>
        </w:rPr>
      </w:pPr>
      <w:r w:rsidRPr="00FC410C">
        <w:rPr>
          <w:rFonts w:ascii="Arial" w:hAnsi="Arial" w:cs="Arial"/>
          <w:b/>
          <w:bCs/>
          <w:lang w:val="en"/>
        </w:rPr>
        <w:t xml:space="preserve">Buildings occupied by two </w:t>
      </w:r>
      <w:proofErr w:type="gramStart"/>
      <w:r w:rsidRPr="00FC410C">
        <w:rPr>
          <w:rFonts w:ascii="Arial" w:hAnsi="Arial" w:cs="Arial"/>
          <w:b/>
          <w:bCs/>
          <w:lang w:val="en"/>
        </w:rPr>
        <w:t>persons</w:t>
      </w:r>
      <w:proofErr w:type="gramEnd"/>
    </w:p>
    <w:p w14:paraId="7176C857" w14:textId="77777777" w:rsidR="004658DE" w:rsidRPr="00FC410C" w:rsidRDefault="004658DE" w:rsidP="00FC410C">
      <w:pPr>
        <w:rPr>
          <w:rFonts w:ascii="Arial" w:hAnsi="Arial" w:cs="Arial"/>
          <w:b/>
          <w:bCs/>
          <w:lang w:val="en"/>
        </w:rPr>
      </w:pPr>
    </w:p>
    <w:p w14:paraId="74F094F5" w14:textId="77777777" w:rsidR="00FC410C" w:rsidRPr="00FC410C" w:rsidRDefault="00FC410C" w:rsidP="00FC410C">
      <w:pPr>
        <w:rPr>
          <w:rFonts w:ascii="Arial" w:hAnsi="Arial" w:cs="Arial"/>
          <w:lang w:val="en"/>
        </w:rPr>
      </w:pPr>
      <w:r w:rsidRPr="00FC410C">
        <w:rPr>
          <w:rFonts w:ascii="Arial" w:hAnsi="Arial" w:cs="Arial"/>
          <w:lang w:val="en"/>
        </w:rPr>
        <w:t>Any building which is occupied only by two persons who form two households.</w:t>
      </w:r>
    </w:p>
    <w:p w14:paraId="4C8F75D0" w14:textId="77777777" w:rsidR="00FC410C" w:rsidRPr="00FC410C" w:rsidRDefault="00FC410C" w:rsidP="00E20823">
      <w:pPr>
        <w:rPr>
          <w:rFonts w:ascii="Arial" w:hAnsi="Arial" w:cs="Arial"/>
        </w:rPr>
      </w:pPr>
    </w:p>
    <w:p w14:paraId="36A77B50" w14:textId="77777777" w:rsidR="003510E1" w:rsidRDefault="003510E1" w:rsidP="00E20823">
      <w:pPr>
        <w:rPr>
          <w:rFonts w:ascii="Arial" w:hAnsi="Arial" w:cs="Arial"/>
        </w:rPr>
      </w:pPr>
    </w:p>
    <w:p w14:paraId="5232823B" w14:textId="77777777" w:rsidR="003510E1" w:rsidRPr="00CC5761" w:rsidRDefault="003510E1" w:rsidP="00E20823">
      <w:pPr>
        <w:rPr>
          <w:rFonts w:ascii="Arial" w:hAnsi="Arial" w:cs="Arial"/>
        </w:rPr>
      </w:pPr>
    </w:p>
    <w:sectPr w:rsidR="003510E1" w:rsidRPr="00CC5761" w:rsidSect="0079329D">
      <w:headerReference w:type="default" r:id="rId13"/>
      <w:footerReference w:type="even" r:id="rId14"/>
      <w:footerReference w:type="default" r:id="rId15"/>
      <w:headerReference w:type="first" r:id="rId16"/>
      <w:footerReference w:type="first" r:id="rId17"/>
      <w:pgSz w:w="11906" w:h="16838" w:code="9"/>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D34D" w14:textId="77777777" w:rsidR="00CE1F12" w:rsidRDefault="00CE1F12">
      <w:r>
        <w:separator/>
      </w:r>
      <w:r>
        <w:cr/>
      </w:r>
    </w:p>
  </w:endnote>
  <w:endnote w:type="continuationSeparator" w:id="0">
    <w:p w14:paraId="1CE97D2B" w14:textId="77777777" w:rsidR="00CE1F12" w:rsidRDefault="00CE1F12">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tima">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4CDD" w14:textId="77777777" w:rsidR="00EB3593" w:rsidRDefault="00366BDF">
    <w:pPr>
      <w:pStyle w:val="Footer"/>
    </w:pP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D44F" w14:textId="19570F11" w:rsidR="005C1AC1" w:rsidRDefault="0082276F" w:rsidP="005C1AC1">
    <w:pPr>
      <w:pStyle w:val="Footer"/>
      <w:tabs>
        <w:tab w:val="clear" w:pos="8306"/>
        <w:tab w:val="right" w:pos="10065"/>
      </w:tabs>
      <w:ind w:right="-113"/>
    </w:pPr>
    <w:r>
      <w:rPr>
        <w:noProof/>
      </w:rPr>
      <mc:AlternateContent>
        <mc:Choice Requires="wps">
          <w:drawing>
            <wp:anchor distT="0" distB="0" distL="114300" distR="114300" simplePos="0" relativeHeight="251658752" behindDoc="0" locked="0" layoutInCell="1" allowOverlap="1" wp14:anchorId="17E79FD1" wp14:editId="53951518">
              <wp:simplePos x="0" y="0"/>
              <wp:positionH relativeFrom="column">
                <wp:posOffset>421640</wp:posOffset>
              </wp:positionH>
              <wp:positionV relativeFrom="paragraph">
                <wp:posOffset>105410</wp:posOffset>
              </wp:positionV>
              <wp:extent cx="59436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778B0"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8.3pt" to="50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" strokecolor="#0e8735" strokeweight=".5pt"/>
          </w:pict>
        </mc:Fallback>
      </mc:AlternateContent>
    </w:r>
    <w:r w:rsidR="00366BDF">
      <w:cr/>
    </w:r>
    <w:r w:rsidR="00EB3593">
      <w:rPr>
        <w:rFonts w:ascii="Arial" w:hAnsi="Arial" w:cs="Arial"/>
      </w:rPr>
      <w:tab/>
    </w:r>
    <w:r w:rsidR="00EB3593">
      <w:rPr>
        <w:rFonts w:ascii="Arial" w:hAnsi="Arial" w:cs="Arial"/>
      </w:rPr>
      <w:tab/>
    </w:r>
    <w:r>
      <w:rPr>
        <w:rFonts w:ascii="Arial" w:hAnsi="Arial" w:cs="Arial"/>
        <w:noProof/>
      </w:rPr>
      <w:drawing>
        <wp:inline distT="0" distB="0" distL="0" distR="0" wp14:anchorId="079836E6" wp14:editId="4713BE8D">
          <wp:extent cx="857885" cy="569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569595"/>
                  </a:xfrm>
                  <a:prstGeom prst="rect">
                    <a:avLst/>
                  </a:prstGeom>
                  <a:noFill/>
                  <a:ln>
                    <a:noFill/>
                  </a:ln>
                </pic:spPr>
              </pic:pic>
            </a:graphicData>
          </a:graphic>
        </wp:inline>
      </w:drawing>
    </w:r>
  </w:p>
  <w:p w14:paraId="7BACAC11" w14:textId="77777777" w:rsidR="005C1AC1" w:rsidRDefault="005C1AC1" w:rsidP="005C1AC1">
    <w:pPr>
      <w:pStyle w:val="Footer"/>
      <w:tabs>
        <w:tab w:val="clear" w:pos="8306"/>
        <w:tab w:val="right" w:pos="9360"/>
      </w:tabs>
      <w:ind w:right="-113"/>
      <w:rPr>
        <w:rFonts w:ascii="Arial" w:hAnsi="Arial" w:cs="Arial"/>
        <w:b/>
        <w:bCs/>
        <w:color w:val="0E8735"/>
      </w:rPr>
    </w:pPr>
    <w:r>
      <w:rPr>
        <w:rFonts w:ascii="Arial" w:hAnsi="Arial" w:cs="Arial"/>
        <w:b/>
        <w:bCs/>
        <w:color w:val="0E8735"/>
      </w:rPr>
      <w:t>walthamforest.gov.uk</w:t>
    </w:r>
  </w:p>
  <w:p w14:paraId="2A52126C" w14:textId="77777777" w:rsidR="005C1AC1" w:rsidRDefault="00366BDF">
    <w:r>
      <w:cr/>
    </w:r>
    <w:r w:rsidR="005C1AC1">
      <w:tab/>
    </w:r>
    <w:r w:rsidR="005C1AC1">
      <w:tab/>
    </w:r>
    <w:r w:rsidR="005C1AC1">
      <w:tab/>
    </w:r>
    <w:r w:rsidR="005C1AC1">
      <w:tab/>
    </w:r>
    <w:r w:rsidR="005C1AC1">
      <w:tab/>
    </w:r>
    <w:r w:rsidR="005C1AC1">
      <w:tab/>
    </w:r>
    <w:r w:rsidR="005C1AC1">
      <w:tab/>
    </w:r>
    <w:r w:rsidR="005C1AC1">
      <w:tab/>
    </w:r>
    <w:r w:rsidR="005C1AC1">
      <w:tab/>
    </w:r>
    <w:r w:rsidR="005C1AC1">
      <w:tab/>
    </w:r>
    <w:r w:rsidR="005C1AC1">
      <w:tab/>
    </w:r>
    <w:r w:rsidR="005C1AC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389C" w14:textId="716FCB0F" w:rsidR="00EB3593" w:rsidRDefault="0082276F" w:rsidP="00EB3593">
    <w:pPr>
      <w:jc w:val="right"/>
    </w:pPr>
    <w:r>
      <w:rPr>
        <w:noProof/>
      </w:rPr>
      <mc:AlternateContent>
        <mc:Choice Requires="wps">
          <w:drawing>
            <wp:anchor distT="0" distB="0" distL="114300" distR="114300" simplePos="0" relativeHeight="251657728" behindDoc="0" locked="0" layoutInCell="1" allowOverlap="1" wp14:anchorId="2BEAC8B4" wp14:editId="40B16B57">
              <wp:simplePos x="0" y="0"/>
              <wp:positionH relativeFrom="column">
                <wp:posOffset>269240</wp:posOffset>
              </wp:positionH>
              <wp:positionV relativeFrom="paragraph">
                <wp:posOffset>41910</wp:posOffset>
              </wp:positionV>
              <wp:extent cx="59436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F4D17"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3.3pt" to="489.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" strokecolor="#0e8735" strokeweight=".5pt"/>
          </w:pict>
        </mc:Fallback>
      </mc:AlternateContent>
    </w:r>
    <w:r>
      <w:rPr>
        <w:noProof/>
      </w:rPr>
      <mc:AlternateContent>
        <mc:Choice Requires="wps">
          <w:drawing>
            <wp:anchor distT="0" distB="0" distL="114300" distR="114300" simplePos="0" relativeHeight="251656704" behindDoc="0" locked="0" layoutInCell="1" allowOverlap="1" wp14:anchorId="69226892" wp14:editId="61565777">
              <wp:simplePos x="0" y="0"/>
              <wp:positionH relativeFrom="column">
                <wp:posOffset>-177165</wp:posOffset>
              </wp:positionH>
              <wp:positionV relativeFrom="paragraph">
                <wp:posOffset>41910</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531A"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3.3pt" to="454.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" strokecolor="#0e8735" strokeweight=".5pt"/>
          </w:pict>
        </mc:Fallback>
      </mc:AlternateContent>
    </w:r>
    <w:r w:rsidR="00366BDF">
      <w:cr/>
    </w:r>
    <w:r w:rsidR="00EB3593">
      <w:rPr>
        <w:rFonts w:ascii="Arial" w:hAnsi="Arial" w:cs="Arial"/>
      </w:rPr>
      <w:tab/>
    </w:r>
    <w:r w:rsidR="00EB3593">
      <w:rPr>
        <w:rFonts w:ascii="Arial" w:hAnsi="Arial" w:cs="Arial"/>
      </w:rPr>
      <w:tab/>
    </w:r>
    <w:r w:rsidR="00EB3593">
      <w:rPr>
        <w:rFonts w:ascii="Arial" w:hAnsi="Arial" w:cs="Arial"/>
      </w:rPr>
      <w:tab/>
    </w:r>
    <w:r w:rsidR="00EB3593">
      <w:rPr>
        <w:rFonts w:ascii="Arial" w:hAnsi="Arial" w:cs="Arial"/>
      </w:rPr>
      <w:tab/>
    </w:r>
    <w:r w:rsidR="00EB3593">
      <w:rPr>
        <w:rFonts w:ascii="Arial" w:hAnsi="Arial" w:cs="Arial"/>
      </w:rPr>
      <w:tab/>
    </w:r>
    <w:r w:rsidR="00EB3593">
      <w:rPr>
        <w:rFonts w:ascii="Arial" w:hAnsi="Arial" w:cs="Arial"/>
      </w:rPr>
      <w:tab/>
    </w:r>
    <w:r w:rsidR="00EB3593">
      <w:rPr>
        <w:rFonts w:ascii="Arial" w:hAnsi="Arial" w:cs="Arial"/>
      </w:rPr>
      <w:tab/>
    </w:r>
    <w:r w:rsidR="00EB3593">
      <w:rPr>
        <w:rFonts w:ascii="Arial" w:hAnsi="Arial" w:cs="Arial"/>
      </w:rPr>
      <w:tab/>
    </w:r>
    <w:r w:rsidR="00EB3593">
      <w:rPr>
        <w:rFonts w:ascii="Arial" w:hAnsi="Arial" w:cs="Arial"/>
      </w:rPr>
      <w:tab/>
    </w:r>
  </w:p>
  <w:tbl>
    <w:tblPr>
      <w:tblW w:w="0" w:type="auto"/>
      <w:tblInd w:w="-252" w:type="dxa"/>
      <w:tblLook w:val="0000" w:firstRow="0" w:lastRow="0" w:firstColumn="0" w:lastColumn="0" w:noHBand="0" w:noVBand="0"/>
    </w:tblPr>
    <w:tblGrid>
      <w:gridCol w:w="4646"/>
    </w:tblGrid>
    <w:tr w:rsidR="00EB3593" w14:paraId="3E92EB5D" w14:textId="77777777" w:rsidTr="00EB3593">
      <w:tc>
        <w:tcPr>
          <w:tcW w:w="4646" w:type="dxa"/>
        </w:tcPr>
        <w:p w14:paraId="088DAF83" w14:textId="77777777" w:rsidR="00EB3593" w:rsidRDefault="00EB3593" w:rsidP="00EB3593">
          <w:pPr>
            <w:pStyle w:val="Footer"/>
            <w:tabs>
              <w:tab w:val="clear" w:pos="8306"/>
              <w:tab w:val="right" w:pos="9360"/>
            </w:tabs>
            <w:ind w:right="-113"/>
            <w:rPr>
              <w:rFonts w:ascii="Arial" w:hAnsi="Arial" w:cs="Arial"/>
              <w:b/>
              <w:bCs/>
              <w:color w:val="0E8735"/>
            </w:rPr>
          </w:pPr>
          <w:r>
            <w:rPr>
              <w:rFonts w:ascii="Arial" w:hAnsi="Arial" w:cs="Arial"/>
              <w:b/>
              <w:bCs/>
              <w:color w:val="0E8735"/>
            </w:rPr>
            <w:t>walthamforest.gov.uk</w:t>
          </w:r>
        </w:p>
      </w:tc>
    </w:tr>
  </w:tbl>
  <w:p w14:paraId="255C2029" w14:textId="77777777" w:rsidR="005C1AC1" w:rsidRDefault="00366BD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842D" w14:textId="77777777" w:rsidR="00CE1F12" w:rsidRDefault="00CE1F12">
      <w:r>
        <w:separator/>
      </w:r>
    </w:p>
  </w:footnote>
  <w:footnote w:type="continuationSeparator" w:id="0">
    <w:p w14:paraId="5DE84E09" w14:textId="77777777" w:rsidR="00CE1F12" w:rsidRDefault="00CE1F12">
      <w:r>
        <w:continuationSeparator/>
      </w:r>
      <w:r>
        <w:cr/>
      </w:r>
    </w:p>
  </w:footnote>
  <w:footnote w:id="1">
    <w:p w14:paraId="6812984E" w14:textId="77777777" w:rsidR="000C7CEB" w:rsidRPr="000C7CEB" w:rsidRDefault="000C7CEB">
      <w:pPr>
        <w:pStyle w:val="FootnoteText"/>
        <w:rPr>
          <w:sz w:val="18"/>
          <w:szCs w:val="18"/>
        </w:rPr>
      </w:pPr>
      <w:r>
        <w:rPr>
          <w:rStyle w:val="FootnoteReference"/>
        </w:rPr>
        <w:footnoteRef/>
      </w:r>
      <w:r>
        <w:t xml:space="preserve"> </w:t>
      </w:r>
      <w:r w:rsidRPr="000C7CEB">
        <w:rPr>
          <w:sz w:val="18"/>
          <w:szCs w:val="18"/>
        </w:rPr>
        <w:t>Section 55 of the Act defines which Houses in Multiple Occupation are required to be licensed under the Act. See also The Licensing of Houses.in Multiple Occupation (Prescribed Descriptions) (England) Order 2005 (SI 2006/371)</w:t>
      </w:r>
    </w:p>
  </w:footnote>
  <w:footnote w:id="2">
    <w:p w14:paraId="2C69DE6D" w14:textId="77777777" w:rsidR="00194CB0" w:rsidRDefault="00194CB0">
      <w:pPr>
        <w:pStyle w:val="FootnoteText"/>
      </w:pPr>
      <w:r>
        <w:rPr>
          <w:rStyle w:val="FootnoteReference"/>
        </w:rPr>
        <w:footnoteRef/>
      </w:r>
      <w:r>
        <w:t xml:space="preserve"> Schedule 14 Housing Act 2004 </w:t>
      </w:r>
      <w:r w:rsidR="00D42BF8">
        <w:t xml:space="preserve">describes the buildings that are not HMOs other than for the purpose of Part 1 [HHSRS] </w:t>
      </w:r>
    </w:p>
  </w:footnote>
  <w:footnote w:id="3">
    <w:p w14:paraId="7486B943" w14:textId="77777777" w:rsidR="00E20823" w:rsidRDefault="00E20823">
      <w:pPr>
        <w:pStyle w:val="FootnoteText"/>
      </w:pPr>
      <w:r>
        <w:rPr>
          <w:rStyle w:val="FootnoteReference"/>
        </w:rPr>
        <w:footnoteRef/>
      </w:r>
      <w:r>
        <w:t xml:space="preserve"> </w:t>
      </w:r>
      <w:r w:rsidRPr="00E20823">
        <w:rPr>
          <w:sz w:val="18"/>
          <w:szCs w:val="18"/>
        </w:rPr>
        <w:t>Section 232 of the Act and paragraph 11 of SI 373/2006</w:t>
      </w:r>
    </w:p>
  </w:footnote>
  <w:footnote w:id="4">
    <w:p w14:paraId="6F7E2BFC" w14:textId="77777777" w:rsidR="009046E9" w:rsidRPr="009046E9" w:rsidRDefault="009046E9">
      <w:pPr>
        <w:pStyle w:val="FootnoteText"/>
        <w:rPr>
          <w:sz w:val="18"/>
          <w:szCs w:val="18"/>
        </w:rPr>
      </w:pPr>
      <w:r>
        <w:rPr>
          <w:rStyle w:val="FootnoteReference"/>
        </w:rPr>
        <w:footnoteRef/>
      </w:r>
      <w:r>
        <w:t xml:space="preserve"> For the definition of “persons not forming a single household” please see </w:t>
      </w:r>
      <w:r>
        <w:rPr>
          <w:sz w:val="18"/>
          <w:szCs w:val="18"/>
        </w:rPr>
        <w:t>Section 258 Housing Act 2004</w:t>
      </w:r>
    </w:p>
  </w:footnote>
  <w:footnote w:id="5">
    <w:p w14:paraId="566A4B12" w14:textId="77777777" w:rsidR="009046E9" w:rsidRDefault="009046E9">
      <w:pPr>
        <w:pStyle w:val="FootnoteText"/>
      </w:pPr>
      <w:r>
        <w:rPr>
          <w:rStyle w:val="FootnoteReference"/>
        </w:rPr>
        <w:footnoteRef/>
      </w:r>
      <w:r>
        <w:t xml:space="preserve"> For the definition of “</w:t>
      </w:r>
      <w:r w:rsidRPr="009046E9">
        <w:t>persons treated as occupying premises as only or main residence</w:t>
      </w:r>
      <w:r>
        <w:t>” please see Section 259 Housing Act 2004</w:t>
      </w:r>
    </w:p>
  </w:footnote>
  <w:footnote w:id="6">
    <w:p w14:paraId="46CEDA5D" w14:textId="77777777" w:rsidR="009046E9" w:rsidRPr="009046E9" w:rsidRDefault="009046E9">
      <w:pPr>
        <w:pStyle w:val="FootnoteText"/>
        <w:rPr>
          <w:sz w:val="18"/>
          <w:szCs w:val="18"/>
        </w:rPr>
      </w:pPr>
      <w:r>
        <w:rPr>
          <w:rStyle w:val="FootnoteReference"/>
        </w:rPr>
        <w:footnoteRef/>
      </w:r>
      <w:r>
        <w:t xml:space="preserve"> </w:t>
      </w:r>
      <w:r w:rsidRPr="009046E9">
        <w:rPr>
          <w:sz w:val="18"/>
          <w:szCs w:val="18"/>
        </w:rPr>
        <w:t>For the definition of “persons not forming a single household” please see Section 258 Housing Act 2004</w:t>
      </w:r>
    </w:p>
  </w:footnote>
  <w:footnote w:id="7">
    <w:p w14:paraId="089C000C" w14:textId="77777777" w:rsidR="009046E9" w:rsidRDefault="009046E9">
      <w:pPr>
        <w:pStyle w:val="FootnoteText"/>
      </w:pPr>
      <w:r w:rsidRPr="009046E9">
        <w:rPr>
          <w:rStyle w:val="FootnoteReference"/>
          <w:sz w:val="18"/>
          <w:szCs w:val="18"/>
        </w:rPr>
        <w:footnoteRef/>
      </w:r>
      <w:r w:rsidRPr="009046E9">
        <w:rPr>
          <w:sz w:val="18"/>
          <w:szCs w:val="18"/>
        </w:rPr>
        <w:t xml:space="preserve"> For the definition of “persons treated as occupying premises as only or main residence” please see Section 259 Housing Act 2004</w:t>
      </w:r>
    </w:p>
  </w:footnote>
  <w:footnote w:id="8">
    <w:p w14:paraId="63BA932A" w14:textId="77777777" w:rsidR="004658DE" w:rsidRPr="004658DE" w:rsidRDefault="004658DE" w:rsidP="004658DE">
      <w:pPr>
        <w:autoSpaceDE w:val="0"/>
        <w:autoSpaceDN w:val="0"/>
        <w:adjustRightInd w:val="0"/>
        <w:rPr>
          <w:rFonts w:cs="TimesNewRoman"/>
          <w:sz w:val="18"/>
          <w:szCs w:val="18"/>
        </w:rPr>
      </w:pPr>
      <w:r w:rsidRPr="004658DE">
        <w:rPr>
          <w:rStyle w:val="FootnoteReference"/>
          <w:sz w:val="18"/>
          <w:szCs w:val="18"/>
        </w:rPr>
        <w:footnoteRef/>
      </w:r>
      <w:r w:rsidRPr="004658DE">
        <w:rPr>
          <w:sz w:val="18"/>
          <w:szCs w:val="18"/>
        </w:rPr>
        <w:t xml:space="preserve"> The number of persons specified for the purposes of paragraph (c) under ‘Buildings Occupied by owners’ in</w:t>
      </w:r>
      <w:r>
        <w:t xml:space="preserve"> </w:t>
      </w:r>
      <w:r w:rsidRPr="004658DE">
        <w:rPr>
          <w:rFonts w:cs="TimesNewRoman"/>
          <w:sz w:val="18"/>
          <w:szCs w:val="18"/>
        </w:rPr>
        <w:t>The Licensing and Management of Houses in Multiple</w:t>
      </w:r>
      <w:r>
        <w:rPr>
          <w:rFonts w:cs="TimesNewRoman"/>
          <w:sz w:val="18"/>
          <w:szCs w:val="18"/>
        </w:rPr>
        <w:t xml:space="preserve"> </w:t>
      </w:r>
      <w:r w:rsidRPr="004658DE">
        <w:rPr>
          <w:rFonts w:cs="TimesNewRoman"/>
          <w:sz w:val="18"/>
          <w:szCs w:val="18"/>
        </w:rPr>
        <w:t xml:space="preserve">Occupation and Other Houses (Miscellaneous </w:t>
      </w:r>
      <w:r w:rsidR="005450ED" w:rsidRPr="004658DE">
        <w:rPr>
          <w:rFonts w:cs="TimesNewRoman"/>
          <w:sz w:val="18"/>
          <w:szCs w:val="18"/>
        </w:rPr>
        <w:t>Provisions) (</w:t>
      </w:r>
      <w:r w:rsidRPr="004658DE">
        <w:rPr>
          <w:rFonts w:cs="TimesNewRoman"/>
          <w:sz w:val="18"/>
          <w:szCs w:val="18"/>
        </w:rPr>
        <w:t>England) Regulations 2006</w:t>
      </w:r>
      <w:r>
        <w:t xml:space="preserve"> </w:t>
      </w:r>
      <w:r w:rsidRPr="004658DE">
        <w:rPr>
          <w:sz w:val="18"/>
          <w:szCs w:val="18"/>
        </w:rPr>
        <w:t>is 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7557" w14:textId="77777777" w:rsidR="005C1AC1" w:rsidRDefault="00366BDF">
    <w:r>
      <w:cr/>
    </w:r>
    <w:r>
      <w:cr/>
    </w:r>
    <w:r>
      <w:cr/>
    </w: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B40" w14:textId="77777777" w:rsidR="00EB3593" w:rsidRDefault="00366BDF" w:rsidP="00EB3593">
    <w:pPr>
      <w:pStyle w:val="Header"/>
      <w:jc w:val="right"/>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640"/>
    <w:multiLevelType w:val="hybridMultilevel"/>
    <w:tmpl w:val="0A34D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D448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7A0FEA"/>
    <w:multiLevelType w:val="hybridMultilevel"/>
    <w:tmpl w:val="8B5AA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D1FAF"/>
    <w:multiLevelType w:val="hybridMultilevel"/>
    <w:tmpl w:val="697E7BDC"/>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C06CE"/>
    <w:multiLevelType w:val="hybridMultilevel"/>
    <w:tmpl w:val="DD2A2390"/>
    <w:lvl w:ilvl="0" w:tplc="262CF2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AB7F31"/>
    <w:multiLevelType w:val="hybridMultilevel"/>
    <w:tmpl w:val="0464F134"/>
    <w:lvl w:ilvl="0" w:tplc="B198A5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B310E5F"/>
    <w:multiLevelType w:val="hybridMultilevel"/>
    <w:tmpl w:val="9476F0BE"/>
    <w:lvl w:ilvl="0" w:tplc="8888568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0EFE665E"/>
    <w:multiLevelType w:val="hybridMultilevel"/>
    <w:tmpl w:val="E3C0D9B2"/>
    <w:lvl w:ilvl="0" w:tplc="212619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3B5325"/>
    <w:multiLevelType w:val="hybridMultilevel"/>
    <w:tmpl w:val="31700F58"/>
    <w:lvl w:ilvl="0" w:tplc="775C823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C05246"/>
    <w:multiLevelType w:val="hybridMultilevel"/>
    <w:tmpl w:val="8B42D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3053B"/>
    <w:multiLevelType w:val="multilevel"/>
    <w:tmpl w:val="A6D0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7E36"/>
    <w:multiLevelType w:val="hybridMultilevel"/>
    <w:tmpl w:val="5F8636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76BAC"/>
    <w:multiLevelType w:val="hybridMultilevel"/>
    <w:tmpl w:val="2690B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B2D4E"/>
    <w:multiLevelType w:val="hybridMultilevel"/>
    <w:tmpl w:val="84E01E22"/>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CDD46C9"/>
    <w:multiLevelType w:val="hybridMultilevel"/>
    <w:tmpl w:val="CE3A3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83C42"/>
    <w:multiLevelType w:val="hybridMultilevel"/>
    <w:tmpl w:val="3ADC73AC"/>
    <w:lvl w:ilvl="0" w:tplc="775C823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11B1A9B"/>
    <w:multiLevelType w:val="hybridMultilevel"/>
    <w:tmpl w:val="AC920D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2830567"/>
    <w:multiLevelType w:val="hybridMultilevel"/>
    <w:tmpl w:val="AE708116"/>
    <w:lvl w:ilvl="0" w:tplc="C08C4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EB2562"/>
    <w:multiLevelType w:val="multilevel"/>
    <w:tmpl w:val="4B3CBFE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8210F34"/>
    <w:multiLevelType w:val="hybridMultilevel"/>
    <w:tmpl w:val="B4940CD8"/>
    <w:lvl w:ilvl="0" w:tplc="9C52814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07339C1"/>
    <w:multiLevelType w:val="hybridMultilevel"/>
    <w:tmpl w:val="AF387314"/>
    <w:lvl w:ilvl="0" w:tplc="3E1AD5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AF42E3"/>
    <w:multiLevelType w:val="hybridMultilevel"/>
    <w:tmpl w:val="DF5EDDE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5519C8"/>
    <w:multiLevelType w:val="hybridMultilevel"/>
    <w:tmpl w:val="3DD6A1E2"/>
    <w:lvl w:ilvl="0" w:tplc="254E917E">
      <w:start w:val="2"/>
      <w:numFmt w:val="decimal"/>
      <w:lvlText w:val="(%1)"/>
      <w:lvlJc w:val="left"/>
      <w:pPr>
        <w:tabs>
          <w:tab w:val="num" w:pos="1800"/>
        </w:tabs>
        <w:ind w:left="1800" w:hanging="360"/>
      </w:pPr>
      <w:rPr>
        <w:rFonts w:hint="default"/>
      </w:rPr>
    </w:lvl>
    <w:lvl w:ilvl="1" w:tplc="CB4CADBC">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3634173"/>
    <w:multiLevelType w:val="hybridMultilevel"/>
    <w:tmpl w:val="19D2E506"/>
    <w:lvl w:ilvl="0" w:tplc="A3A684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814A4E"/>
    <w:multiLevelType w:val="hybridMultilevel"/>
    <w:tmpl w:val="96DE7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AC3C28"/>
    <w:multiLevelType w:val="hybridMultilevel"/>
    <w:tmpl w:val="768C7864"/>
    <w:lvl w:ilvl="0" w:tplc="DDBAB79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87A57"/>
    <w:multiLevelType w:val="hybridMultilevel"/>
    <w:tmpl w:val="5C1E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F3973"/>
    <w:multiLevelType w:val="hybridMultilevel"/>
    <w:tmpl w:val="D3F27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01296"/>
    <w:multiLevelType w:val="hybridMultilevel"/>
    <w:tmpl w:val="49A49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E95F8D"/>
    <w:multiLevelType w:val="singleLevel"/>
    <w:tmpl w:val="FF447DCC"/>
    <w:lvl w:ilvl="0">
      <w:start w:val="1"/>
      <w:numFmt w:val="lowerLetter"/>
      <w:lvlText w:val="(%1)"/>
      <w:lvlJc w:val="left"/>
      <w:pPr>
        <w:tabs>
          <w:tab w:val="num" w:pos="720"/>
        </w:tabs>
        <w:ind w:left="720" w:hanging="720"/>
      </w:pPr>
    </w:lvl>
  </w:abstractNum>
  <w:abstractNum w:abstractNumId="30" w15:restartNumberingAfterBreak="0">
    <w:nsid w:val="5B435475"/>
    <w:multiLevelType w:val="multilevel"/>
    <w:tmpl w:val="8E6A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61BD5"/>
    <w:multiLevelType w:val="multilevel"/>
    <w:tmpl w:val="D2CA3D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5CCA0E30"/>
    <w:multiLevelType w:val="hybridMultilevel"/>
    <w:tmpl w:val="75F4A458"/>
    <w:lvl w:ilvl="0" w:tplc="1E7827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9379B8"/>
    <w:multiLevelType w:val="hybridMultilevel"/>
    <w:tmpl w:val="84D0B142"/>
    <w:lvl w:ilvl="0" w:tplc="135AC62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69E0045B"/>
    <w:multiLevelType w:val="hybridMultilevel"/>
    <w:tmpl w:val="2220808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FFE22BF"/>
    <w:multiLevelType w:val="hybridMultilevel"/>
    <w:tmpl w:val="8DC07DB2"/>
    <w:lvl w:ilvl="0" w:tplc="F0F461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DE0FBE"/>
    <w:multiLevelType w:val="hybridMultilevel"/>
    <w:tmpl w:val="C6ECFA8A"/>
    <w:lvl w:ilvl="0" w:tplc="CD5CF68A">
      <w:start w:val="1"/>
      <w:numFmt w:val="decimal"/>
      <w:lvlText w:val="%1."/>
      <w:lvlJc w:val="left"/>
      <w:pPr>
        <w:tabs>
          <w:tab w:val="num" w:pos="420"/>
        </w:tabs>
        <w:ind w:left="420" w:hanging="360"/>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774E2A3D"/>
    <w:multiLevelType w:val="hybridMultilevel"/>
    <w:tmpl w:val="AA2601C0"/>
    <w:lvl w:ilvl="0" w:tplc="E6887562">
      <w:start w:val="1"/>
      <w:numFmt w:val="decimal"/>
      <w:lvlText w:val="%1)"/>
      <w:lvlJc w:val="left"/>
      <w:pPr>
        <w:ind w:left="928" w:hanging="360"/>
      </w:pPr>
      <w:rPr>
        <w:rFonts w:cs="Tahoma"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8" w15:restartNumberingAfterBreak="0">
    <w:nsid w:val="78465C68"/>
    <w:multiLevelType w:val="hybridMultilevel"/>
    <w:tmpl w:val="9A4E2E7E"/>
    <w:lvl w:ilvl="0" w:tplc="FF447DC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7182E"/>
    <w:multiLevelType w:val="hybridMultilevel"/>
    <w:tmpl w:val="32B82462"/>
    <w:lvl w:ilvl="0" w:tplc="849E1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2E15DF"/>
    <w:multiLevelType w:val="hybridMultilevel"/>
    <w:tmpl w:val="D5967CF8"/>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91904314">
    <w:abstractNumId w:val="1"/>
  </w:num>
  <w:num w:numId="2" w16cid:durableId="1467117080">
    <w:abstractNumId w:val="29"/>
    <w:lvlOverride w:ilvl="0">
      <w:startOverride w:val="1"/>
    </w:lvlOverride>
  </w:num>
  <w:num w:numId="3" w16cid:durableId="1835291091">
    <w:abstractNumId w:val="6"/>
  </w:num>
  <w:num w:numId="4" w16cid:durableId="1471827119">
    <w:abstractNumId w:val="22"/>
  </w:num>
  <w:num w:numId="5" w16cid:durableId="639307718">
    <w:abstractNumId w:val="11"/>
  </w:num>
  <w:num w:numId="6" w16cid:durableId="1648438992">
    <w:abstractNumId w:val="36"/>
  </w:num>
  <w:num w:numId="7" w16cid:durableId="519126517">
    <w:abstractNumId w:val="18"/>
  </w:num>
  <w:num w:numId="8" w16cid:durableId="499586913">
    <w:abstractNumId w:val="21"/>
  </w:num>
  <w:num w:numId="9" w16cid:durableId="151680265">
    <w:abstractNumId w:val="14"/>
  </w:num>
  <w:num w:numId="10" w16cid:durableId="990674708">
    <w:abstractNumId w:val="28"/>
  </w:num>
  <w:num w:numId="11" w16cid:durableId="18361504">
    <w:abstractNumId w:val="3"/>
  </w:num>
  <w:num w:numId="12" w16cid:durableId="764619745">
    <w:abstractNumId w:val="37"/>
  </w:num>
  <w:num w:numId="13" w16cid:durableId="481118775">
    <w:abstractNumId w:val="40"/>
  </w:num>
  <w:num w:numId="14" w16cid:durableId="1855068228">
    <w:abstractNumId w:val="34"/>
  </w:num>
  <w:num w:numId="15" w16cid:durableId="578028905">
    <w:abstractNumId w:val="27"/>
  </w:num>
  <w:num w:numId="16" w16cid:durableId="1276861343">
    <w:abstractNumId w:val="12"/>
  </w:num>
  <w:num w:numId="17" w16cid:durableId="718671991">
    <w:abstractNumId w:val="13"/>
  </w:num>
  <w:num w:numId="18" w16cid:durableId="1577743178">
    <w:abstractNumId w:val="16"/>
  </w:num>
  <w:num w:numId="19" w16cid:durableId="495190520">
    <w:abstractNumId w:val="0"/>
  </w:num>
  <w:num w:numId="20" w16cid:durableId="1009673588">
    <w:abstractNumId w:val="9"/>
  </w:num>
  <w:num w:numId="21" w16cid:durableId="1304693915">
    <w:abstractNumId w:val="2"/>
  </w:num>
  <w:num w:numId="22" w16cid:durableId="1312128593">
    <w:abstractNumId w:val="10"/>
  </w:num>
  <w:num w:numId="23" w16cid:durableId="800457900">
    <w:abstractNumId w:val="15"/>
  </w:num>
  <w:num w:numId="24" w16cid:durableId="1791784243">
    <w:abstractNumId w:val="5"/>
  </w:num>
  <w:num w:numId="25" w16cid:durableId="1723209600">
    <w:abstractNumId w:val="24"/>
  </w:num>
  <w:num w:numId="26" w16cid:durableId="859204503">
    <w:abstractNumId w:val="38"/>
  </w:num>
  <w:num w:numId="27" w16cid:durableId="1469014994">
    <w:abstractNumId w:val="25"/>
  </w:num>
  <w:num w:numId="28" w16cid:durableId="712651521">
    <w:abstractNumId w:val="33"/>
  </w:num>
  <w:num w:numId="29" w16cid:durableId="2090693317">
    <w:abstractNumId w:val="8"/>
  </w:num>
  <w:num w:numId="30" w16cid:durableId="771630277">
    <w:abstractNumId w:val="30"/>
  </w:num>
  <w:num w:numId="31" w16cid:durableId="1551847539">
    <w:abstractNumId w:val="20"/>
  </w:num>
  <w:num w:numId="32" w16cid:durableId="617294089">
    <w:abstractNumId w:val="7"/>
  </w:num>
  <w:num w:numId="33" w16cid:durableId="2067099269">
    <w:abstractNumId w:val="39"/>
  </w:num>
  <w:num w:numId="34" w16cid:durableId="905917560">
    <w:abstractNumId w:val="26"/>
  </w:num>
  <w:num w:numId="35" w16cid:durableId="424158084">
    <w:abstractNumId w:val="31"/>
  </w:num>
  <w:num w:numId="36" w16cid:durableId="853305072">
    <w:abstractNumId w:val="4"/>
  </w:num>
  <w:num w:numId="37" w16cid:durableId="1082482223">
    <w:abstractNumId w:val="23"/>
  </w:num>
  <w:num w:numId="38" w16cid:durableId="47344872">
    <w:abstractNumId w:val="19"/>
  </w:num>
  <w:num w:numId="39" w16cid:durableId="1057751931">
    <w:abstractNumId w:val="17"/>
  </w:num>
  <w:num w:numId="40" w16cid:durableId="700518215">
    <w:abstractNumId w:val="32"/>
  </w:num>
  <w:num w:numId="41" w16cid:durableId="137346200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f8734,#0e873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6F"/>
    <w:rsid w:val="000003A5"/>
    <w:rsid w:val="00011A5B"/>
    <w:rsid w:val="00014044"/>
    <w:rsid w:val="00053909"/>
    <w:rsid w:val="00064344"/>
    <w:rsid w:val="000660DF"/>
    <w:rsid w:val="000A76AB"/>
    <w:rsid w:val="000B3859"/>
    <w:rsid w:val="000B5C22"/>
    <w:rsid w:val="000C0AD0"/>
    <w:rsid w:val="000C2847"/>
    <w:rsid w:val="000C7CEB"/>
    <w:rsid w:val="000E0711"/>
    <w:rsid w:val="000E0AF9"/>
    <w:rsid w:val="000E14F9"/>
    <w:rsid w:val="000E2E2C"/>
    <w:rsid w:val="000E3DD7"/>
    <w:rsid w:val="000E4CA7"/>
    <w:rsid w:val="000F3FC6"/>
    <w:rsid w:val="000F712E"/>
    <w:rsid w:val="00106B19"/>
    <w:rsid w:val="00127676"/>
    <w:rsid w:val="001328A9"/>
    <w:rsid w:val="0013399C"/>
    <w:rsid w:val="00156386"/>
    <w:rsid w:val="001611D8"/>
    <w:rsid w:val="0018563E"/>
    <w:rsid w:val="00194CB0"/>
    <w:rsid w:val="00195054"/>
    <w:rsid w:val="001A37CC"/>
    <w:rsid w:val="001A79BA"/>
    <w:rsid w:val="001C6757"/>
    <w:rsid w:val="0020484D"/>
    <w:rsid w:val="00222926"/>
    <w:rsid w:val="002341B1"/>
    <w:rsid w:val="00275BB3"/>
    <w:rsid w:val="0029068F"/>
    <w:rsid w:val="002A2C68"/>
    <w:rsid w:val="002A36CB"/>
    <w:rsid w:val="002A3C80"/>
    <w:rsid w:val="002A6C2C"/>
    <w:rsid w:val="002A7E4C"/>
    <w:rsid w:val="002B2BAE"/>
    <w:rsid w:val="002B3A44"/>
    <w:rsid w:val="002B5F6F"/>
    <w:rsid w:val="002C1B3E"/>
    <w:rsid w:val="002F61AE"/>
    <w:rsid w:val="00312EA6"/>
    <w:rsid w:val="00321754"/>
    <w:rsid w:val="00321BDA"/>
    <w:rsid w:val="00341678"/>
    <w:rsid w:val="00345FF0"/>
    <w:rsid w:val="003510E1"/>
    <w:rsid w:val="003559AE"/>
    <w:rsid w:val="003570C7"/>
    <w:rsid w:val="00366BDF"/>
    <w:rsid w:val="00383ED0"/>
    <w:rsid w:val="00393DA2"/>
    <w:rsid w:val="00396EE7"/>
    <w:rsid w:val="003A412E"/>
    <w:rsid w:val="003A524F"/>
    <w:rsid w:val="003B2C2D"/>
    <w:rsid w:val="003C06CE"/>
    <w:rsid w:val="003C6186"/>
    <w:rsid w:val="003E2796"/>
    <w:rsid w:val="00401AED"/>
    <w:rsid w:val="00413E89"/>
    <w:rsid w:val="00414A31"/>
    <w:rsid w:val="00422524"/>
    <w:rsid w:val="00435478"/>
    <w:rsid w:val="004658DE"/>
    <w:rsid w:val="00477D03"/>
    <w:rsid w:val="00482D7B"/>
    <w:rsid w:val="00493067"/>
    <w:rsid w:val="004B0519"/>
    <w:rsid w:val="004B0FDF"/>
    <w:rsid w:val="004E1836"/>
    <w:rsid w:val="004F6F7C"/>
    <w:rsid w:val="0050663A"/>
    <w:rsid w:val="00506A75"/>
    <w:rsid w:val="005450ED"/>
    <w:rsid w:val="005621C7"/>
    <w:rsid w:val="00593DA6"/>
    <w:rsid w:val="005A49F2"/>
    <w:rsid w:val="005B5EC8"/>
    <w:rsid w:val="005C1AC1"/>
    <w:rsid w:val="005E0594"/>
    <w:rsid w:val="00604A6D"/>
    <w:rsid w:val="00614E0C"/>
    <w:rsid w:val="00644E39"/>
    <w:rsid w:val="006A19D1"/>
    <w:rsid w:val="006A3187"/>
    <w:rsid w:val="006A7228"/>
    <w:rsid w:val="006B19EC"/>
    <w:rsid w:val="006B34D1"/>
    <w:rsid w:val="006C3B8B"/>
    <w:rsid w:val="007150B4"/>
    <w:rsid w:val="00736068"/>
    <w:rsid w:val="00743173"/>
    <w:rsid w:val="00746DD2"/>
    <w:rsid w:val="00750261"/>
    <w:rsid w:val="00765C14"/>
    <w:rsid w:val="0079329D"/>
    <w:rsid w:val="007B31B2"/>
    <w:rsid w:val="007C78BC"/>
    <w:rsid w:val="007E5966"/>
    <w:rsid w:val="007E7568"/>
    <w:rsid w:val="008008F7"/>
    <w:rsid w:val="00802261"/>
    <w:rsid w:val="008115D7"/>
    <w:rsid w:val="008127AD"/>
    <w:rsid w:val="0082276F"/>
    <w:rsid w:val="00841C36"/>
    <w:rsid w:val="00851556"/>
    <w:rsid w:val="0085401B"/>
    <w:rsid w:val="008655E7"/>
    <w:rsid w:val="0087018E"/>
    <w:rsid w:val="008A52A1"/>
    <w:rsid w:val="008B7B0B"/>
    <w:rsid w:val="008D1D31"/>
    <w:rsid w:val="008D2CF8"/>
    <w:rsid w:val="008D3D96"/>
    <w:rsid w:val="008D5628"/>
    <w:rsid w:val="008E08A8"/>
    <w:rsid w:val="009046E9"/>
    <w:rsid w:val="009244A5"/>
    <w:rsid w:val="00935AE6"/>
    <w:rsid w:val="009605A4"/>
    <w:rsid w:val="00962E19"/>
    <w:rsid w:val="00963E82"/>
    <w:rsid w:val="009B0FCD"/>
    <w:rsid w:val="009B2C3D"/>
    <w:rsid w:val="009C67F5"/>
    <w:rsid w:val="009D1CD4"/>
    <w:rsid w:val="009D56DA"/>
    <w:rsid w:val="009E447D"/>
    <w:rsid w:val="009E66CE"/>
    <w:rsid w:val="009F1532"/>
    <w:rsid w:val="00A0332A"/>
    <w:rsid w:val="00A1021B"/>
    <w:rsid w:val="00A126A4"/>
    <w:rsid w:val="00A13FEA"/>
    <w:rsid w:val="00A45703"/>
    <w:rsid w:val="00A614F5"/>
    <w:rsid w:val="00A66A53"/>
    <w:rsid w:val="00A70DC8"/>
    <w:rsid w:val="00A9092F"/>
    <w:rsid w:val="00A964CE"/>
    <w:rsid w:val="00AA0A87"/>
    <w:rsid w:val="00AA180D"/>
    <w:rsid w:val="00AC3F4F"/>
    <w:rsid w:val="00AD3805"/>
    <w:rsid w:val="00B01C9C"/>
    <w:rsid w:val="00B05F45"/>
    <w:rsid w:val="00B14854"/>
    <w:rsid w:val="00B24AF2"/>
    <w:rsid w:val="00B542C0"/>
    <w:rsid w:val="00B671BB"/>
    <w:rsid w:val="00B932BC"/>
    <w:rsid w:val="00BB51CE"/>
    <w:rsid w:val="00BB6143"/>
    <w:rsid w:val="00BB77FD"/>
    <w:rsid w:val="00BC1FE1"/>
    <w:rsid w:val="00BC613C"/>
    <w:rsid w:val="00BE243B"/>
    <w:rsid w:val="00C16D43"/>
    <w:rsid w:val="00C314B9"/>
    <w:rsid w:val="00C3329F"/>
    <w:rsid w:val="00C668EA"/>
    <w:rsid w:val="00C703B0"/>
    <w:rsid w:val="00C73675"/>
    <w:rsid w:val="00C9036E"/>
    <w:rsid w:val="00CA6B80"/>
    <w:rsid w:val="00CB7CB4"/>
    <w:rsid w:val="00CC5761"/>
    <w:rsid w:val="00CD5D52"/>
    <w:rsid w:val="00CE1F12"/>
    <w:rsid w:val="00D01D0C"/>
    <w:rsid w:val="00D05E56"/>
    <w:rsid w:val="00D118BD"/>
    <w:rsid w:val="00D154AD"/>
    <w:rsid w:val="00D175D9"/>
    <w:rsid w:val="00D25780"/>
    <w:rsid w:val="00D273A5"/>
    <w:rsid w:val="00D42BF8"/>
    <w:rsid w:val="00D56875"/>
    <w:rsid w:val="00D6585C"/>
    <w:rsid w:val="00D84341"/>
    <w:rsid w:val="00D84730"/>
    <w:rsid w:val="00D87625"/>
    <w:rsid w:val="00DA0037"/>
    <w:rsid w:val="00DA785F"/>
    <w:rsid w:val="00DB246A"/>
    <w:rsid w:val="00E0249F"/>
    <w:rsid w:val="00E20823"/>
    <w:rsid w:val="00E51D66"/>
    <w:rsid w:val="00E64A9F"/>
    <w:rsid w:val="00E76F95"/>
    <w:rsid w:val="00EB3593"/>
    <w:rsid w:val="00EC0041"/>
    <w:rsid w:val="00EE0C4B"/>
    <w:rsid w:val="00EF29B2"/>
    <w:rsid w:val="00F03D7D"/>
    <w:rsid w:val="00F10FC0"/>
    <w:rsid w:val="00F15E82"/>
    <w:rsid w:val="00F20ADB"/>
    <w:rsid w:val="00F44DED"/>
    <w:rsid w:val="00F6753C"/>
    <w:rsid w:val="00F95205"/>
    <w:rsid w:val="00FC1692"/>
    <w:rsid w:val="00FC410C"/>
    <w:rsid w:val="00FD1683"/>
    <w:rsid w:val="00FD7BAC"/>
    <w:rsid w:val="00FF0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f8734,#0e8735"/>
    </o:shapedefaults>
    <o:shapelayout v:ext="edit">
      <o:idmap v:ext="edit" data="2"/>
    </o:shapelayout>
  </w:shapeDefaults>
  <w:decimalSymbol w:val="."/>
  <w:listSeparator w:val=","/>
  <w14:docId w14:val="34FBBF18"/>
  <w15:chartTrackingRefBased/>
  <w15:docId w15:val="{3C544434-49A3-4711-A420-061A7637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widowControl w:val="0"/>
      <w:tabs>
        <w:tab w:val="center" w:pos="1833"/>
        <w:tab w:val="left" w:pos="2160"/>
        <w:tab w:val="left" w:pos="2880"/>
        <w:tab w:val="left" w:pos="3600"/>
        <w:tab w:val="left" w:pos="4320"/>
        <w:tab w:val="left" w:pos="5040"/>
        <w:tab w:val="left" w:pos="5760"/>
        <w:tab w:val="left" w:pos="6480"/>
        <w:tab w:val="left" w:pos="7200"/>
        <w:tab w:val="left" w:pos="7920"/>
        <w:tab w:val="left" w:pos="8640"/>
      </w:tabs>
      <w:spacing w:before="100" w:after="100"/>
      <w:outlineLvl w:val="2"/>
    </w:pPr>
    <w:rPr>
      <w:rFonts w:ascii="Tahoma" w:hAnsi="Tahoma"/>
      <w:b/>
      <w:snapToGrid w:val="0"/>
      <w:sz w:val="22"/>
      <w:lang w:eastAsia="en-US"/>
    </w:rPr>
  </w:style>
  <w:style w:type="paragraph" w:styleId="Heading4">
    <w:name w:val="heading 4"/>
    <w:basedOn w:val="Normal"/>
    <w:next w:val="Normal"/>
    <w:qFormat/>
    <w:pPr>
      <w:keepNext/>
      <w:tabs>
        <w:tab w:val="center" w:pos="2707"/>
        <w:tab w:val="left" w:pos="2880"/>
        <w:tab w:val="left" w:pos="3600"/>
        <w:tab w:val="left" w:pos="4320"/>
        <w:tab w:val="left" w:pos="5040"/>
        <w:tab w:val="left" w:pos="5760"/>
        <w:tab w:val="left" w:pos="6480"/>
        <w:tab w:val="left" w:pos="7200"/>
        <w:tab w:val="left" w:pos="7920"/>
        <w:tab w:val="left" w:pos="8640"/>
      </w:tabs>
      <w:spacing w:before="100" w:after="100"/>
      <w:jc w:val="right"/>
      <w:outlineLvl w:val="3"/>
    </w:pPr>
    <w:rPr>
      <w:rFonts w:ascii="Tahoma" w:hAnsi="Tahoma"/>
      <w:b/>
      <w:sz w:val="16"/>
    </w:rPr>
  </w:style>
  <w:style w:type="paragraph" w:styleId="Heading5">
    <w:name w:val="heading 5"/>
    <w:basedOn w:val="Normal"/>
    <w:next w:val="Normal"/>
    <w:qFormat/>
    <w:pPr>
      <w:keepNext/>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before="100" w:after="100"/>
      <w:outlineLvl w:val="4"/>
    </w:pPr>
    <w:rPr>
      <w:rFonts w:ascii="Tahoma" w:hAnsi="Tahoma"/>
      <w:b/>
      <w:sz w:val="20"/>
    </w:rPr>
  </w:style>
  <w:style w:type="paragraph" w:styleId="Heading6">
    <w:name w:val="heading 6"/>
    <w:basedOn w:val="Normal"/>
    <w:next w:val="Normal"/>
    <w:qFormat/>
    <w:pPr>
      <w:keepNext/>
      <w:ind w:firstLine="720"/>
      <w:outlineLvl w:val="5"/>
    </w:pPr>
    <w:rPr>
      <w:rFonts w:ascii="Arial" w:hAnsi="Arial"/>
      <w:b/>
      <w:lang w:eastAsia="en-US"/>
    </w:rPr>
  </w:style>
  <w:style w:type="paragraph" w:styleId="Heading7">
    <w:name w:val="heading 7"/>
    <w:basedOn w:val="Normal"/>
    <w:next w:val="Normal"/>
    <w:qFormat/>
    <w:pPr>
      <w:keepNext/>
      <w:ind w:left="-180" w:right="-511"/>
      <w:jc w:val="both"/>
      <w:outlineLvl w:val="6"/>
    </w:pPr>
    <w:rPr>
      <w:rFonts w:ascii="Arial" w:hAnsi="Arial" w:cs="Arial"/>
    </w:rPr>
  </w:style>
  <w:style w:type="paragraph" w:styleId="Heading8">
    <w:name w:val="heading 8"/>
    <w:basedOn w:val="Normal"/>
    <w:next w:val="Normal"/>
    <w:qFormat/>
    <w:pPr>
      <w:keepNext/>
      <w:ind w:right="-511"/>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Caption">
    <w:name w:val="caption"/>
    <w:basedOn w:val="Normal"/>
    <w:next w:val="Normal"/>
    <w:qFormat/>
    <w:pPr>
      <w:jc w:val="center"/>
    </w:pPr>
    <w:rPr>
      <w:caps/>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Optima" w:hAnsi="Optima"/>
      <w:sz w:val="1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2">
    <w:name w:val="Body Text 2"/>
    <w:basedOn w:val="Normal"/>
    <w:pPr>
      <w:tabs>
        <w:tab w:val="left" w:pos="-1108"/>
        <w:tab w:val="left" w:pos="-720"/>
        <w:tab w:val="left" w:pos="0"/>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s>
      <w:jc w:val="both"/>
    </w:pPr>
    <w:rPr>
      <w:rFonts w:ascii="Arial" w:hAnsi="Arial" w:cs="Arial"/>
    </w:rPr>
  </w:style>
  <w:style w:type="paragraph" w:styleId="BodyTextIndent">
    <w:name w:val="Body Text Indent"/>
    <w:basedOn w:val="Normal"/>
    <w:rsid w:val="00F95205"/>
    <w:pPr>
      <w:spacing w:after="120"/>
      <w:ind w:left="283"/>
    </w:pPr>
  </w:style>
  <w:style w:type="paragraph" w:styleId="PlainText">
    <w:name w:val="Plain Text"/>
    <w:basedOn w:val="Normal"/>
    <w:link w:val="PlainTextChar"/>
    <w:uiPriority w:val="99"/>
    <w:unhideWhenUsed/>
    <w:rsid w:val="009605A4"/>
    <w:rPr>
      <w:rFonts w:ascii="Calibri" w:eastAsia="Calibri" w:hAnsi="Calibri"/>
      <w:sz w:val="22"/>
      <w:szCs w:val="21"/>
      <w:lang w:eastAsia="en-US"/>
    </w:rPr>
  </w:style>
  <w:style w:type="character" w:customStyle="1" w:styleId="PlainTextChar">
    <w:name w:val="Plain Text Char"/>
    <w:link w:val="PlainText"/>
    <w:uiPriority w:val="99"/>
    <w:rsid w:val="009605A4"/>
    <w:rPr>
      <w:rFonts w:ascii="Calibri" w:eastAsia="Calibri" w:hAnsi="Calibri"/>
      <w:sz w:val="22"/>
      <w:szCs w:val="21"/>
      <w:lang w:eastAsia="en-US"/>
    </w:rPr>
  </w:style>
  <w:style w:type="paragraph" w:styleId="ListParagraph">
    <w:name w:val="List Paragraph"/>
    <w:basedOn w:val="Normal"/>
    <w:uiPriority w:val="34"/>
    <w:qFormat/>
    <w:rsid w:val="00736068"/>
    <w:pPr>
      <w:ind w:left="720"/>
    </w:pPr>
  </w:style>
  <w:style w:type="paragraph" w:customStyle="1" w:styleId="Default">
    <w:name w:val="Default"/>
    <w:rsid w:val="00011A5B"/>
    <w:pPr>
      <w:autoSpaceDE w:val="0"/>
      <w:autoSpaceDN w:val="0"/>
      <w:adjustRightInd w:val="0"/>
    </w:pPr>
    <w:rPr>
      <w:rFonts w:ascii="Calibri" w:hAnsi="Calibri" w:cs="Calibri"/>
      <w:color w:val="000000"/>
      <w:sz w:val="24"/>
      <w:szCs w:val="24"/>
    </w:rPr>
  </w:style>
  <w:style w:type="character" w:styleId="FollowedHyperlink">
    <w:name w:val="FollowedHyperlink"/>
    <w:rsid w:val="009244A5"/>
    <w:rPr>
      <w:color w:val="800080"/>
      <w:u w:val="single"/>
    </w:rPr>
  </w:style>
  <w:style w:type="paragraph" w:styleId="FootnoteText">
    <w:name w:val="footnote text"/>
    <w:basedOn w:val="Normal"/>
    <w:link w:val="FootnoteTextChar"/>
    <w:rsid w:val="005B5EC8"/>
    <w:rPr>
      <w:sz w:val="20"/>
    </w:rPr>
  </w:style>
  <w:style w:type="character" w:customStyle="1" w:styleId="FootnoteTextChar">
    <w:name w:val="Footnote Text Char"/>
    <w:link w:val="FootnoteText"/>
    <w:rsid w:val="005B5EC8"/>
    <w:rPr>
      <w:rFonts w:ascii="Verdana" w:hAnsi="Verdana"/>
    </w:rPr>
  </w:style>
  <w:style w:type="character" w:styleId="FootnoteReference">
    <w:name w:val="footnote reference"/>
    <w:rsid w:val="005B5EC8"/>
    <w:rPr>
      <w:vertAlign w:val="superscript"/>
    </w:rPr>
  </w:style>
  <w:style w:type="paragraph" w:customStyle="1" w:styleId="legclearfix">
    <w:name w:val="legclearfix"/>
    <w:basedOn w:val="Normal"/>
    <w:rsid w:val="000C7CEB"/>
    <w:pPr>
      <w:spacing w:before="100" w:beforeAutospacing="1" w:after="100" w:afterAutospacing="1"/>
    </w:pPr>
    <w:rPr>
      <w:rFonts w:ascii="Times New Roman" w:hAnsi="Times New Roman"/>
      <w:szCs w:val="24"/>
    </w:rPr>
  </w:style>
  <w:style w:type="character" w:customStyle="1" w:styleId="legds">
    <w:name w:val="legds"/>
    <w:rsid w:val="000C7CEB"/>
  </w:style>
  <w:style w:type="character" w:customStyle="1" w:styleId="legterm">
    <w:name w:val="legterm"/>
    <w:rsid w:val="000C7CEB"/>
  </w:style>
  <w:style w:type="paragraph" w:styleId="NormalWeb">
    <w:name w:val="Normal (Web)"/>
    <w:basedOn w:val="Normal"/>
    <w:uiPriority w:val="99"/>
    <w:unhideWhenUsed/>
    <w:rsid w:val="009B0F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342">
      <w:bodyDiv w:val="1"/>
      <w:marLeft w:val="0"/>
      <w:marRight w:val="0"/>
      <w:marTop w:val="0"/>
      <w:marBottom w:val="0"/>
      <w:divBdr>
        <w:top w:val="none" w:sz="0" w:space="0" w:color="auto"/>
        <w:left w:val="none" w:sz="0" w:space="0" w:color="auto"/>
        <w:bottom w:val="none" w:sz="0" w:space="0" w:color="auto"/>
        <w:right w:val="none" w:sz="0" w:space="0" w:color="auto"/>
      </w:divBdr>
    </w:div>
    <w:div w:id="161168821">
      <w:bodyDiv w:val="1"/>
      <w:marLeft w:val="0"/>
      <w:marRight w:val="0"/>
      <w:marTop w:val="0"/>
      <w:marBottom w:val="0"/>
      <w:divBdr>
        <w:top w:val="none" w:sz="0" w:space="0" w:color="auto"/>
        <w:left w:val="none" w:sz="0" w:space="0" w:color="auto"/>
        <w:bottom w:val="none" w:sz="0" w:space="0" w:color="auto"/>
        <w:right w:val="none" w:sz="0" w:space="0" w:color="auto"/>
      </w:divBdr>
    </w:div>
    <w:div w:id="180321773">
      <w:bodyDiv w:val="1"/>
      <w:marLeft w:val="0"/>
      <w:marRight w:val="0"/>
      <w:marTop w:val="0"/>
      <w:marBottom w:val="0"/>
      <w:divBdr>
        <w:top w:val="none" w:sz="0" w:space="0" w:color="auto"/>
        <w:left w:val="none" w:sz="0" w:space="0" w:color="auto"/>
        <w:bottom w:val="none" w:sz="0" w:space="0" w:color="auto"/>
        <w:right w:val="none" w:sz="0" w:space="0" w:color="auto"/>
      </w:divBdr>
    </w:div>
    <w:div w:id="424425793">
      <w:bodyDiv w:val="1"/>
      <w:marLeft w:val="0"/>
      <w:marRight w:val="0"/>
      <w:marTop w:val="0"/>
      <w:marBottom w:val="0"/>
      <w:divBdr>
        <w:top w:val="none" w:sz="0" w:space="0" w:color="auto"/>
        <w:left w:val="none" w:sz="0" w:space="0" w:color="auto"/>
        <w:bottom w:val="none" w:sz="0" w:space="0" w:color="auto"/>
        <w:right w:val="none" w:sz="0" w:space="0" w:color="auto"/>
      </w:divBdr>
      <w:divsChild>
        <w:div w:id="539711341">
          <w:marLeft w:val="0"/>
          <w:marRight w:val="0"/>
          <w:marTop w:val="0"/>
          <w:marBottom w:val="0"/>
          <w:divBdr>
            <w:top w:val="none" w:sz="0" w:space="0" w:color="auto"/>
            <w:left w:val="none" w:sz="0" w:space="0" w:color="auto"/>
            <w:bottom w:val="none" w:sz="0" w:space="0" w:color="auto"/>
            <w:right w:val="none" w:sz="0" w:space="0" w:color="auto"/>
          </w:divBdr>
          <w:divsChild>
            <w:div w:id="719943609">
              <w:marLeft w:val="0"/>
              <w:marRight w:val="0"/>
              <w:marTop w:val="0"/>
              <w:marBottom w:val="0"/>
              <w:divBdr>
                <w:top w:val="none" w:sz="0" w:space="0" w:color="auto"/>
                <w:left w:val="none" w:sz="0" w:space="0" w:color="auto"/>
                <w:bottom w:val="none" w:sz="0" w:space="0" w:color="auto"/>
                <w:right w:val="none" w:sz="0" w:space="0" w:color="auto"/>
              </w:divBdr>
              <w:divsChild>
                <w:div w:id="633413258">
                  <w:marLeft w:val="0"/>
                  <w:marRight w:val="0"/>
                  <w:marTop w:val="0"/>
                  <w:marBottom w:val="0"/>
                  <w:divBdr>
                    <w:top w:val="none" w:sz="0" w:space="0" w:color="auto"/>
                    <w:left w:val="none" w:sz="0" w:space="0" w:color="auto"/>
                    <w:bottom w:val="none" w:sz="0" w:space="0" w:color="auto"/>
                    <w:right w:val="none" w:sz="0" w:space="0" w:color="auto"/>
                  </w:divBdr>
                  <w:divsChild>
                    <w:div w:id="1326126239">
                      <w:marLeft w:val="0"/>
                      <w:marRight w:val="0"/>
                      <w:marTop w:val="0"/>
                      <w:marBottom w:val="0"/>
                      <w:divBdr>
                        <w:top w:val="none" w:sz="0" w:space="0" w:color="auto"/>
                        <w:left w:val="none" w:sz="0" w:space="0" w:color="auto"/>
                        <w:bottom w:val="none" w:sz="0" w:space="0" w:color="auto"/>
                        <w:right w:val="none" w:sz="0" w:space="0" w:color="auto"/>
                      </w:divBdr>
                      <w:divsChild>
                        <w:div w:id="115685045">
                          <w:marLeft w:val="0"/>
                          <w:marRight w:val="0"/>
                          <w:marTop w:val="0"/>
                          <w:marBottom w:val="0"/>
                          <w:divBdr>
                            <w:top w:val="none" w:sz="0" w:space="0" w:color="auto"/>
                            <w:left w:val="none" w:sz="0" w:space="0" w:color="auto"/>
                            <w:bottom w:val="none" w:sz="0" w:space="0" w:color="auto"/>
                            <w:right w:val="none" w:sz="0" w:space="0" w:color="auto"/>
                          </w:divBdr>
                          <w:divsChild>
                            <w:div w:id="1201749216">
                              <w:marLeft w:val="0"/>
                              <w:marRight w:val="0"/>
                              <w:marTop w:val="0"/>
                              <w:marBottom w:val="0"/>
                              <w:divBdr>
                                <w:top w:val="none" w:sz="0" w:space="0" w:color="auto"/>
                                <w:left w:val="none" w:sz="0" w:space="0" w:color="auto"/>
                                <w:bottom w:val="none" w:sz="0" w:space="0" w:color="auto"/>
                                <w:right w:val="none" w:sz="0" w:space="0" w:color="auto"/>
                              </w:divBdr>
                              <w:divsChild>
                                <w:div w:id="451826712">
                                  <w:marLeft w:val="0"/>
                                  <w:marRight w:val="0"/>
                                  <w:marTop w:val="0"/>
                                  <w:marBottom w:val="0"/>
                                  <w:divBdr>
                                    <w:top w:val="none" w:sz="0" w:space="0" w:color="auto"/>
                                    <w:left w:val="none" w:sz="0" w:space="0" w:color="auto"/>
                                    <w:bottom w:val="none" w:sz="0" w:space="0" w:color="auto"/>
                                    <w:right w:val="none" w:sz="0" w:space="0" w:color="auto"/>
                                  </w:divBdr>
                                  <w:divsChild>
                                    <w:div w:id="1036463762">
                                      <w:marLeft w:val="0"/>
                                      <w:marRight w:val="0"/>
                                      <w:marTop w:val="0"/>
                                      <w:marBottom w:val="0"/>
                                      <w:divBdr>
                                        <w:top w:val="none" w:sz="0" w:space="0" w:color="auto"/>
                                        <w:left w:val="none" w:sz="0" w:space="0" w:color="auto"/>
                                        <w:bottom w:val="none" w:sz="0" w:space="0" w:color="auto"/>
                                        <w:right w:val="none" w:sz="0" w:space="0" w:color="auto"/>
                                      </w:divBdr>
                                      <w:divsChild>
                                        <w:div w:id="115686082">
                                          <w:marLeft w:val="0"/>
                                          <w:marRight w:val="0"/>
                                          <w:marTop w:val="0"/>
                                          <w:marBottom w:val="0"/>
                                          <w:divBdr>
                                            <w:top w:val="none" w:sz="0" w:space="0" w:color="auto"/>
                                            <w:left w:val="none" w:sz="0" w:space="0" w:color="auto"/>
                                            <w:bottom w:val="none" w:sz="0" w:space="0" w:color="auto"/>
                                            <w:right w:val="none" w:sz="0" w:space="0" w:color="auto"/>
                                          </w:divBdr>
                                        </w:div>
                                      </w:divsChild>
                                    </w:div>
                                    <w:div w:id="1054741464">
                                      <w:marLeft w:val="0"/>
                                      <w:marRight w:val="0"/>
                                      <w:marTop w:val="0"/>
                                      <w:marBottom w:val="0"/>
                                      <w:divBdr>
                                        <w:top w:val="none" w:sz="0" w:space="0" w:color="auto"/>
                                        <w:left w:val="none" w:sz="0" w:space="0" w:color="auto"/>
                                        <w:bottom w:val="none" w:sz="0" w:space="0" w:color="auto"/>
                                        <w:right w:val="none" w:sz="0" w:space="0" w:color="auto"/>
                                      </w:divBdr>
                                      <w:divsChild>
                                        <w:div w:id="852453935">
                                          <w:marLeft w:val="0"/>
                                          <w:marRight w:val="0"/>
                                          <w:marTop w:val="0"/>
                                          <w:marBottom w:val="0"/>
                                          <w:divBdr>
                                            <w:top w:val="none" w:sz="0" w:space="0" w:color="auto"/>
                                            <w:left w:val="none" w:sz="0" w:space="0" w:color="auto"/>
                                            <w:bottom w:val="none" w:sz="0" w:space="0" w:color="auto"/>
                                            <w:right w:val="none" w:sz="0" w:space="0" w:color="auto"/>
                                          </w:divBdr>
                                        </w:div>
                                      </w:divsChild>
                                    </w:div>
                                    <w:div w:id="1450320095">
                                      <w:marLeft w:val="0"/>
                                      <w:marRight w:val="0"/>
                                      <w:marTop w:val="0"/>
                                      <w:marBottom w:val="0"/>
                                      <w:divBdr>
                                        <w:top w:val="none" w:sz="0" w:space="0" w:color="auto"/>
                                        <w:left w:val="none" w:sz="0" w:space="0" w:color="auto"/>
                                        <w:bottom w:val="none" w:sz="0" w:space="0" w:color="auto"/>
                                        <w:right w:val="none" w:sz="0" w:space="0" w:color="auto"/>
                                      </w:divBdr>
                                      <w:divsChild>
                                        <w:div w:id="1324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5536">
                              <w:marLeft w:val="0"/>
                              <w:marRight w:val="0"/>
                              <w:marTop w:val="0"/>
                              <w:marBottom w:val="0"/>
                              <w:divBdr>
                                <w:top w:val="none" w:sz="0" w:space="0" w:color="auto"/>
                                <w:left w:val="none" w:sz="0" w:space="0" w:color="auto"/>
                                <w:bottom w:val="none" w:sz="0" w:space="0" w:color="auto"/>
                                <w:right w:val="none" w:sz="0" w:space="0" w:color="auto"/>
                              </w:divBdr>
                              <w:divsChild>
                                <w:div w:id="1925912033">
                                  <w:marLeft w:val="0"/>
                                  <w:marRight w:val="0"/>
                                  <w:marTop w:val="0"/>
                                  <w:marBottom w:val="0"/>
                                  <w:divBdr>
                                    <w:top w:val="none" w:sz="0" w:space="0" w:color="auto"/>
                                    <w:left w:val="none" w:sz="0" w:space="0" w:color="auto"/>
                                    <w:bottom w:val="none" w:sz="0" w:space="0" w:color="auto"/>
                                    <w:right w:val="none" w:sz="0" w:space="0" w:color="auto"/>
                                  </w:divBdr>
                                  <w:divsChild>
                                    <w:div w:id="161505005">
                                      <w:marLeft w:val="0"/>
                                      <w:marRight w:val="0"/>
                                      <w:marTop w:val="0"/>
                                      <w:marBottom w:val="0"/>
                                      <w:divBdr>
                                        <w:top w:val="none" w:sz="0" w:space="0" w:color="auto"/>
                                        <w:left w:val="none" w:sz="0" w:space="0" w:color="auto"/>
                                        <w:bottom w:val="none" w:sz="0" w:space="0" w:color="auto"/>
                                        <w:right w:val="none" w:sz="0" w:space="0" w:color="auto"/>
                                      </w:divBdr>
                                      <w:divsChild>
                                        <w:div w:id="1870757096">
                                          <w:marLeft w:val="0"/>
                                          <w:marRight w:val="0"/>
                                          <w:marTop w:val="0"/>
                                          <w:marBottom w:val="0"/>
                                          <w:divBdr>
                                            <w:top w:val="none" w:sz="0" w:space="0" w:color="auto"/>
                                            <w:left w:val="none" w:sz="0" w:space="0" w:color="auto"/>
                                            <w:bottom w:val="none" w:sz="0" w:space="0" w:color="auto"/>
                                            <w:right w:val="none" w:sz="0" w:space="0" w:color="auto"/>
                                          </w:divBdr>
                                        </w:div>
                                      </w:divsChild>
                                    </w:div>
                                    <w:div w:id="580916622">
                                      <w:marLeft w:val="0"/>
                                      <w:marRight w:val="0"/>
                                      <w:marTop w:val="0"/>
                                      <w:marBottom w:val="0"/>
                                      <w:divBdr>
                                        <w:top w:val="none" w:sz="0" w:space="0" w:color="auto"/>
                                        <w:left w:val="none" w:sz="0" w:space="0" w:color="auto"/>
                                        <w:bottom w:val="none" w:sz="0" w:space="0" w:color="auto"/>
                                        <w:right w:val="none" w:sz="0" w:space="0" w:color="auto"/>
                                      </w:divBdr>
                                      <w:divsChild>
                                        <w:div w:id="1035082845">
                                          <w:marLeft w:val="0"/>
                                          <w:marRight w:val="0"/>
                                          <w:marTop w:val="0"/>
                                          <w:marBottom w:val="0"/>
                                          <w:divBdr>
                                            <w:top w:val="none" w:sz="0" w:space="0" w:color="auto"/>
                                            <w:left w:val="none" w:sz="0" w:space="0" w:color="auto"/>
                                            <w:bottom w:val="none" w:sz="0" w:space="0" w:color="auto"/>
                                            <w:right w:val="none" w:sz="0" w:space="0" w:color="auto"/>
                                          </w:divBdr>
                                        </w:div>
                                      </w:divsChild>
                                    </w:div>
                                    <w:div w:id="2040623271">
                                      <w:marLeft w:val="0"/>
                                      <w:marRight w:val="0"/>
                                      <w:marTop w:val="0"/>
                                      <w:marBottom w:val="0"/>
                                      <w:divBdr>
                                        <w:top w:val="none" w:sz="0" w:space="0" w:color="auto"/>
                                        <w:left w:val="none" w:sz="0" w:space="0" w:color="auto"/>
                                        <w:bottom w:val="none" w:sz="0" w:space="0" w:color="auto"/>
                                        <w:right w:val="none" w:sz="0" w:space="0" w:color="auto"/>
                                      </w:divBdr>
                                      <w:divsChild>
                                        <w:div w:id="12867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815795">
      <w:bodyDiv w:val="1"/>
      <w:marLeft w:val="0"/>
      <w:marRight w:val="0"/>
      <w:marTop w:val="0"/>
      <w:marBottom w:val="0"/>
      <w:divBdr>
        <w:top w:val="none" w:sz="0" w:space="0" w:color="auto"/>
        <w:left w:val="none" w:sz="0" w:space="0" w:color="auto"/>
        <w:bottom w:val="none" w:sz="0" w:space="0" w:color="auto"/>
        <w:right w:val="none" w:sz="0" w:space="0" w:color="auto"/>
      </w:divBdr>
    </w:div>
    <w:div w:id="913513309">
      <w:bodyDiv w:val="1"/>
      <w:marLeft w:val="0"/>
      <w:marRight w:val="0"/>
      <w:marTop w:val="0"/>
      <w:marBottom w:val="0"/>
      <w:divBdr>
        <w:top w:val="none" w:sz="0" w:space="0" w:color="auto"/>
        <w:left w:val="none" w:sz="0" w:space="0" w:color="auto"/>
        <w:bottom w:val="none" w:sz="0" w:space="0" w:color="auto"/>
        <w:right w:val="none" w:sz="0" w:space="0" w:color="auto"/>
      </w:divBdr>
    </w:div>
    <w:div w:id="1091269008">
      <w:bodyDiv w:val="1"/>
      <w:marLeft w:val="0"/>
      <w:marRight w:val="0"/>
      <w:marTop w:val="0"/>
      <w:marBottom w:val="0"/>
      <w:divBdr>
        <w:top w:val="none" w:sz="0" w:space="0" w:color="auto"/>
        <w:left w:val="none" w:sz="0" w:space="0" w:color="auto"/>
        <w:bottom w:val="none" w:sz="0" w:space="0" w:color="auto"/>
        <w:right w:val="none" w:sz="0" w:space="0" w:color="auto"/>
      </w:divBdr>
    </w:div>
    <w:div w:id="1098596774">
      <w:bodyDiv w:val="1"/>
      <w:marLeft w:val="0"/>
      <w:marRight w:val="0"/>
      <w:marTop w:val="0"/>
      <w:marBottom w:val="0"/>
      <w:divBdr>
        <w:top w:val="none" w:sz="0" w:space="0" w:color="auto"/>
        <w:left w:val="none" w:sz="0" w:space="0" w:color="auto"/>
        <w:bottom w:val="none" w:sz="0" w:space="0" w:color="auto"/>
        <w:right w:val="none" w:sz="0" w:space="0" w:color="auto"/>
      </w:divBdr>
    </w:div>
    <w:div w:id="1108357648">
      <w:bodyDiv w:val="1"/>
      <w:marLeft w:val="0"/>
      <w:marRight w:val="0"/>
      <w:marTop w:val="0"/>
      <w:marBottom w:val="0"/>
      <w:divBdr>
        <w:top w:val="none" w:sz="0" w:space="0" w:color="auto"/>
        <w:left w:val="none" w:sz="0" w:space="0" w:color="auto"/>
        <w:bottom w:val="none" w:sz="0" w:space="0" w:color="auto"/>
        <w:right w:val="none" w:sz="0" w:space="0" w:color="auto"/>
      </w:divBdr>
    </w:div>
    <w:div w:id="1329094404">
      <w:bodyDiv w:val="1"/>
      <w:marLeft w:val="0"/>
      <w:marRight w:val="0"/>
      <w:marTop w:val="0"/>
      <w:marBottom w:val="0"/>
      <w:divBdr>
        <w:top w:val="none" w:sz="0" w:space="0" w:color="auto"/>
        <w:left w:val="none" w:sz="0" w:space="0" w:color="auto"/>
        <w:bottom w:val="none" w:sz="0" w:space="0" w:color="auto"/>
        <w:right w:val="none" w:sz="0" w:space="0" w:color="auto"/>
      </w:divBdr>
      <w:divsChild>
        <w:div w:id="340862477">
          <w:marLeft w:val="0"/>
          <w:marRight w:val="0"/>
          <w:marTop w:val="0"/>
          <w:marBottom w:val="0"/>
          <w:divBdr>
            <w:top w:val="none" w:sz="0" w:space="0" w:color="auto"/>
            <w:left w:val="none" w:sz="0" w:space="0" w:color="auto"/>
            <w:bottom w:val="none" w:sz="0" w:space="0" w:color="auto"/>
            <w:right w:val="none" w:sz="0" w:space="0" w:color="auto"/>
          </w:divBdr>
          <w:divsChild>
            <w:div w:id="950429303">
              <w:marLeft w:val="0"/>
              <w:marRight w:val="0"/>
              <w:marTop w:val="0"/>
              <w:marBottom w:val="0"/>
              <w:divBdr>
                <w:top w:val="none" w:sz="0" w:space="0" w:color="auto"/>
                <w:left w:val="none" w:sz="0" w:space="0" w:color="auto"/>
                <w:bottom w:val="none" w:sz="0" w:space="0" w:color="auto"/>
                <w:right w:val="none" w:sz="0" w:space="0" w:color="auto"/>
              </w:divBdr>
              <w:divsChild>
                <w:div w:id="1092700930">
                  <w:marLeft w:val="0"/>
                  <w:marRight w:val="0"/>
                  <w:marTop w:val="45"/>
                  <w:marBottom w:val="45"/>
                  <w:divBdr>
                    <w:top w:val="single" w:sz="6" w:space="0" w:color="777777"/>
                    <w:left w:val="none" w:sz="0" w:space="0" w:color="auto"/>
                    <w:bottom w:val="single" w:sz="6" w:space="0" w:color="777777"/>
                    <w:right w:val="none" w:sz="0" w:space="0" w:color="auto"/>
                  </w:divBdr>
                </w:div>
              </w:divsChild>
            </w:div>
          </w:divsChild>
        </w:div>
      </w:divsChild>
    </w:div>
    <w:div w:id="1353065472">
      <w:bodyDiv w:val="1"/>
      <w:marLeft w:val="0"/>
      <w:marRight w:val="0"/>
      <w:marTop w:val="0"/>
      <w:marBottom w:val="0"/>
      <w:divBdr>
        <w:top w:val="none" w:sz="0" w:space="0" w:color="auto"/>
        <w:left w:val="none" w:sz="0" w:space="0" w:color="auto"/>
        <w:bottom w:val="none" w:sz="0" w:space="0" w:color="auto"/>
        <w:right w:val="none" w:sz="0" w:space="0" w:color="auto"/>
      </w:divBdr>
    </w:div>
    <w:div w:id="1477255484">
      <w:bodyDiv w:val="1"/>
      <w:marLeft w:val="0"/>
      <w:marRight w:val="0"/>
      <w:marTop w:val="0"/>
      <w:marBottom w:val="0"/>
      <w:divBdr>
        <w:top w:val="none" w:sz="0" w:space="0" w:color="auto"/>
        <w:left w:val="none" w:sz="0" w:space="0" w:color="auto"/>
        <w:bottom w:val="none" w:sz="0" w:space="0" w:color="auto"/>
        <w:right w:val="none" w:sz="0" w:space="0" w:color="auto"/>
      </w:divBdr>
      <w:divsChild>
        <w:div w:id="1401905318">
          <w:marLeft w:val="0"/>
          <w:marRight w:val="0"/>
          <w:marTop w:val="0"/>
          <w:marBottom w:val="0"/>
          <w:divBdr>
            <w:top w:val="none" w:sz="0" w:space="0" w:color="auto"/>
            <w:left w:val="none" w:sz="0" w:space="0" w:color="auto"/>
            <w:bottom w:val="none" w:sz="0" w:space="0" w:color="auto"/>
            <w:right w:val="none" w:sz="0" w:space="0" w:color="auto"/>
          </w:divBdr>
          <w:divsChild>
            <w:div w:id="1166750148">
              <w:marLeft w:val="0"/>
              <w:marRight w:val="0"/>
              <w:marTop w:val="0"/>
              <w:marBottom w:val="0"/>
              <w:divBdr>
                <w:top w:val="none" w:sz="0" w:space="0" w:color="auto"/>
                <w:left w:val="none" w:sz="0" w:space="0" w:color="auto"/>
                <w:bottom w:val="none" w:sz="0" w:space="0" w:color="auto"/>
                <w:right w:val="none" w:sz="0" w:space="0" w:color="auto"/>
              </w:divBdr>
              <w:divsChild>
                <w:div w:id="1602491725">
                  <w:marLeft w:val="0"/>
                  <w:marRight w:val="0"/>
                  <w:marTop w:val="0"/>
                  <w:marBottom w:val="0"/>
                  <w:divBdr>
                    <w:top w:val="none" w:sz="0" w:space="0" w:color="auto"/>
                    <w:left w:val="none" w:sz="0" w:space="0" w:color="auto"/>
                    <w:bottom w:val="none" w:sz="0" w:space="0" w:color="auto"/>
                    <w:right w:val="none" w:sz="0" w:space="0" w:color="auto"/>
                  </w:divBdr>
                  <w:divsChild>
                    <w:div w:id="224688075">
                      <w:marLeft w:val="0"/>
                      <w:marRight w:val="0"/>
                      <w:marTop w:val="0"/>
                      <w:marBottom w:val="0"/>
                      <w:divBdr>
                        <w:top w:val="none" w:sz="0" w:space="0" w:color="auto"/>
                        <w:left w:val="none" w:sz="0" w:space="0" w:color="auto"/>
                        <w:bottom w:val="none" w:sz="0" w:space="0" w:color="auto"/>
                        <w:right w:val="none" w:sz="0" w:space="0" w:color="auto"/>
                      </w:divBdr>
                      <w:divsChild>
                        <w:div w:id="16396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0244">
      <w:bodyDiv w:val="1"/>
      <w:marLeft w:val="0"/>
      <w:marRight w:val="0"/>
      <w:marTop w:val="0"/>
      <w:marBottom w:val="0"/>
      <w:divBdr>
        <w:top w:val="none" w:sz="0" w:space="0" w:color="auto"/>
        <w:left w:val="none" w:sz="0" w:space="0" w:color="auto"/>
        <w:bottom w:val="none" w:sz="0" w:space="0" w:color="auto"/>
        <w:right w:val="none" w:sz="0" w:space="0" w:color="auto"/>
      </w:divBdr>
      <w:divsChild>
        <w:div w:id="106387174">
          <w:marLeft w:val="0"/>
          <w:marRight w:val="0"/>
          <w:marTop w:val="0"/>
          <w:marBottom w:val="0"/>
          <w:divBdr>
            <w:top w:val="none" w:sz="0" w:space="0" w:color="auto"/>
            <w:left w:val="none" w:sz="0" w:space="0" w:color="auto"/>
            <w:bottom w:val="none" w:sz="0" w:space="0" w:color="auto"/>
            <w:right w:val="none" w:sz="0" w:space="0" w:color="auto"/>
          </w:divBdr>
          <w:divsChild>
            <w:div w:id="385379259">
              <w:marLeft w:val="0"/>
              <w:marRight w:val="0"/>
              <w:marTop w:val="0"/>
              <w:marBottom w:val="0"/>
              <w:divBdr>
                <w:top w:val="none" w:sz="0" w:space="0" w:color="auto"/>
                <w:left w:val="none" w:sz="0" w:space="0" w:color="auto"/>
                <w:bottom w:val="none" w:sz="0" w:space="0" w:color="auto"/>
                <w:right w:val="none" w:sz="0" w:space="0" w:color="auto"/>
              </w:divBdr>
              <w:divsChild>
                <w:div w:id="1813518612">
                  <w:marLeft w:val="0"/>
                  <w:marRight w:val="0"/>
                  <w:marTop w:val="0"/>
                  <w:marBottom w:val="0"/>
                  <w:divBdr>
                    <w:top w:val="none" w:sz="0" w:space="0" w:color="auto"/>
                    <w:left w:val="none" w:sz="0" w:space="0" w:color="auto"/>
                    <w:bottom w:val="none" w:sz="0" w:space="0" w:color="auto"/>
                    <w:right w:val="none" w:sz="0" w:space="0" w:color="auto"/>
                  </w:divBdr>
                  <w:divsChild>
                    <w:div w:id="574627231">
                      <w:marLeft w:val="0"/>
                      <w:marRight w:val="0"/>
                      <w:marTop w:val="0"/>
                      <w:marBottom w:val="0"/>
                      <w:divBdr>
                        <w:top w:val="none" w:sz="0" w:space="0" w:color="auto"/>
                        <w:left w:val="none" w:sz="0" w:space="0" w:color="auto"/>
                        <w:bottom w:val="none" w:sz="0" w:space="0" w:color="auto"/>
                        <w:right w:val="none" w:sz="0" w:space="0" w:color="auto"/>
                      </w:divBdr>
                      <w:divsChild>
                        <w:div w:id="1428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5353">
      <w:bodyDiv w:val="1"/>
      <w:marLeft w:val="0"/>
      <w:marRight w:val="0"/>
      <w:marTop w:val="0"/>
      <w:marBottom w:val="0"/>
      <w:divBdr>
        <w:top w:val="none" w:sz="0" w:space="0" w:color="auto"/>
        <w:left w:val="none" w:sz="0" w:space="0" w:color="auto"/>
        <w:bottom w:val="none" w:sz="0" w:space="0" w:color="auto"/>
        <w:right w:val="none" w:sz="0" w:space="0" w:color="auto"/>
      </w:divBdr>
    </w:div>
    <w:div w:id="1819221405">
      <w:bodyDiv w:val="1"/>
      <w:marLeft w:val="0"/>
      <w:marRight w:val="0"/>
      <w:marTop w:val="0"/>
      <w:marBottom w:val="0"/>
      <w:divBdr>
        <w:top w:val="none" w:sz="0" w:space="0" w:color="auto"/>
        <w:left w:val="none" w:sz="0" w:space="0" w:color="auto"/>
        <w:bottom w:val="none" w:sz="0" w:space="0" w:color="auto"/>
        <w:right w:val="none" w:sz="0" w:space="0" w:color="auto"/>
      </w:divBdr>
    </w:div>
    <w:div w:id="2080126524">
      <w:bodyDiv w:val="1"/>
      <w:marLeft w:val="0"/>
      <w:marRight w:val="0"/>
      <w:marTop w:val="0"/>
      <w:marBottom w:val="0"/>
      <w:divBdr>
        <w:top w:val="none" w:sz="0" w:space="0" w:color="auto"/>
        <w:left w:val="none" w:sz="0" w:space="0" w:color="auto"/>
        <w:bottom w:val="none" w:sz="0" w:space="0" w:color="auto"/>
        <w:right w:val="none" w:sz="0" w:space="0" w:color="auto"/>
      </w:divBdr>
      <w:divsChild>
        <w:div w:id="374156688">
          <w:marLeft w:val="0"/>
          <w:marRight w:val="0"/>
          <w:marTop w:val="0"/>
          <w:marBottom w:val="0"/>
          <w:divBdr>
            <w:top w:val="none" w:sz="0" w:space="0" w:color="auto"/>
            <w:left w:val="none" w:sz="0" w:space="0" w:color="auto"/>
            <w:bottom w:val="none" w:sz="0" w:space="0" w:color="auto"/>
            <w:right w:val="none" w:sz="0" w:space="0" w:color="auto"/>
          </w:divBdr>
          <w:divsChild>
            <w:div w:id="1411660301">
              <w:marLeft w:val="0"/>
              <w:marRight w:val="0"/>
              <w:marTop w:val="0"/>
              <w:marBottom w:val="0"/>
              <w:divBdr>
                <w:top w:val="none" w:sz="0" w:space="0" w:color="auto"/>
                <w:left w:val="none" w:sz="0" w:space="0" w:color="auto"/>
                <w:bottom w:val="none" w:sz="0" w:space="0" w:color="auto"/>
                <w:right w:val="none" w:sz="0" w:space="0" w:color="auto"/>
              </w:divBdr>
              <w:divsChild>
                <w:div w:id="133641615">
                  <w:marLeft w:val="0"/>
                  <w:marRight w:val="0"/>
                  <w:marTop w:val="0"/>
                  <w:marBottom w:val="0"/>
                  <w:divBdr>
                    <w:top w:val="none" w:sz="0" w:space="0" w:color="auto"/>
                    <w:left w:val="none" w:sz="0" w:space="0" w:color="auto"/>
                    <w:bottom w:val="none" w:sz="0" w:space="0" w:color="auto"/>
                    <w:right w:val="none" w:sz="0" w:space="0" w:color="auto"/>
                  </w:divBdr>
                  <w:divsChild>
                    <w:div w:id="734744899">
                      <w:marLeft w:val="0"/>
                      <w:marRight w:val="0"/>
                      <w:marTop w:val="0"/>
                      <w:marBottom w:val="0"/>
                      <w:divBdr>
                        <w:top w:val="none" w:sz="0" w:space="0" w:color="auto"/>
                        <w:left w:val="none" w:sz="0" w:space="0" w:color="auto"/>
                        <w:bottom w:val="none" w:sz="0" w:space="0" w:color="auto"/>
                        <w:right w:val="none" w:sz="0" w:space="0" w:color="auto"/>
                      </w:divBdr>
                      <w:divsChild>
                        <w:div w:id="1279026511">
                          <w:marLeft w:val="0"/>
                          <w:marRight w:val="0"/>
                          <w:marTop w:val="0"/>
                          <w:marBottom w:val="0"/>
                          <w:divBdr>
                            <w:top w:val="none" w:sz="0" w:space="0" w:color="auto"/>
                            <w:left w:val="none" w:sz="0" w:space="0" w:color="auto"/>
                            <w:bottom w:val="none" w:sz="0" w:space="0" w:color="auto"/>
                            <w:right w:val="none" w:sz="0" w:space="0" w:color="auto"/>
                          </w:divBdr>
                          <w:divsChild>
                            <w:div w:id="24136141">
                              <w:marLeft w:val="0"/>
                              <w:marRight w:val="0"/>
                              <w:marTop w:val="0"/>
                              <w:marBottom w:val="0"/>
                              <w:divBdr>
                                <w:top w:val="none" w:sz="0" w:space="0" w:color="auto"/>
                                <w:left w:val="none" w:sz="0" w:space="0" w:color="auto"/>
                                <w:bottom w:val="none" w:sz="0" w:space="0" w:color="auto"/>
                                <w:right w:val="none" w:sz="0" w:space="0" w:color="auto"/>
                              </w:divBdr>
                              <w:divsChild>
                                <w:div w:id="221411441">
                                  <w:marLeft w:val="0"/>
                                  <w:marRight w:val="0"/>
                                  <w:marTop w:val="0"/>
                                  <w:marBottom w:val="0"/>
                                  <w:divBdr>
                                    <w:top w:val="none" w:sz="0" w:space="0" w:color="auto"/>
                                    <w:left w:val="none" w:sz="0" w:space="0" w:color="auto"/>
                                    <w:bottom w:val="none" w:sz="0" w:space="0" w:color="auto"/>
                                    <w:right w:val="none" w:sz="0" w:space="0" w:color="auto"/>
                                  </w:divBdr>
                                </w:div>
                                <w:div w:id="279580106">
                                  <w:marLeft w:val="0"/>
                                  <w:marRight w:val="0"/>
                                  <w:marTop w:val="0"/>
                                  <w:marBottom w:val="0"/>
                                  <w:divBdr>
                                    <w:top w:val="none" w:sz="0" w:space="0" w:color="auto"/>
                                    <w:left w:val="none" w:sz="0" w:space="0" w:color="auto"/>
                                    <w:bottom w:val="none" w:sz="0" w:space="0" w:color="auto"/>
                                    <w:right w:val="none" w:sz="0" w:space="0" w:color="auto"/>
                                  </w:divBdr>
                                  <w:divsChild>
                                    <w:div w:id="285546748">
                                      <w:marLeft w:val="0"/>
                                      <w:marRight w:val="0"/>
                                      <w:marTop w:val="0"/>
                                      <w:marBottom w:val="0"/>
                                      <w:divBdr>
                                        <w:top w:val="none" w:sz="0" w:space="0" w:color="auto"/>
                                        <w:left w:val="none" w:sz="0" w:space="0" w:color="auto"/>
                                        <w:bottom w:val="none" w:sz="0" w:space="0" w:color="auto"/>
                                        <w:right w:val="none" w:sz="0" w:space="0" w:color="auto"/>
                                      </w:divBdr>
                                      <w:divsChild>
                                        <w:div w:id="15969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5307">
                                  <w:marLeft w:val="0"/>
                                  <w:marRight w:val="0"/>
                                  <w:marTop w:val="0"/>
                                  <w:marBottom w:val="0"/>
                                  <w:divBdr>
                                    <w:top w:val="none" w:sz="0" w:space="0" w:color="auto"/>
                                    <w:left w:val="none" w:sz="0" w:space="0" w:color="auto"/>
                                    <w:bottom w:val="none" w:sz="0" w:space="0" w:color="auto"/>
                                    <w:right w:val="none" w:sz="0" w:space="0" w:color="auto"/>
                                  </w:divBdr>
                                </w:div>
                              </w:divsChild>
                            </w:div>
                            <w:div w:id="799105653">
                              <w:marLeft w:val="0"/>
                              <w:marRight w:val="0"/>
                              <w:marTop w:val="0"/>
                              <w:marBottom w:val="0"/>
                              <w:divBdr>
                                <w:top w:val="none" w:sz="0" w:space="0" w:color="auto"/>
                                <w:left w:val="none" w:sz="0" w:space="0" w:color="auto"/>
                                <w:bottom w:val="none" w:sz="0" w:space="0" w:color="auto"/>
                                <w:right w:val="none" w:sz="0" w:space="0" w:color="auto"/>
                              </w:divBdr>
                              <w:divsChild>
                                <w:div w:id="604535050">
                                  <w:marLeft w:val="0"/>
                                  <w:marRight w:val="0"/>
                                  <w:marTop w:val="0"/>
                                  <w:marBottom w:val="0"/>
                                  <w:divBdr>
                                    <w:top w:val="none" w:sz="0" w:space="0" w:color="auto"/>
                                    <w:left w:val="none" w:sz="0" w:space="0" w:color="auto"/>
                                    <w:bottom w:val="none" w:sz="0" w:space="0" w:color="auto"/>
                                    <w:right w:val="none" w:sz="0" w:space="0" w:color="auto"/>
                                  </w:divBdr>
                                </w:div>
                                <w:div w:id="1309168553">
                                  <w:marLeft w:val="0"/>
                                  <w:marRight w:val="0"/>
                                  <w:marTop w:val="0"/>
                                  <w:marBottom w:val="0"/>
                                  <w:divBdr>
                                    <w:top w:val="none" w:sz="0" w:space="0" w:color="auto"/>
                                    <w:left w:val="none" w:sz="0" w:space="0" w:color="auto"/>
                                    <w:bottom w:val="none" w:sz="0" w:space="0" w:color="auto"/>
                                    <w:right w:val="none" w:sz="0" w:space="0" w:color="auto"/>
                                  </w:divBdr>
                                  <w:divsChild>
                                    <w:div w:id="1708991993">
                                      <w:marLeft w:val="0"/>
                                      <w:marRight w:val="0"/>
                                      <w:marTop w:val="0"/>
                                      <w:marBottom w:val="0"/>
                                      <w:divBdr>
                                        <w:top w:val="none" w:sz="0" w:space="0" w:color="auto"/>
                                        <w:left w:val="none" w:sz="0" w:space="0" w:color="auto"/>
                                        <w:bottom w:val="none" w:sz="0" w:space="0" w:color="auto"/>
                                        <w:right w:val="none" w:sz="0" w:space="0" w:color="auto"/>
                                      </w:divBdr>
                                      <w:divsChild>
                                        <w:div w:id="257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0275">
                              <w:marLeft w:val="0"/>
                              <w:marRight w:val="0"/>
                              <w:marTop w:val="0"/>
                              <w:marBottom w:val="0"/>
                              <w:divBdr>
                                <w:top w:val="none" w:sz="0" w:space="0" w:color="auto"/>
                                <w:left w:val="none" w:sz="0" w:space="0" w:color="auto"/>
                                <w:bottom w:val="none" w:sz="0" w:space="0" w:color="auto"/>
                                <w:right w:val="none" w:sz="0" w:space="0" w:color="auto"/>
                              </w:divBdr>
                              <w:divsChild>
                                <w:div w:id="821846339">
                                  <w:marLeft w:val="0"/>
                                  <w:marRight w:val="0"/>
                                  <w:marTop w:val="0"/>
                                  <w:marBottom w:val="0"/>
                                  <w:divBdr>
                                    <w:top w:val="none" w:sz="0" w:space="0" w:color="auto"/>
                                    <w:left w:val="none" w:sz="0" w:space="0" w:color="auto"/>
                                    <w:bottom w:val="none" w:sz="0" w:space="0" w:color="auto"/>
                                    <w:right w:val="none" w:sz="0" w:space="0" w:color="auto"/>
                                  </w:divBdr>
                                </w:div>
                                <w:div w:id="1033379593">
                                  <w:marLeft w:val="0"/>
                                  <w:marRight w:val="0"/>
                                  <w:marTop w:val="0"/>
                                  <w:marBottom w:val="0"/>
                                  <w:divBdr>
                                    <w:top w:val="none" w:sz="0" w:space="0" w:color="auto"/>
                                    <w:left w:val="none" w:sz="0" w:space="0" w:color="auto"/>
                                    <w:bottom w:val="none" w:sz="0" w:space="0" w:color="auto"/>
                                    <w:right w:val="none" w:sz="0" w:space="0" w:color="auto"/>
                                  </w:divBdr>
                                </w:div>
                                <w:div w:id="2028753097">
                                  <w:marLeft w:val="0"/>
                                  <w:marRight w:val="0"/>
                                  <w:marTop w:val="0"/>
                                  <w:marBottom w:val="0"/>
                                  <w:divBdr>
                                    <w:top w:val="none" w:sz="0" w:space="0" w:color="auto"/>
                                    <w:left w:val="none" w:sz="0" w:space="0" w:color="auto"/>
                                    <w:bottom w:val="none" w:sz="0" w:space="0" w:color="auto"/>
                                    <w:right w:val="none" w:sz="0" w:space="0" w:color="auto"/>
                                  </w:divBdr>
                                </w:div>
                                <w:div w:id="2137406136">
                                  <w:marLeft w:val="0"/>
                                  <w:marRight w:val="0"/>
                                  <w:marTop w:val="0"/>
                                  <w:marBottom w:val="0"/>
                                  <w:divBdr>
                                    <w:top w:val="none" w:sz="0" w:space="0" w:color="auto"/>
                                    <w:left w:val="none" w:sz="0" w:space="0" w:color="auto"/>
                                    <w:bottom w:val="none" w:sz="0" w:space="0" w:color="auto"/>
                                    <w:right w:val="none" w:sz="0" w:space="0" w:color="auto"/>
                                  </w:divBdr>
                                  <w:divsChild>
                                    <w:div w:id="163336136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5961">
                              <w:marLeft w:val="0"/>
                              <w:marRight w:val="0"/>
                              <w:marTop w:val="0"/>
                              <w:marBottom w:val="0"/>
                              <w:divBdr>
                                <w:top w:val="none" w:sz="0" w:space="0" w:color="auto"/>
                                <w:left w:val="none" w:sz="0" w:space="0" w:color="auto"/>
                                <w:bottom w:val="none" w:sz="0" w:space="0" w:color="auto"/>
                                <w:right w:val="none" w:sz="0" w:space="0" w:color="auto"/>
                              </w:divBdr>
                              <w:divsChild>
                                <w:div w:id="516307500">
                                  <w:marLeft w:val="0"/>
                                  <w:marRight w:val="0"/>
                                  <w:marTop w:val="0"/>
                                  <w:marBottom w:val="0"/>
                                  <w:divBdr>
                                    <w:top w:val="none" w:sz="0" w:space="0" w:color="auto"/>
                                    <w:left w:val="none" w:sz="0" w:space="0" w:color="auto"/>
                                    <w:bottom w:val="none" w:sz="0" w:space="0" w:color="auto"/>
                                    <w:right w:val="none" w:sz="0" w:space="0" w:color="auto"/>
                                  </w:divBdr>
                                  <w:divsChild>
                                    <w:div w:id="1056391023">
                                      <w:marLeft w:val="0"/>
                                      <w:marRight w:val="0"/>
                                      <w:marTop w:val="0"/>
                                      <w:marBottom w:val="0"/>
                                      <w:divBdr>
                                        <w:top w:val="none" w:sz="0" w:space="0" w:color="auto"/>
                                        <w:left w:val="none" w:sz="0" w:space="0" w:color="auto"/>
                                        <w:bottom w:val="none" w:sz="0" w:space="0" w:color="auto"/>
                                        <w:right w:val="none" w:sz="0" w:space="0" w:color="auto"/>
                                      </w:divBdr>
                                      <w:divsChild>
                                        <w:div w:id="13845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576">
                                  <w:marLeft w:val="0"/>
                                  <w:marRight w:val="0"/>
                                  <w:marTop w:val="0"/>
                                  <w:marBottom w:val="0"/>
                                  <w:divBdr>
                                    <w:top w:val="none" w:sz="0" w:space="0" w:color="auto"/>
                                    <w:left w:val="none" w:sz="0" w:space="0" w:color="auto"/>
                                    <w:bottom w:val="none" w:sz="0" w:space="0" w:color="auto"/>
                                    <w:right w:val="none" w:sz="0" w:space="0" w:color="auto"/>
                                  </w:divBdr>
                                </w:div>
                                <w:div w:id="1111511004">
                                  <w:marLeft w:val="0"/>
                                  <w:marRight w:val="0"/>
                                  <w:marTop w:val="0"/>
                                  <w:marBottom w:val="0"/>
                                  <w:divBdr>
                                    <w:top w:val="none" w:sz="0" w:space="0" w:color="auto"/>
                                    <w:left w:val="none" w:sz="0" w:space="0" w:color="auto"/>
                                    <w:bottom w:val="none" w:sz="0" w:space="0" w:color="auto"/>
                                    <w:right w:val="none" w:sz="0" w:space="0" w:color="auto"/>
                                  </w:divBdr>
                                </w:div>
                                <w:div w:id="1345209088">
                                  <w:marLeft w:val="0"/>
                                  <w:marRight w:val="0"/>
                                  <w:marTop w:val="0"/>
                                  <w:marBottom w:val="0"/>
                                  <w:divBdr>
                                    <w:top w:val="none" w:sz="0" w:space="0" w:color="auto"/>
                                    <w:left w:val="none" w:sz="0" w:space="0" w:color="auto"/>
                                    <w:bottom w:val="none" w:sz="0" w:space="0" w:color="auto"/>
                                    <w:right w:val="none" w:sz="0" w:space="0" w:color="auto"/>
                                  </w:divBdr>
                                </w:div>
                                <w:div w:id="2071418439">
                                  <w:marLeft w:val="0"/>
                                  <w:marRight w:val="0"/>
                                  <w:marTop w:val="0"/>
                                  <w:marBottom w:val="0"/>
                                  <w:divBdr>
                                    <w:top w:val="none" w:sz="0" w:space="0" w:color="auto"/>
                                    <w:left w:val="none" w:sz="0" w:space="0" w:color="auto"/>
                                    <w:bottom w:val="none" w:sz="0" w:space="0" w:color="auto"/>
                                    <w:right w:val="none" w:sz="0" w:space="0" w:color="auto"/>
                                  </w:divBdr>
                                </w:div>
                              </w:divsChild>
                            </w:div>
                            <w:div w:id="2047489406">
                              <w:marLeft w:val="0"/>
                              <w:marRight w:val="0"/>
                              <w:marTop w:val="0"/>
                              <w:marBottom w:val="0"/>
                              <w:divBdr>
                                <w:top w:val="none" w:sz="0" w:space="0" w:color="auto"/>
                                <w:left w:val="none" w:sz="0" w:space="0" w:color="auto"/>
                                <w:bottom w:val="none" w:sz="0" w:space="0" w:color="auto"/>
                                <w:right w:val="none" w:sz="0" w:space="0" w:color="auto"/>
                              </w:divBdr>
                              <w:divsChild>
                                <w:div w:id="587008260">
                                  <w:marLeft w:val="0"/>
                                  <w:marRight w:val="0"/>
                                  <w:marTop w:val="0"/>
                                  <w:marBottom w:val="0"/>
                                  <w:divBdr>
                                    <w:top w:val="none" w:sz="0" w:space="0" w:color="auto"/>
                                    <w:left w:val="none" w:sz="0" w:space="0" w:color="auto"/>
                                    <w:bottom w:val="none" w:sz="0" w:space="0" w:color="auto"/>
                                    <w:right w:val="none" w:sz="0" w:space="0" w:color="auto"/>
                                  </w:divBdr>
                                </w:div>
                                <w:div w:id="2099055678">
                                  <w:marLeft w:val="0"/>
                                  <w:marRight w:val="0"/>
                                  <w:marTop w:val="0"/>
                                  <w:marBottom w:val="0"/>
                                  <w:divBdr>
                                    <w:top w:val="none" w:sz="0" w:space="0" w:color="auto"/>
                                    <w:left w:val="none" w:sz="0" w:space="0" w:color="auto"/>
                                    <w:bottom w:val="none" w:sz="0" w:space="0" w:color="auto"/>
                                    <w:right w:val="none" w:sz="0" w:space="0" w:color="auto"/>
                                  </w:divBdr>
                                  <w:divsChild>
                                    <w:div w:id="1321348095">
                                      <w:marLeft w:val="0"/>
                                      <w:marRight w:val="0"/>
                                      <w:marTop w:val="0"/>
                                      <w:marBottom w:val="0"/>
                                      <w:divBdr>
                                        <w:top w:val="none" w:sz="0" w:space="0" w:color="auto"/>
                                        <w:left w:val="none" w:sz="0" w:space="0" w:color="auto"/>
                                        <w:bottom w:val="none" w:sz="0" w:space="0" w:color="auto"/>
                                        <w:right w:val="none" w:sz="0" w:space="0" w:color="auto"/>
                                      </w:divBdr>
                                      <w:divsChild>
                                        <w:div w:id="12913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DBA3-5CC6-4AA8-AE2D-4DA8D0CB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Letter Template</vt:lpstr>
    </vt:vector>
  </TitlesOfParts>
  <Company>Waltham Forest</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LLynch</dc:creator>
  <cp:keywords/>
  <cp:lastModifiedBy>Julia Morris</cp:lastModifiedBy>
  <cp:revision>3</cp:revision>
  <cp:lastPrinted>2015-09-23T13:51:00Z</cp:lastPrinted>
  <dcterms:created xsi:type="dcterms:W3CDTF">2024-07-09T16:01:00Z</dcterms:created>
  <dcterms:modified xsi:type="dcterms:W3CDTF">2024-07-11T09:34:00Z</dcterms:modified>
</cp:coreProperties>
</file>